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5829F" w14:textId="6069B7D9" w:rsidR="003F27E3" w:rsidRPr="00751EA7" w:rsidRDefault="00294505" w:rsidP="00751EA7">
      <w:pPr>
        <w:spacing w:after="0" w:line="240" w:lineRule="auto"/>
        <w:jc w:val="center"/>
        <w:rPr>
          <w:rFonts w:ascii="Arial" w:hAnsi="Arial" w:cs="Arial"/>
          <w:b/>
          <w:bCs/>
        </w:rPr>
      </w:pPr>
      <w:r w:rsidRPr="00751EA7">
        <w:rPr>
          <w:rFonts w:ascii="Arial" w:hAnsi="Arial" w:cs="Arial"/>
          <w:b/>
          <w:bCs/>
        </w:rPr>
        <w:t>Extended Data</w:t>
      </w:r>
    </w:p>
    <w:p w14:paraId="77F7B6DC" w14:textId="77777777" w:rsidR="00751EA7" w:rsidRDefault="00751EA7" w:rsidP="00751EA7">
      <w:pPr>
        <w:spacing w:line="240" w:lineRule="auto"/>
        <w:rPr>
          <w:rFonts w:ascii="Arial" w:hAnsi="Arial" w:cs="Arial"/>
        </w:rPr>
      </w:pPr>
    </w:p>
    <w:p w14:paraId="5135ECF4" w14:textId="1125F904" w:rsidR="00944615" w:rsidRPr="00751EA7" w:rsidRDefault="00751EA7" w:rsidP="00751EA7">
      <w:pPr>
        <w:spacing w:line="240" w:lineRule="auto"/>
        <w:rPr>
          <w:rFonts w:ascii="Arial" w:eastAsia="Arial" w:hAnsi="Arial" w:cs="Arial"/>
          <w:b/>
          <w:bCs/>
        </w:rPr>
      </w:pPr>
      <w:r w:rsidRPr="00751EA7">
        <w:rPr>
          <w:rFonts w:ascii="Arial" w:hAnsi="Arial" w:cs="Arial"/>
          <w:b/>
          <w:bCs/>
        </w:rPr>
        <w:t xml:space="preserve">Sensitivity analyses show that the proteomic correlates </w:t>
      </w:r>
      <w:r w:rsidR="00330570" w:rsidRPr="00751EA7">
        <w:rPr>
          <w:rFonts w:ascii="Arial" w:eastAsia="Arial" w:hAnsi="Arial" w:cs="Arial"/>
          <w:b/>
          <w:bCs/>
        </w:rPr>
        <w:t>of menopause timing were robust to hormone therapy use, chronic health conditions, and key demographic factors.</w:t>
      </w:r>
    </w:p>
    <w:p w14:paraId="1CD02F06" w14:textId="2875A01D" w:rsidR="00944615" w:rsidRPr="00751EA7" w:rsidRDefault="00944615" w:rsidP="00751EA7">
      <w:pPr>
        <w:spacing w:line="240" w:lineRule="auto"/>
        <w:rPr>
          <w:rFonts w:ascii="Arial" w:eastAsia="Arial" w:hAnsi="Arial" w:cs="Arial"/>
        </w:rPr>
      </w:pPr>
      <w:r w:rsidRPr="00751EA7">
        <w:rPr>
          <w:rFonts w:ascii="Arial" w:eastAsia="Arial" w:hAnsi="Arial" w:cs="Arial"/>
        </w:rPr>
        <w:t>To assess the potential role of hormone therapy use, which was more common in women with earlier menopause (Table S1), we compared effect sizes of age at menopause from our primary, age-adjusted models to those of age at menopause from our multivaria</w:t>
      </w:r>
      <w:r w:rsidR="003138B6">
        <w:rPr>
          <w:rFonts w:ascii="Arial" w:eastAsia="Arial" w:hAnsi="Arial" w:cs="Arial"/>
        </w:rPr>
        <w:t>ble</w:t>
      </w:r>
      <w:r w:rsidRPr="00751EA7">
        <w:rPr>
          <w:rFonts w:ascii="Arial" w:eastAsia="Arial" w:hAnsi="Arial" w:cs="Arial"/>
        </w:rPr>
        <w:t xml:space="preserve"> models adjusted for age, menopause type (spontaneous/surgical), and hormone therapy history (i.e., current user, past user, never used). Effect sizes demonstrated very strong concordance, suggesting that hormone therapy use does not confound the observed associations between age at menopause and the proteome (Table S11, Fig.S4). We further evaluated the associations of age at menopause with protein levels in models stratified by history of hormone therapy use (i.e., ever used, </w:t>
      </w:r>
      <w:r w:rsidRPr="00751EA7">
        <w:rPr>
          <w:rFonts w:ascii="Arial" w:eastAsia="Arial" w:hAnsi="Arial" w:cs="Arial"/>
          <w:i/>
          <w:iCs/>
        </w:rPr>
        <w:t>N</w:t>
      </w:r>
      <w:r w:rsidRPr="00751EA7">
        <w:rPr>
          <w:rFonts w:ascii="Arial" w:eastAsia="Arial" w:hAnsi="Arial" w:cs="Arial"/>
        </w:rPr>
        <w:t xml:space="preserve">=6,317; never used, </w:t>
      </w:r>
      <w:r w:rsidRPr="00751EA7">
        <w:rPr>
          <w:rFonts w:ascii="Arial" w:eastAsia="Arial" w:hAnsi="Arial" w:cs="Arial"/>
          <w:i/>
          <w:iCs/>
        </w:rPr>
        <w:t>N</w:t>
      </w:r>
      <w:r w:rsidRPr="00751EA7">
        <w:rPr>
          <w:rFonts w:ascii="Arial" w:eastAsia="Arial" w:hAnsi="Arial" w:cs="Arial"/>
        </w:rPr>
        <w:t xml:space="preserve">=8,059), adjusting for age and type of menopause. Effect sizes again demonstrated strong concordance, suggesting </w:t>
      </w:r>
      <w:r w:rsidRPr="00751EA7">
        <w:rPr>
          <w:rFonts w:ascii="Arial" w:hAnsi="Arial" w:cs="Arial"/>
          <w:lang w:val="en-US"/>
        </w:rPr>
        <w:t>similar effects of menopause timing on the plasma proteome between individuals with and without histories of hormone therapy use</w:t>
      </w:r>
      <w:r w:rsidRPr="00751EA7">
        <w:rPr>
          <w:rFonts w:ascii="Arial" w:eastAsia="Arial" w:hAnsi="Arial" w:cs="Arial"/>
        </w:rPr>
        <w:t xml:space="preserve"> (Tables S12 &amp; S13, Fig.S5). </w:t>
      </w:r>
    </w:p>
    <w:p w14:paraId="79A8BF9C" w14:textId="281B7E99" w:rsidR="00944615" w:rsidRPr="00751EA7" w:rsidRDefault="00944615" w:rsidP="00751EA7">
      <w:pPr>
        <w:spacing w:line="240" w:lineRule="auto"/>
        <w:rPr>
          <w:rFonts w:ascii="Arial" w:eastAsia="Arial" w:hAnsi="Arial" w:cs="Arial"/>
        </w:rPr>
      </w:pPr>
      <w:r w:rsidRPr="00751EA7">
        <w:rPr>
          <w:rFonts w:ascii="Arial" w:eastAsia="Arial" w:hAnsi="Arial" w:cs="Arial"/>
        </w:rPr>
        <w:t xml:space="preserve">In additional sensitivity analyses, we re-evaluated associations of age at menopause with protein levels additionally adjusting models for a range of clinical and health history variables that may influence dementia risk (i.e., body mass index (BMI), low density lipoprotein (LDL) cholesterol levels, smoking status, systolic and diastolic blood pressure, hbA1C, plus histories of stroke, angina, heart attack, broken bones within the past 5 years, and cancer; </w:t>
      </w:r>
      <w:r w:rsidRPr="00751EA7">
        <w:rPr>
          <w:rFonts w:ascii="Arial" w:eastAsia="Arial" w:hAnsi="Arial" w:cs="Arial"/>
          <w:i/>
          <w:iCs/>
        </w:rPr>
        <w:t>N</w:t>
      </w:r>
      <w:r w:rsidRPr="00751EA7">
        <w:rPr>
          <w:rFonts w:ascii="Arial" w:eastAsia="Arial" w:hAnsi="Arial" w:cs="Arial"/>
        </w:rPr>
        <w:t xml:space="preserve">=12,533). These analyses yielded very similar results to the main models (Table S14, Fig.S6), suggesting that prevalent age-related health conditions do not account for the proteomic shifts associated with menopause timing. In a second set of models, we re-estimated associations of age at menopause with protein levels additionally adjusting for </w:t>
      </w:r>
      <w:r w:rsidRPr="00751EA7">
        <w:rPr>
          <w:rFonts w:ascii="Arial" w:eastAsia="Arial" w:hAnsi="Arial" w:cs="Arial"/>
          <w:i/>
          <w:iCs/>
        </w:rPr>
        <w:t xml:space="preserve">APOE4 </w:t>
      </w:r>
      <w:r w:rsidRPr="00751EA7">
        <w:rPr>
          <w:rFonts w:ascii="Arial" w:eastAsia="Arial" w:hAnsi="Arial" w:cs="Arial"/>
        </w:rPr>
        <w:t>carriage</w:t>
      </w:r>
      <w:r w:rsidR="002A4F0C">
        <w:rPr>
          <w:rFonts w:ascii="Arial" w:eastAsia="Arial" w:hAnsi="Arial" w:cs="Arial"/>
        </w:rPr>
        <w:t xml:space="preserve"> </w:t>
      </w:r>
      <w:r w:rsidRPr="00751EA7">
        <w:rPr>
          <w:rFonts w:ascii="Arial" w:eastAsia="Arial" w:hAnsi="Arial" w:cs="Arial"/>
        </w:rPr>
        <w:t>and years of education, which also produced highly consistent results (</w:t>
      </w:r>
      <w:r w:rsidRPr="00751EA7">
        <w:rPr>
          <w:rFonts w:ascii="Arial" w:eastAsia="Arial" w:hAnsi="Arial" w:cs="Arial"/>
          <w:i/>
          <w:iCs/>
        </w:rPr>
        <w:t>N</w:t>
      </w:r>
      <w:r w:rsidRPr="00751EA7">
        <w:rPr>
          <w:rFonts w:ascii="Arial" w:eastAsia="Arial" w:hAnsi="Arial" w:cs="Arial"/>
        </w:rPr>
        <w:t xml:space="preserve">=10,099, Table S15, Fig.S7). Finally, to ensure the proteomic correlates of menopause timing were independent of residual confounding by chronological age, we tested associations of age at menopause with protein levels in a restricted subsample of women aged </w:t>
      </w:r>
      <w:r w:rsidRPr="00751EA7">
        <w:rPr>
          <w:rFonts w:ascii="Arial" w:hAnsi="Arial" w:cs="Arial"/>
          <w:color w:val="000000" w:themeColor="text1"/>
          <w:shd w:val="clear" w:color="auto" w:fill="FFFFFF"/>
        </w:rPr>
        <w:t>≥65 years, which also yielded very similar results (</w:t>
      </w:r>
      <w:r w:rsidRPr="00751EA7">
        <w:rPr>
          <w:rFonts w:ascii="Arial" w:hAnsi="Arial" w:cs="Arial"/>
          <w:i/>
          <w:iCs/>
          <w:color w:val="000000" w:themeColor="text1"/>
          <w:shd w:val="clear" w:color="auto" w:fill="FFFFFF"/>
        </w:rPr>
        <w:t>N</w:t>
      </w:r>
      <w:r w:rsidRPr="00751EA7">
        <w:rPr>
          <w:rFonts w:ascii="Arial" w:hAnsi="Arial" w:cs="Arial"/>
          <w:color w:val="000000" w:themeColor="text1"/>
          <w:shd w:val="clear" w:color="auto" w:fill="FFFFFF"/>
        </w:rPr>
        <w:t xml:space="preserve">=3,885, Table S16, Fig.S8). </w:t>
      </w:r>
    </w:p>
    <w:p w14:paraId="1343781D" w14:textId="77777777" w:rsidR="009C72DA" w:rsidRPr="00751EA7" w:rsidRDefault="009C72DA" w:rsidP="00751EA7">
      <w:pPr>
        <w:spacing w:line="240" w:lineRule="auto"/>
        <w:rPr>
          <w:rFonts w:ascii="Arial" w:eastAsia="Arial" w:hAnsi="Arial" w:cs="Arial"/>
          <w:b/>
          <w:bCs/>
        </w:rPr>
      </w:pPr>
    </w:p>
    <w:p w14:paraId="1E63A5BD" w14:textId="77777777" w:rsidR="009C72DA" w:rsidRPr="00751EA7" w:rsidRDefault="009C72DA" w:rsidP="00751EA7">
      <w:pPr>
        <w:spacing w:line="240" w:lineRule="auto"/>
        <w:rPr>
          <w:rFonts w:ascii="Arial" w:eastAsia="Arial" w:hAnsi="Arial" w:cs="Arial"/>
          <w:b/>
          <w:bCs/>
        </w:rPr>
      </w:pPr>
      <w:r w:rsidRPr="00751EA7">
        <w:rPr>
          <w:rFonts w:ascii="Arial" w:eastAsia="Arial" w:hAnsi="Arial" w:cs="Arial"/>
          <w:b/>
          <w:bCs/>
        </w:rPr>
        <w:t>Discovery Cohort Details: UK Biobank</w:t>
      </w:r>
    </w:p>
    <w:p w14:paraId="6FD9F5C9" w14:textId="7D3A8D80" w:rsidR="009C72DA" w:rsidRPr="00751EA7" w:rsidRDefault="009C72DA" w:rsidP="00751EA7">
      <w:pPr>
        <w:spacing w:line="240" w:lineRule="auto"/>
        <w:rPr>
          <w:rFonts w:ascii="Arial" w:hAnsi="Arial" w:cs="Arial"/>
        </w:rPr>
      </w:pPr>
      <w:r w:rsidRPr="00751EA7">
        <w:rPr>
          <w:rFonts w:ascii="Arial" w:hAnsi="Arial" w:cs="Arial"/>
        </w:rPr>
        <w:t>The UK Biobank is a population-based prospective cohort study with clinical data on approximately 500,000 participants aged 40-69 years at baseline.</w:t>
      </w:r>
      <w:r w:rsidRPr="00751EA7">
        <w:rPr>
          <w:rFonts w:ascii="Arial" w:hAnsi="Arial" w:cs="Arial"/>
        </w:rPr>
        <w:fldChar w:fldCharType="begin"/>
      </w:r>
      <w:r w:rsidR="00204343">
        <w:rPr>
          <w:rFonts w:ascii="Arial" w:hAnsi="Arial" w:cs="Arial"/>
        </w:rPr>
        <w:instrText xml:space="preserve"> ADDIN ZOTERO_ITEM CSL_CITATION {"citationID":"gum1lGsw","properties":{"formattedCitation":"\\super 1\\nosupersub{}","plainCitation":"1","noteIndex":0},"citationItems":[{"id":4776,"uris":["http://zotero.org/users/19072319/items/MB9PGUUY"],"itemData":{"id":4776,"type":"article-journal","abstract":"Population-based prospective studies, such as UK Biobank, are valuable for generating and testing hypotheses about the potential causes of human disease. We describe how UK Biobank's study design, data access policies, and approaches to statistical analysis can help to minimize error and improve the interpretability of research findings, with implications for other population-based prospective studies being established worldwide.","container-title":"Science Translational Medicine","DOI":"10.1126/scitranslmed.adf4428","ISSN":"1946-6242","issue":"729","journalAbbreviation":"Sci Transl Med","language":"eng","page":"eadf4428","PMID":"38198570","PMCID":"PMC11127744","source":"PubMed","title":"Prospective study design and data analysis in UK Biobank","volume":"16","author":[{"family":"Allen","given":"Naomi E."},{"family":"Lacey","given":"Ben"},{"family":"Lawlor","given":"Deborah A."},{"family":"Pell","given":"Jill P."},{"family":"Gallacher","given":"John"},{"family":"Smeeth","given":"Liam"},{"family":"Elliott","given":"Paul"},{"family":"Matthews","given":"Paul M."},{"family":"Lyons","given":"Ronan A."},{"family":"Whetton","given":"Anthony D."},{"family":"Lucassen","given":"Anneke"},{"family":"Hurles","given":"Matthew E."},{"family":"Chapman","given":"Michael"},{"family":"Roddam","given":"Andrew W."},{"family":"Fitzpatrick","given":"Natalie K."},{"family":"Hansell","given":"Anna L."},{"family":"Hardy","given":"Rebecca"},{"family":"Marioni","given":"Riccardo E."},{"family":"O'Donnell","given":"Valerie B."},{"family":"Williams","given":"Julie"},{"family":"Lindgren","given":"Cecilia M."},{"family":"Effingham","given":"Mark"},{"family":"Sellors","given":"Jonathan"},{"family":"Danesh","given":"John"},{"family":"Collins","given":"Rory"}],"issued":{"date-parts":[["2024",1,10]]}}}],"schema":"https://github.com/citation-style-language/schema/raw/master/csl-citation.json"} </w:instrText>
      </w:r>
      <w:r w:rsidRPr="00751EA7">
        <w:rPr>
          <w:rFonts w:ascii="Arial" w:hAnsi="Arial" w:cs="Arial"/>
        </w:rPr>
        <w:fldChar w:fldCharType="separate"/>
      </w:r>
      <w:r w:rsidR="00204343" w:rsidRPr="00204343">
        <w:rPr>
          <w:rFonts w:ascii="Arial" w:hAnsi="Arial" w:cs="Arial"/>
          <w:kern w:val="0"/>
          <w:vertAlign w:val="superscript"/>
          <w:lang w:val="en-US"/>
        </w:rPr>
        <w:t>1</w:t>
      </w:r>
      <w:r w:rsidRPr="00751EA7">
        <w:rPr>
          <w:rFonts w:ascii="Arial" w:hAnsi="Arial" w:cs="Arial"/>
        </w:rPr>
        <w:fldChar w:fldCharType="end"/>
      </w:r>
      <w:r w:rsidRPr="00751EA7">
        <w:rPr>
          <w:rFonts w:ascii="Arial" w:hAnsi="Arial" w:cs="Arial"/>
        </w:rPr>
        <w:t xml:space="preserve"> The UKB-PPP consortium generated proximity extension assay (PEA) Olink plasma proteomics data on a subset of participants’ baseline samples, resulting in up to 2,923 protein measurements from 52,995 participants in the post-UKB-PPP quality control dataset.</w:t>
      </w:r>
      <w:r w:rsidRPr="00751EA7">
        <w:rPr>
          <w:rFonts w:ascii="Arial" w:hAnsi="Arial" w:cs="Arial"/>
        </w:rPr>
        <w:fldChar w:fldCharType="begin"/>
      </w:r>
      <w:r w:rsidR="00204343">
        <w:rPr>
          <w:rFonts w:ascii="Arial" w:hAnsi="Arial" w:cs="Arial"/>
        </w:rPr>
        <w:instrText xml:space="preserve"> ADDIN ZOTERO_ITEM CSL_CITATION {"citationID":"7r3ibITl","properties":{"formattedCitation":"\\super 2\\nosupersub{}","plainCitation":"2","noteIndex":0},"citationItems":[{"id":4751,"uris":["http://zotero.org/users/19072319/items/J7L25M5Y"],"itemData":{"id":4751,"type":"article-journal","abstract":"The Pharma Proteomics Project is a precompetitive biopharmaceutical consortium characterizing the plasma proteomic profiles of 54,219 UK Biobank participants. Here we provide a detailed summary of this initiative, including technical and biological validations, insights into proteomic disease signatures, and prediction modelling for various demographic and health indicators. We present comprehensive protein quantitative trait locus (pQTL) mapping of 2,923 proteins that identifies 14,287 primary genetic associations, of which 81% are previously undescribed, alongside ancestry-specific pQTL mapping in non-European individuals. The study provides an updated characterization of the genetic architecture of the plasma proteome, contextualized with projected pQTL discovery rates as sample sizes and proteomic assay coverages increase over time. We offer extensive insights into trans pQTLs across multiple biological domains, highlight genetic influences on ligand-receptor interactions and pathway perturbations across a diverse collection of cytokines and complement networks, and illustrate long-range epistatic effects of ABO blood group and FUT2 secretor status on proteins with gastrointestinal tissue-enriched expression. We demonstrate the utility of these data for drug discovery by extending the genetic proxied effects of protein targets, such as PCSK9, on additional endpoints, and disentangle specific genes and proteins perturbed at loci associated with COVID-19 susceptibility. This public-private partnership provides the scientific community with an open-access proteomics resource of considerable breadth and depth to help to elucidate the biological mechanisms underlying proteo-genomic discoveries and accelerate the development of biomarkers, predictive models and therapeutics1.","container-title":"Nature","DOI":"10.1038/s41586-023-06592-6","ISSN":"1476-4687","issue":"7982","journalAbbreviation":"Nature","language":"eng","page":"329-338","PMID":"37794186","PMCID":"PMC10567551","source":"PubMed","title":"Plasma proteomic associations with genetics and health in the UK Biobank","volume":"622","author":[{"family":"Sun","given":"Benjamin B."},{"family":"Chiou","given":"Joshua"},{"family":"Traylor","given":"Matthew"},{"family":"Benner","given":"Christian"},{"family":"Hsu","given":"Yi-Hsiang"},{"family":"Richardson","given":"Tom G."},{"family":"Surendran","given":"Praveen"},{"family":"Mahajan","given":"Anubha"},{"family":"Robins","given":"Chloe"},{"family":"Vasquez-Grinnell","given":"Steven G."},{"family":"Hou","given":"Liping"},{"family":"Kvikstad","given":"Erika M."},{"family":"Burren","given":"Oliver S."},{"family":"Davitte","given":"Jonathan"},{"family":"Ferber","given":"Kyle L."},{"family":"Gillies","given":"Christopher E."},{"family":"Hedman","given":"Åsa K."},{"family":"Hu","given":"Sile"},{"family":"Lin","given":"Tinchi"},{"family":"Mikkilineni","given":"Rajesh"},{"family":"Pendergrass","given":"Rion K."},{"family":"Pickering","given":"Corran"},{"family":"Prins","given":"Bram"},{"family":"Baird","given":"Denis"},{"family":"Chen","given":"Chia-Yen"},{"family":"Ward","given":"Lucas D."},{"family":"Deaton","given":"Aimee M."},{"family":"Welsh","given":"Samantha"},{"family":"Willis","given":"Carissa M."},{"family":"Lehner","given":"Nick"},{"family":"Arnold","given":"Matthias"},{"family":"Wörheide","given":"Maria A."},{"family":"Suhre","given":"Karsten"},{"family":"Kastenmüller","given":"Gabi"},{"family":"Sethi","given":"Anurag"},{"family":"Cule","given":"Madeleine"},{"family":"Raj","given":"Anil"},{"literal":"Alnylam Human Genetics"},{"literal":"AstraZeneca Genomics Initiative"},{"literal":"Biogen Biobank Team"},{"literal":"Bristol Myers Squibb"},{"literal":"Genentech Human Genetics"},{"literal":"GlaxoSmithKline Genomic Sciences"},{"literal":"Pfizer Integrative Biology"},{"literal":"Population Analytics of Janssen Data Sciences"},{"literal":"Regeneron Genetics Center"},{"family":"Burkitt-Gray","given":"Lucy"},{"family":"Melamud","given":"Eugene"},{"family":"Black","given":"Mary Helen"},{"family":"Fauman","given":"Eric B."},{"family":"Howson","given":"Joanna M. M."},{"family":"Kang","given":"Hyun Min"},{"family":"McCarthy","given":"Mark I."},{"family":"Nioi","given":"Paul"},{"family":"Petrovski","given":"Slavé"},{"family":"Scott","given":"Robert A."},{"family":"Smith","given":"Erin N."},{"family":"Szalma","given":"Sándor"},{"family":"Waterworth","given":"Dawn M."},{"family":"Mitnaul","given":"Lyndon J."},{"family":"Szustakowski","given":"Joseph D."},{"family":"Gibson","given":"Bradford W."},{"family":"Miller","given":"Melissa R."},{"family":"Whelan","given":"Christopher D."}],"issued":{"date-parts":[["2023",10]]}}}],"schema":"https://github.com/citation-style-language/schema/raw/master/csl-citation.json"} </w:instrText>
      </w:r>
      <w:r w:rsidRPr="00751EA7">
        <w:rPr>
          <w:rFonts w:ascii="Arial" w:hAnsi="Arial" w:cs="Arial"/>
        </w:rPr>
        <w:fldChar w:fldCharType="separate"/>
      </w:r>
      <w:r w:rsidR="00204343" w:rsidRPr="00204343">
        <w:rPr>
          <w:rFonts w:ascii="Arial" w:hAnsi="Arial" w:cs="Arial"/>
          <w:kern w:val="0"/>
          <w:vertAlign w:val="superscript"/>
          <w:lang w:val="en-US"/>
        </w:rPr>
        <w:t>2</w:t>
      </w:r>
      <w:r w:rsidRPr="00751EA7">
        <w:rPr>
          <w:rFonts w:ascii="Arial" w:hAnsi="Arial" w:cs="Arial"/>
        </w:rPr>
        <w:fldChar w:fldCharType="end"/>
      </w:r>
      <w:r w:rsidRPr="00751EA7">
        <w:rPr>
          <w:rFonts w:ascii="Arial" w:hAnsi="Arial" w:cs="Arial"/>
        </w:rPr>
        <w:t xml:space="preserve"> Details of proteomics data generation, processing, and quality control have been previously described</w:t>
      </w:r>
      <w:r w:rsidRPr="00751EA7">
        <w:rPr>
          <w:rFonts w:ascii="Arial" w:hAnsi="Arial" w:cs="Arial"/>
        </w:rPr>
        <w:fldChar w:fldCharType="begin"/>
      </w:r>
      <w:r w:rsidR="00204343">
        <w:rPr>
          <w:rFonts w:ascii="Arial" w:hAnsi="Arial" w:cs="Arial"/>
        </w:rPr>
        <w:instrText xml:space="preserve"> ADDIN ZOTERO_ITEM CSL_CITATION {"citationID":"Kpes6stg","properties":{"formattedCitation":"\\super 2\\nosupersub{}","plainCitation":"2","noteIndex":0},"citationItems":[{"id":4751,"uris":["http://zotero.org/users/19072319/items/J7L25M5Y"],"itemData":{"id":4751,"type":"article-journal","abstract":"The Pharma Proteomics Project is a precompetitive biopharmaceutical consortium characterizing the plasma proteomic profiles of 54,219 UK Biobank participants. Here we provide a detailed summary of this initiative, including technical and biological validations, insights into proteomic disease signatures, and prediction modelling for various demographic and health indicators. We present comprehensive protein quantitative trait locus (pQTL) mapping of 2,923 proteins that identifies 14,287 primary genetic associations, of which 81% are previously undescribed, alongside ancestry-specific pQTL mapping in non-European individuals. The study provides an updated characterization of the genetic architecture of the plasma proteome, contextualized with projected pQTL discovery rates as sample sizes and proteomic assay coverages increase over time. We offer extensive insights into trans pQTLs across multiple biological domains, highlight genetic influences on ligand-receptor interactions and pathway perturbations across a diverse collection of cytokines and complement networks, and illustrate long-range epistatic effects of ABO blood group and FUT2 secretor status on proteins with gastrointestinal tissue-enriched expression. We demonstrate the utility of these data for drug discovery by extending the genetic proxied effects of protein targets, such as PCSK9, on additional endpoints, and disentangle specific genes and proteins perturbed at loci associated with COVID-19 susceptibility. This public-private partnership provides the scientific community with an open-access proteomics resource of considerable breadth and depth to help to elucidate the biological mechanisms underlying proteo-genomic discoveries and accelerate the development of biomarkers, predictive models and therapeutics1.","container-title":"Nature","DOI":"10.1038/s41586-023-06592-6","ISSN":"1476-4687","issue":"7982","journalAbbreviation":"Nature","language":"eng","page":"329-338","PMID":"37794186","PMCID":"PMC10567551","source":"PubMed","title":"Plasma proteomic associations with genetics and health in the UK Biobank","volume":"622","author":[{"family":"Sun","given":"Benjamin B."},{"family":"Chiou","given":"Joshua"},{"family":"Traylor","given":"Matthew"},{"family":"Benner","given":"Christian"},{"family":"Hsu","given":"Yi-Hsiang"},{"family":"Richardson","given":"Tom G."},{"family":"Surendran","given":"Praveen"},{"family":"Mahajan","given":"Anubha"},{"family":"Robins","given":"Chloe"},{"family":"Vasquez-Grinnell","given":"Steven G."},{"family":"Hou","given":"Liping"},{"family":"Kvikstad","given":"Erika M."},{"family":"Burren","given":"Oliver S."},{"family":"Davitte","given":"Jonathan"},{"family":"Ferber","given":"Kyle L."},{"family":"Gillies","given":"Christopher E."},{"family":"Hedman","given":"Åsa K."},{"family":"Hu","given":"Sile"},{"family":"Lin","given":"Tinchi"},{"family":"Mikkilineni","given":"Rajesh"},{"family":"Pendergrass","given":"Rion K."},{"family":"Pickering","given":"Corran"},{"family":"Prins","given":"Bram"},{"family":"Baird","given":"Denis"},{"family":"Chen","given":"Chia-Yen"},{"family":"Ward","given":"Lucas D."},{"family":"Deaton","given":"Aimee M."},{"family":"Welsh","given":"Samantha"},{"family":"Willis","given":"Carissa M."},{"family":"Lehner","given":"Nick"},{"family":"Arnold","given":"Matthias"},{"family":"Wörheide","given":"Maria A."},{"family":"Suhre","given":"Karsten"},{"family":"Kastenmüller","given":"Gabi"},{"family":"Sethi","given":"Anurag"},{"family":"Cule","given":"Madeleine"},{"family":"Raj","given":"Anil"},{"literal":"Alnylam Human Genetics"},{"literal":"AstraZeneca Genomics Initiative"},{"literal":"Biogen Biobank Team"},{"literal":"Bristol Myers Squibb"},{"literal":"Genentech Human Genetics"},{"literal":"GlaxoSmithKline Genomic Sciences"},{"literal":"Pfizer Integrative Biology"},{"literal":"Population Analytics of Janssen Data Sciences"},{"literal":"Regeneron Genetics Center"},{"family":"Burkitt-Gray","given":"Lucy"},{"family":"Melamud","given":"Eugene"},{"family":"Black","given":"Mary Helen"},{"family":"Fauman","given":"Eric B."},{"family":"Howson","given":"Joanna M. M."},{"family":"Kang","given":"Hyun Min"},{"family":"McCarthy","given":"Mark I."},{"family":"Nioi","given":"Paul"},{"family":"Petrovski","given":"Slavé"},{"family":"Scott","given":"Robert A."},{"family":"Smith","given":"Erin N."},{"family":"Szalma","given":"Sándor"},{"family":"Waterworth","given":"Dawn M."},{"family":"Mitnaul","given":"Lyndon J."},{"family":"Szustakowski","given":"Joseph D."},{"family":"Gibson","given":"Bradford W."},{"family":"Miller","given":"Melissa R."},{"family":"Whelan","given":"Christopher D."}],"issued":{"date-parts":[["2023",10]]}}}],"schema":"https://github.com/citation-style-language/schema/raw/master/csl-citation.json"} </w:instrText>
      </w:r>
      <w:r w:rsidRPr="00751EA7">
        <w:rPr>
          <w:rFonts w:ascii="Arial" w:hAnsi="Arial" w:cs="Arial"/>
        </w:rPr>
        <w:fldChar w:fldCharType="separate"/>
      </w:r>
      <w:r w:rsidR="00204343" w:rsidRPr="00204343">
        <w:rPr>
          <w:rFonts w:ascii="Arial" w:hAnsi="Arial" w:cs="Arial"/>
          <w:kern w:val="0"/>
          <w:vertAlign w:val="superscript"/>
          <w:lang w:val="en-US"/>
        </w:rPr>
        <w:t>2</w:t>
      </w:r>
      <w:r w:rsidRPr="00751EA7">
        <w:rPr>
          <w:rFonts w:ascii="Arial" w:hAnsi="Arial" w:cs="Arial"/>
        </w:rPr>
        <w:fldChar w:fldCharType="end"/>
      </w:r>
      <w:r w:rsidRPr="00751EA7">
        <w:rPr>
          <w:rFonts w:ascii="Arial" w:hAnsi="Arial" w:cs="Arial"/>
        </w:rPr>
        <w:t xml:space="preserve"> and are available at </w:t>
      </w:r>
      <w:hyperlink r:id="rId7" w:history="1">
        <w:r w:rsidRPr="00751EA7">
          <w:rPr>
            <w:rStyle w:val="Hyperlink"/>
            <w:rFonts w:ascii="Arial" w:eastAsiaTheme="majorEastAsia" w:hAnsi="Arial" w:cs="Arial"/>
          </w:rPr>
          <w:t>https://biobank.ndph.ox.ac.uk/ukb/ukb/docs/PPP_Phase_1_QC_dataset_companion_do</w:t>
        </w:r>
        <w:r w:rsidRPr="00751EA7">
          <w:rPr>
            <w:rStyle w:val="Hyperlink"/>
            <w:rFonts w:ascii="Arial" w:eastAsiaTheme="majorEastAsia" w:hAnsi="Arial" w:cs="Arial"/>
          </w:rPr>
          <w:lastRenderedPageBreak/>
          <w:t>c.pdf</w:t>
        </w:r>
      </w:hyperlink>
      <w:r w:rsidRPr="00751EA7">
        <w:rPr>
          <w:rFonts w:ascii="Arial" w:hAnsi="Arial" w:cs="Arial"/>
        </w:rPr>
        <w:t xml:space="preserve">. We excluded 9 proteins with &gt;20% missing data, for a total of 2,914 proteins in main analyses. </w:t>
      </w:r>
    </w:p>
    <w:p w14:paraId="17B70DB8" w14:textId="3E67784D" w:rsidR="009C72DA" w:rsidRPr="00751EA7" w:rsidRDefault="009C72DA" w:rsidP="00751EA7">
      <w:pPr>
        <w:spacing w:line="240" w:lineRule="auto"/>
        <w:rPr>
          <w:rFonts w:ascii="Arial" w:eastAsia="Arial" w:hAnsi="Arial" w:cs="Arial"/>
        </w:rPr>
      </w:pPr>
      <w:r w:rsidRPr="00751EA7">
        <w:rPr>
          <w:rFonts w:ascii="Arial" w:hAnsi="Arial" w:cs="Arial"/>
        </w:rPr>
        <w:t xml:space="preserve">Of participants with baseline Olink proteomics data, there were </w:t>
      </w:r>
      <w:r w:rsidRPr="00751EA7">
        <w:rPr>
          <w:rFonts w:ascii="Arial" w:hAnsi="Arial" w:cs="Arial"/>
          <w:i/>
          <w:iCs/>
        </w:rPr>
        <w:t>N</w:t>
      </w:r>
      <w:r w:rsidRPr="00751EA7">
        <w:rPr>
          <w:rFonts w:ascii="Arial" w:hAnsi="Arial" w:cs="Arial"/>
        </w:rPr>
        <w:t xml:space="preserve">=16,286 female participants who reported being postmenopausal at baseline (answered “yes” to </w:t>
      </w:r>
      <w:r w:rsidRPr="00751EA7">
        <w:rPr>
          <w:rFonts w:ascii="Arial" w:hAnsi="Arial" w:cs="Arial"/>
          <w:color w:val="000000"/>
          <w:shd w:val="clear" w:color="auto" w:fill="FFFFFF"/>
        </w:rPr>
        <w:t xml:space="preserve">"Have you had your menopause (periods stopped)?") and had available data on self-reported age menopause, which in the UKB is defined as age at final menstrual period. </w:t>
      </w:r>
      <w:r w:rsidRPr="00751EA7">
        <w:rPr>
          <w:rFonts w:ascii="Arial" w:hAnsi="Arial" w:cs="Arial"/>
        </w:rPr>
        <w:t>Of postmenopausal women with age at menopause data, we excluded</w:t>
      </w:r>
      <w:r w:rsidRPr="00751EA7">
        <w:rPr>
          <w:rFonts w:ascii="Arial" w:hAnsi="Arial" w:cs="Arial"/>
          <w:i/>
          <w:iCs/>
        </w:rPr>
        <w:t xml:space="preserve"> N</w:t>
      </w:r>
      <w:r w:rsidRPr="00751EA7">
        <w:rPr>
          <w:rFonts w:ascii="Arial" w:hAnsi="Arial" w:cs="Arial"/>
        </w:rPr>
        <w:t xml:space="preserve">=533 postmenopausal women who were younger than 50 years old at baseline to mitigate associations between chronological age and age at menopause introduced by sampling bias, resulting in a minimal correlation between chronological age and age at menopause (r=0.079). </w:t>
      </w:r>
      <w:r w:rsidRPr="00751EA7">
        <w:rPr>
          <w:rFonts w:ascii="Arial" w:hAnsi="Arial" w:cs="Arial"/>
          <w:color w:val="000000"/>
          <w:shd w:val="clear" w:color="auto" w:fill="FFFFFF"/>
        </w:rPr>
        <w:t xml:space="preserve">To ensure that age at menstrual cessation accurately reflects age at ovarian failure, we further excluded </w:t>
      </w:r>
      <w:r w:rsidRPr="00751EA7">
        <w:rPr>
          <w:rFonts w:ascii="Arial" w:hAnsi="Arial" w:cs="Arial"/>
        </w:rPr>
        <w:t>women who reported having a hysterectomy at a younger age than their age at final menstrual period, with either no bilateral oophorectomy (</w:t>
      </w:r>
      <w:r w:rsidRPr="00751EA7">
        <w:rPr>
          <w:rFonts w:ascii="Arial" w:hAnsi="Arial" w:cs="Arial"/>
          <w:i/>
          <w:iCs/>
        </w:rPr>
        <w:t>N</w:t>
      </w:r>
      <w:r w:rsidRPr="00751EA7">
        <w:rPr>
          <w:rFonts w:ascii="Arial" w:hAnsi="Arial" w:cs="Arial"/>
        </w:rPr>
        <w:t>=696) or bilateral oophorectomy at an age after age at hysterectomy (</w:t>
      </w:r>
      <w:r w:rsidRPr="00751EA7">
        <w:rPr>
          <w:rFonts w:ascii="Arial" w:hAnsi="Arial" w:cs="Arial"/>
          <w:i/>
          <w:iCs/>
        </w:rPr>
        <w:t>N</w:t>
      </w:r>
      <w:r w:rsidRPr="00751EA7">
        <w:rPr>
          <w:rFonts w:ascii="Arial" w:hAnsi="Arial" w:cs="Arial"/>
        </w:rPr>
        <w:t xml:space="preserve">=45). These exclusions resulted in a total main analytic sample of </w:t>
      </w:r>
      <w:r w:rsidRPr="00751EA7">
        <w:rPr>
          <w:rFonts w:ascii="Arial" w:hAnsi="Arial" w:cs="Arial"/>
          <w:i/>
          <w:iCs/>
        </w:rPr>
        <w:t>N</w:t>
      </w:r>
      <w:r w:rsidRPr="00751EA7">
        <w:rPr>
          <w:rFonts w:ascii="Arial" w:hAnsi="Arial" w:cs="Arial"/>
        </w:rPr>
        <w:t xml:space="preserve">=15,012 (Table S1). </w:t>
      </w:r>
      <w:r w:rsidR="007E251B">
        <w:rPr>
          <w:rFonts w:ascii="Arial" w:hAnsi="Arial" w:cs="Arial"/>
          <w:color w:val="000000" w:themeColor="text1"/>
        </w:rPr>
        <w:t xml:space="preserve">Surgical menopause was defined as bilateral oophorectomy at an age equal to or younger than self-reported age at final menstrual period, spontaneous (i.e., natural) menopause was defined as menstrual cessation in women with no history of bilateral oophorectomy. </w:t>
      </w:r>
      <w:r w:rsidRPr="00751EA7">
        <w:rPr>
          <w:rFonts w:ascii="Arial" w:hAnsi="Arial" w:cs="Arial"/>
        </w:rPr>
        <w:t xml:space="preserve">In addition to age at menopause and cause of menopause, participants self-reported their histories of </w:t>
      </w:r>
      <w:r w:rsidRPr="00751EA7">
        <w:rPr>
          <w:rFonts w:ascii="Arial" w:hAnsi="Arial" w:cs="Arial"/>
          <w:color w:val="000000" w:themeColor="text1"/>
        </w:rPr>
        <w:t>hormone therapy use, demographic information, and medical conditions</w:t>
      </w:r>
      <w:r w:rsidR="006E633F">
        <w:rPr>
          <w:rFonts w:ascii="Arial" w:hAnsi="Arial" w:cs="Arial"/>
          <w:color w:val="000000" w:themeColor="text1"/>
        </w:rPr>
        <w:t xml:space="preserve">. </w:t>
      </w:r>
      <w:r w:rsidR="00751EA7">
        <w:rPr>
          <w:rFonts w:ascii="Arial" w:eastAsia="Arial" w:hAnsi="Arial" w:cs="Arial"/>
        </w:rPr>
        <w:t>Proteomic analyses for menopause</w:t>
      </w:r>
      <w:r w:rsidR="00751EA7" w:rsidRPr="00751EA7">
        <w:rPr>
          <w:rFonts w:ascii="Arial" w:eastAsia="Arial" w:hAnsi="Arial" w:cs="Arial"/>
        </w:rPr>
        <w:t xml:space="preserve"> type included </w:t>
      </w:r>
      <w:r w:rsidR="00751EA7" w:rsidRPr="00751EA7">
        <w:rPr>
          <w:rFonts w:ascii="Arial" w:eastAsia="Arial" w:hAnsi="Arial" w:cs="Arial"/>
          <w:i/>
          <w:iCs/>
        </w:rPr>
        <w:t>N</w:t>
      </w:r>
      <w:r w:rsidR="00751EA7" w:rsidRPr="00751EA7">
        <w:rPr>
          <w:rFonts w:ascii="Arial" w:eastAsia="Arial" w:hAnsi="Arial" w:cs="Arial"/>
        </w:rPr>
        <w:t>=14,772 women with available data on menopause type and hormone therapy history (</w:t>
      </w:r>
      <w:r w:rsidR="00751EA7" w:rsidRPr="00751EA7">
        <w:rPr>
          <w:rFonts w:ascii="Arial" w:eastAsia="Arial" w:hAnsi="Arial" w:cs="Arial"/>
          <w:i/>
          <w:iCs/>
        </w:rPr>
        <w:t>N</w:t>
      </w:r>
      <w:r w:rsidR="00751EA7" w:rsidRPr="00751EA7">
        <w:rPr>
          <w:rFonts w:ascii="Arial" w:eastAsia="Arial" w:hAnsi="Arial" w:cs="Arial"/>
        </w:rPr>
        <w:t xml:space="preserve">=208 missing menopause type, </w:t>
      </w:r>
      <w:r w:rsidR="00751EA7" w:rsidRPr="00751EA7">
        <w:rPr>
          <w:rFonts w:ascii="Arial" w:eastAsia="Arial" w:hAnsi="Arial" w:cs="Arial"/>
          <w:i/>
          <w:iCs/>
        </w:rPr>
        <w:t>N</w:t>
      </w:r>
      <w:r w:rsidR="00751EA7" w:rsidRPr="00751EA7">
        <w:rPr>
          <w:rFonts w:ascii="Arial" w:eastAsia="Arial" w:hAnsi="Arial" w:cs="Arial"/>
        </w:rPr>
        <w:t xml:space="preserve">=32 missing hormone therapy data). </w:t>
      </w:r>
    </w:p>
    <w:p w14:paraId="6495FC52" w14:textId="376EED81" w:rsidR="009C72DA" w:rsidRPr="00751EA7" w:rsidRDefault="009C72DA" w:rsidP="00751EA7">
      <w:pPr>
        <w:spacing w:line="240" w:lineRule="auto"/>
        <w:rPr>
          <w:rFonts w:ascii="Arial" w:hAnsi="Arial" w:cs="Arial"/>
        </w:rPr>
      </w:pPr>
      <w:r w:rsidRPr="00751EA7">
        <w:rPr>
          <w:rFonts w:ascii="Arial" w:hAnsi="Arial" w:cs="Arial"/>
          <w:color w:val="000000" w:themeColor="text1"/>
        </w:rPr>
        <w:t>Consistent with prior work, incident all-cause dementia was algorithmically defined using a combination of information in international classification of diseases (ICD) diagnosis codes in linked primary care, hospital inpatient, and death registry data (codes</w:t>
      </w:r>
      <w:r w:rsidRPr="00751EA7">
        <w:rPr>
          <w:rFonts w:ascii="Arial" w:hAnsi="Arial" w:cs="Arial"/>
          <w:color w:val="000000" w:themeColor="text1"/>
          <w:shd w:val="clear" w:color="auto" w:fill="FFFFFF"/>
        </w:rPr>
        <w:t xml:space="preserve"> A81, F00 to F03, F05, F10, G30, G31 and I67).</w:t>
      </w:r>
      <w:r w:rsidRPr="00751EA7">
        <w:rPr>
          <w:rFonts w:ascii="Arial" w:hAnsi="Arial" w:cs="Arial"/>
          <w:color w:val="000000" w:themeColor="text1"/>
          <w:shd w:val="clear" w:color="auto" w:fill="FFFFFF"/>
        </w:rPr>
        <w:fldChar w:fldCharType="begin"/>
      </w:r>
      <w:r w:rsidR="00204343">
        <w:rPr>
          <w:rFonts w:ascii="Arial" w:hAnsi="Arial" w:cs="Arial"/>
          <w:color w:val="000000" w:themeColor="text1"/>
          <w:shd w:val="clear" w:color="auto" w:fill="FFFFFF"/>
        </w:rPr>
        <w:instrText xml:space="preserve"> ADDIN ZOTERO_ITEM CSL_CITATION {"citationID":"TlNOvL7Z","properties":{"formattedCitation":"\\super 3\\nosupersub{}","plainCitation":"3","noteIndex":0},"citationItems":[{"id":4855,"uris":["http://zotero.org/users/19072319/items/DP8INZT5"],"itemData":{"id":4855,"type":"article-journal","container-title":"Nature Medicine","DOI":"10.1038/s41591-025-03798-1","ISSN":"1078-8956, 1546-170X","issue":"8","journalAbbreviation":"Nat Med","language":"en","page":"2703-2711","source":"DOI.org (Crossref)","title":"Plasma proteomics links brain and immune system aging with healthspan and longevity","volume":"31","author":[{"family":"Oh","given":"Hamilton Se-Hwee"},{"family":"Le Guen","given":"Yann"},{"family":"Rappoport","given":"Nimrod"},{"family":"Urey","given":"Deniz Yagmur"},{"family":"Farinas","given":"Amelia"},{"family":"Rutledge","given":"Jarod"},{"family":"Channappa","given":"Divya"},{"family":"Wagner","given":"Anthony D."},{"family":"Mormino","given":"Elizabeth"},{"family":"Brunet","given":"Anne"},{"family":"Greicius","given":"Michael D."},{"family":"Wyss-Coray","given":"Tony"}],"issued":{"date-parts":[["2025",8]]}}}],"schema":"https://github.com/citation-style-language/schema/raw/master/csl-citation.json"} </w:instrText>
      </w:r>
      <w:r w:rsidRPr="00751EA7">
        <w:rPr>
          <w:rFonts w:ascii="Arial" w:hAnsi="Arial" w:cs="Arial"/>
          <w:color w:val="000000" w:themeColor="text1"/>
          <w:shd w:val="clear" w:color="auto" w:fill="FFFFFF"/>
        </w:rPr>
        <w:fldChar w:fldCharType="separate"/>
      </w:r>
      <w:r w:rsidR="00204343" w:rsidRPr="00204343">
        <w:rPr>
          <w:rFonts w:ascii="Arial" w:hAnsi="Arial" w:cs="Arial"/>
          <w:color w:val="000000"/>
          <w:kern w:val="0"/>
          <w:vertAlign w:val="superscript"/>
          <w:lang w:val="en-US"/>
        </w:rPr>
        <w:t>3</w:t>
      </w:r>
      <w:r w:rsidRPr="00751EA7">
        <w:rPr>
          <w:rFonts w:ascii="Arial" w:hAnsi="Arial" w:cs="Arial"/>
          <w:color w:val="000000" w:themeColor="text1"/>
          <w:shd w:val="clear" w:color="auto" w:fill="FFFFFF"/>
        </w:rPr>
        <w:fldChar w:fldCharType="end"/>
      </w:r>
      <w:r w:rsidRPr="00751EA7">
        <w:rPr>
          <w:rFonts w:ascii="Arial" w:hAnsi="Arial" w:cs="Arial"/>
          <w:color w:val="000000" w:themeColor="text1"/>
          <w:shd w:val="clear" w:color="auto" w:fill="FFFFFF"/>
        </w:rPr>
        <w:t xml:space="preserve"> </w:t>
      </w:r>
      <w:r w:rsidRPr="00751EA7">
        <w:rPr>
          <w:rFonts w:ascii="Arial" w:hAnsi="Arial" w:cs="Arial"/>
        </w:rPr>
        <w:t xml:space="preserve">Analyses of incident dementia included a subset of </w:t>
      </w:r>
      <w:r w:rsidRPr="00751EA7">
        <w:rPr>
          <w:rFonts w:ascii="Arial" w:hAnsi="Arial" w:cs="Arial"/>
          <w:i/>
          <w:iCs/>
        </w:rPr>
        <w:t>N</w:t>
      </w:r>
      <w:r w:rsidRPr="00751EA7">
        <w:rPr>
          <w:rFonts w:ascii="Arial" w:hAnsi="Arial" w:cs="Arial"/>
        </w:rPr>
        <w:t>=14,995 participants (</w:t>
      </w:r>
      <w:r w:rsidRPr="00751EA7">
        <w:rPr>
          <w:rFonts w:ascii="Arial" w:hAnsi="Arial" w:cs="Arial"/>
          <w:i/>
          <w:iCs/>
        </w:rPr>
        <w:t>N</w:t>
      </w:r>
      <w:r w:rsidRPr="00751EA7">
        <w:rPr>
          <w:rFonts w:ascii="Arial" w:hAnsi="Arial" w:cs="Arial"/>
        </w:rPr>
        <w:t xml:space="preserve">=17 with dementia at baseline excluded). Participants were censored at first dementia diagnosis, death, or September 2025, representing the most recent update of algorithmically defined dementia outcomes in the UKB. </w:t>
      </w:r>
    </w:p>
    <w:p w14:paraId="319304F0" w14:textId="11642E69" w:rsidR="00751EA7" w:rsidRPr="00751EA7" w:rsidRDefault="009C72DA" w:rsidP="00751EA7">
      <w:pPr>
        <w:spacing w:line="240" w:lineRule="auto"/>
        <w:rPr>
          <w:rFonts w:ascii="Arial" w:hAnsi="Arial" w:cs="Arial"/>
        </w:rPr>
      </w:pPr>
      <w:r w:rsidRPr="00751EA7">
        <w:rPr>
          <w:rFonts w:ascii="Arial" w:hAnsi="Arial" w:cs="Arial"/>
        </w:rPr>
        <w:t>A subset of participants in our main analytic sample (</w:t>
      </w:r>
      <w:r w:rsidRPr="00751EA7">
        <w:rPr>
          <w:rFonts w:ascii="Arial" w:hAnsi="Arial" w:cs="Arial"/>
          <w:i/>
          <w:iCs/>
        </w:rPr>
        <w:t>N</w:t>
      </w:r>
      <w:r w:rsidRPr="00751EA7">
        <w:rPr>
          <w:rFonts w:ascii="Arial" w:hAnsi="Arial" w:cs="Arial"/>
        </w:rPr>
        <w:t xml:space="preserve">=2,198) underwent brain MRI on </w:t>
      </w:r>
      <w:r w:rsidRPr="00751EA7">
        <w:rPr>
          <w:rFonts w:ascii="Arial" w:hAnsi="Arial" w:cs="Arial"/>
          <w:color w:val="222222"/>
          <w:shd w:val="clear" w:color="auto" w:fill="FFFFFF"/>
        </w:rPr>
        <w:t xml:space="preserve">a standard Siemens Skyra 3T scanner with a 32-channel head coil, including T1w and T2w structural imaging and diffusion imaging. </w:t>
      </w:r>
      <w:r w:rsidRPr="00751EA7">
        <w:rPr>
          <w:rFonts w:ascii="Arial" w:eastAsia="Arial" w:hAnsi="Arial" w:cs="Arial"/>
          <w:color w:val="000000" w:themeColor="text1"/>
        </w:rPr>
        <w:t>Brain MRI was acquired at a mean (</w:t>
      </w:r>
      <w:r w:rsidRPr="00751EA7">
        <w:rPr>
          <w:rFonts w:ascii="Arial" w:eastAsia="Arial" w:hAnsi="Arial" w:cs="Arial"/>
          <w:i/>
          <w:iCs/>
          <w:color w:val="000000" w:themeColor="text1"/>
        </w:rPr>
        <w:t>SD</w:t>
      </w:r>
      <w:r w:rsidRPr="00751EA7">
        <w:rPr>
          <w:rFonts w:ascii="Arial" w:eastAsia="Arial" w:hAnsi="Arial" w:cs="Arial"/>
          <w:color w:val="000000" w:themeColor="text1"/>
        </w:rPr>
        <w:t xml:space="preserve">) of 11.22 (3.06) years after the Olink blood draw. </w:t>
      </w:r>
      <w:r w:rsidRPr="00751EA7">
        <w:rPr>
          <w:rFonts w:ascii="Arial" w:hAnsi="Arial" w:cs="Arial"/>
          <w:color w:val="222222"/>
          <w:shd w:val="clear" w:color="auto" w:fill="FFFFFF"/>
        </w:rPr>
        <w:t>Image acquisition parameters and processing pipelines have been previously described</w:t>
      </w:r>
      <w:r w:rsidRPr="00751EA7">
        <w:rPr>
          <w:rFonts w:ascii="Arial" w:eastAsia="Arial" w:hAnsi="Arial" w:cs="Arial"/>
          <w:color w:val="000000" w:themeColor="text1"/>
        </w:rPr>
        <w:fldChar w:fldCharType="begin"/>
      </w:r>
      <w:r w:rsidR="00204343">
        <w:rPr>
          <w:rFonts w:ascii="Arial" w:eastAsia="Arial" w:hAnsi="Arial" w:cs="Arial"/>
          <w:color w:val="000000" w:themeColor="text1"/>
        </w:rPr>
        <w:instrText xml:space="preserve"> ADDIN ZOTERO_ITEM CSL_CITATION {"citationID":"SS5PSC7L","properties":{"formattedCitation":"\\super 4\\nosupersub{}","plainCitation":"4","noteIndex":0},"citationItems":[{"id":4898,"uris":["http://zotero.org/users/19072319/items/4PATAMRN"],"itemData":{"id":4898,"type":"article-journal","container-title":"Nature Neuroscience","DOI":"10.1038/nn.4393","ISSN":"1097-6256, 1546-1726","issue":"11","journalAbbreviation":"Nat Neurosci","language":"en","page":"1523-1536","source":"DOI.org (Crossref)","title":"Multimodal population brain imaging in the UK Biobank prospective epidemiological study","volume":"19","author":[{"family":"Miller","given":"Karla L"},{"family":"Alfaro-Almagro","given":"Fidel"},{"family":"Bangerter","given":"Neal K"},{"family":"Thomas","given":"David L"},{"family":"Yacoub","given":"Essa"},{"family":"Xu","given":"Junqian"},{"family":"Bartsch","given":"Andreas J"},{"family":"Jbabdi","given":"Saad"},{"family":"Sotiropoulos","given":"Stamatios N"},{"family":"Andersson","given":"Jesper L R"},{"family":"Griffanti","given":"Ludovica"},{"family":"Douaud","given":"Gwenaëlle"},{"family":"Okell","given":"Thomas W"},{"family":"Weale","given":"Peter"},{"family":"Dragonu","given":"Iulius"},{"family":"Garratt","given":"Steve"},{"family":"Hudson","given":"Sarah"},{"family":"Collins","given":"Rory"},{"family":"Jenkinson","given":"Mark"},{"family":"Matthews","given":"Paul M"},{"family":"Smith","given":"Stephen M"}],"issued":{"date-parts":[["2016",11]]}}}],"schema":"https://github.com/citation-style-language/schema/raw/master/csl-citation.json"} </w:instrText>
      </w:r>
      <w:r w:rsidRPr="00751EA7">
        <w:rPr>
          <w:rFonts w:ascii="Arial" w:eastAsia="Arial" w:hAnsi="Arial" w:cs="Arial"/>
          <w:color w:val="000000" w:themeColor="text1"/>
        </w:rPr>
        <w:fldChar w:fldCharType="separate"/>
      </w:r>
      <w:r w:rsidR="00204343" w:rsidRPr="00204343">
        <w:rPr>
          <w:rFonts w:ascii="Arial" w:hAnsi="Arial" w:cs="Arial"/>
          <w:color w:val="000000"/>
          <w:kern w:val="0"/>
          <w:vertAlign w:val="superscript"/>
          <w:lang w:val="en-US"/>
        </w:rPr>
        <w:t>4</w:t>
      </w:r>
      <w:r w:rsidRPr="00751EA7">
        <w:rPr>
          <w:rFonts w:ascii="Arial" w:eastAsia="Arial" w:hAnsi="Arial" w:cs="Arial"/>
          <w:color w:val="000000" w:themeColor="text1"/>
        </w:rPr>
        <w:fldChar w:fldCharType="end"/>
      </w:r>
      <w:r w:rsidRPr="00751EA7">
        <w:rPr>
          <w:rFonts w:ascii="Arial" w:eastAsia="Arial" w:hAnsi="Arial" w:cs="Arial"/>
          <w:color w:val="000000" w:themeColor="text1"/>
        </w:rPr>
        <w:t xml:space="preserve"> and are presented in detail at </w:t>
      </w:r>
      <w:hyperlink r:id="rId8" w:history="1">
        <w:r w:rsidRPr="00751EA7">
          <w:rPr>
            <w:rFonts w:ascii="Arial" w:hAnsi="Arial" w:cs="Arial"/>
            <w:color w:val="006699"/>
            <w:u w:val="single"/>
            <w:shd w:val="clear" w:color="auto" w:fill="FFFFFF"/>
          </w:rPr>
          <w:t>biobank.ndph.ox.ac.uk/showcase/showcase/docs/brain_mri.pdf</w:t>
        </w:r>
      </w:hyperlink>
      <w:r w:rsidRPr="00751EA7">
        <w:rPr>
          <w:rFonts w:ascii="Arial" w:hAnsi="Arial" w:cs="Arial"/>
          <w:color w:val="222222"/>
          <w:shd w:val="clear" w:color="auto" w:fill="FFFFFF"/>
        </w:rPr>
        <w:t>.</w:t>
      </w:r>
      <w:r w:rsidRPr="00751EA7">
        <w:rPr>
          <w:rFonts w:ascii="Arial" w:eastAsia="Arial" w:hAnsi="Arial" w:cs="Arial"/>
          <w:color w:val="000000" w:themeColor="text1"/>
        </w:rPr>
        <w:t xml:space="preserve"> </w:t>
      </w:r>
      <w:r w:rsidRPr="00751EA7">
        <w:rPr>
          <w:rFonts w:ascii="Arial" w:hAnsi="Arial" w:cs="Arial"/>
        </w:rPr>
        <w:t>In brief, MRI quality control and analysis is performed using an automated pipeline at the University of Oxford’s Wellcome Centre for Integrative Neuroimaging, which primarily calls FSL and FreeSurfer tools.</w:t>
      </w:r>
      <w:r w:rsidRPr="00751EA7">
        <w:rPr>
          <w:rFonts w:ascii="Arial" w:hAnsi="Arial" w:cs="Arial"/>
        </w:rPr>
        <w:fldChar w:fldCharType="begin"/>
      </w:r>
      <w:r w:rsidR="00204343">
        <w:rPr>
          <w:rFonts w:ascii="Arial" w:hAnsi="Arial" w:cs="Arial"/>
        </w:rPr>
        <w:instrText xml:space="preserve"> ADDIN ZOTERO_ITEM CSL_CITATION {"citationID":"gzHBOKoP","properties":{"formattedCitation":"\\super 5\\nosupersub{}","plainCitation":"5","noteIndex":0},"citationItems":[{"id":4773,"uris":["http://zotero.org/users/19072319/items/TRMF5QFJ"],"itemData":{"id":4773,"type":"article-journal","abstract":"UK Biobank is a population-based cohort of half a million participants aged 40-69 years recruited between 2006 and 2010. In 2014, UK Biobank started the world's largest multi-modal imaging study, with the aim of re-inviting 100,000 participants to undergo brain, cardiac and abdominal magnetic resonance imaging, dual-energy X-ray absorptiometry and carotid ultrasound. The combination of large-scale multi-modal imaging with extensive phenotypic and genetic data offers an unprecedented resource for scientists to conduct health-related research. This article provides an in-depth overview of the imaging enhancement, including the data collected, how it is managed and processed, and future directions.","container-title":"Nature Communications","DOI":"10.1038/s41467-020-15948-9","ISSN":"2041-1723","issue":"1","journalAbbreviation":"Nat Commun","language":"eng","page":"2624","PMID":"32457287","PMCID":"PMC7250878","source":"PubMed","title":"The UK Biobank imaging enhancement of 100,000 participants: rationale, data collection, management and future directions","title-short":"The UK Biobank imaging enhancement of 100,000 participants","volume":"11","author":[{"family":"Littlejohns","given":"Thomas J."},{"family":"Holliday","given":"Jo"},{"family":"Gibson","given":"Lorna M."},{"family":"Garratt","given":"Steve"},{"family":"Oesingmann","given":"Niels"},{"family":"Alfaro-Almagro","given":"Fidel"},{"family":"Bell","given":"Jimmy D."},{"family":"Boultwood","given":"Chris"},{"family":"Collins","given":"Rory"},{"family":"Conroy","given":"Megan C."},{"family":"Crabtree","given":"Nicola"},{"family":"Doherty","given":"Nicola"},{"family":"Frangi","given":"Alejandro F."},{"family":"Harvey","given":"Nicholas C."},{"family":"Leeson","given":"Paul"},{"family":"Miller","given":"Karla L."},{"family":"Neubauer","given":"Stefan"},{"family":"Petersen","given":"Steffen E."},{"family":"Sellors","given":"Jonathan"},{"family":"Sheard","given":"Simon"},{"family":"Smith","given":"Stephen M."},{"family":"Sudlow","given":"Cathie L. M."},{"family":"Matthews","given":"Paul M."},{"family":"Allen","given":"Naomi E."}],"issued":{"date-parts":[["2020",5,26]]}}}],"schema":"https://github.com/citation-style-language/schema/raw/master/csl-citation.json"} </w:instrText>
      </w:r>
      <w:r w:rsidRPr="00751EA7">
        <w:rPr>
          <w:rFonts w:ascii="Arial" w:hAnsi="Arial" w:cs="Arial"/>
        </w:rPr>
        <w:fldChar w:fldCharType="separate"/>
      </w:r>
      <w:r w:rsidR="00204343" w:rsidRPr="00204343">
        <w:rPr>
          <w:rFonts w:ascii="Arial" w:hAnsi="Arial" w:cs="Arial"/>
          <w:kern w:val="0"/>
          <w:vertAlign w:val="superscript"/>
          <w:lang w:val="en-US"/>
        </w:rPr>
        <w:t>5</w:t>
      </w:r>
      <w:r w:rsidRPr="00751EA7">
        <w:rPr>
          <w:rFonts w:ascii="Arial" w:hAnsi="Arial" w:cs="Arial"/>
        </w:rPr>
        <w:fldChar w:fldCharType="end"/>
      </w:r>
      <w:r w:rsidRPr="00751EA7">
        <w:rPr>
          <w:rFonts w:ascii="Arial" w:hAnsi="Arial" w:cs="Arial"/>
        </w:rPr>
        <w:t xml:space="preserve"> We considered three global measures reflecting brain aging and neurodegenerative risk: (1) total grey matter volume (normalized for head size); (2) total volume of white matter hyperintensities (WMH) from T1w and T</w:t>
      </w:r>
      <w:r w:rsidR="003E59AA">
        <w:rPr>
          <w:rFonts w:ascii="Arial" w:hAnsi="Arial" w:cs="Arial"/>
        </w:rPr>
        <w:t>2</w:t>
      </w:r>
      <w:r w:rsidRPr="00751EA7">
        <w:rPr>
          <w:rFonts w:ascii="Arial" w:hAnsi="Arial" w:cs="Arial"/>
        </w:rPr>
        <w:t>w fluid-attenuation inversion recovery (FLAIR) images, scaled for head size and log-transformed;</w:t>
      </w:r>
      <w:r w:rsidRPr="00751EA7">
        <w:rPr>
          <w:rFonts w:ascii="Arial" w:hAnsi="Arial" w:cs="Arial"/>
        </w:rPr>
        <w:fldChar w:fldCharType="begin"/>
      </w:r>
      <w:r w:rsidR="00204343">
        <w:rPr>
          <w:rFonts w:ascii="Arial" w:hAnsi="Arial" w:cs="Arial"/>
        </w:rPr>
        <w:instrText xml:space="preserve"> ADDIN ZOTERO_ITEM CSL_CITATION {"citationID":"dk2kwA8l","properties":{"formattedCitation":"\\super 6\\nosupersub{}","plainCitation":"6","noteIndex":0},"citationItems":[{"id":4899,"uris":["http://zotero.org/users/19072319/items/YLQLWQ46"],"itemData":{"id":4899,"type":"article-journal","abstract":"Small vessel disease and related stroke and dementia risks are linked to aging and hypertension, but it is unclear whether the pulsatile or steady blood pressure (BP) component is more important for the development of macrostructural hyperintensities and microstructural white matter damage. This was a cross-sectional analysis of the UK Biobank cohort study of community-based adults from 22 UK centers. Linear associations were determined between neuroimaging markers (white matter hyperintensity [WMH] volume and diffusion imaging indices) and mean arterial pressure and pulse pressure (PP), both unadjusted and adjusted for age, sex, cardiovascular risk factors, antihypertensive medication, BP source, and assessment center. In 37 041 participants aged 45 to 82 years (53% female), univariable analyses demonstrated that increases in both BP components were associated with greater WMH volume and white matter injury on diffusion indices, with a larger effect for PP (standardized effect size for WMH: mean arterial BP: 0.182 [95% CIs, 0.170–0.193]; PP: 0.285 [95% CIs, 0.274–0.296]). In multivariable analyses, associations with mean arterial pressure remained similar, but associations with PP diminished, reflecting covariance with age and risk factors (standardized effect size for WMH: mean arterial BP: 0.106 [95% CIs, 0.095–0.117]; PP: 0.011 [95% CIs, −0.001 to 0.023]). The synergistic interaction between PP and age increased the effect of age on WMH and diffusion indices. Both macrostructural and microstructural white matter injury had similar associations with the pulsatile and steady components of hypertension, although PP accentuated the relationship between age and white matter damage.","container-title":"Hypertension","DOI":"10.1161/HYPERTENSIONAHA.121.17403","ISSN":"0194-911X, 1524-4563","issue":"2","journalAbbreviation":"Hypertension","language":"en","page":"532-539","source":"DOI.org (Crossref)","title":"Blood Pressure Determinants of Cerebral White Matter Hyperintensities and Microstructural Injury: UK Biobank Cohort Study","title-short":"Blood Pressure Determinants of Cerebral White Matter Hyperintensities and Microstructural Injury","volume":"78","author":[{"family":"Wartolowska","given":"Karolina A."},{"family":"Webb","given":"Alastair J.S."}],"issued":{"date-parts":[["2021",8]]}}}],"schema":"https://github.com/citation-style-language/schema/raw/master/csl-citation.json"} </w:instrText>
      </w:r>
      <w:r w:rsidRPr="00751EA7">
        <w:rPr>
          <w:rFonts w:ascii="Arial" w:hAnsi="Arial" w:cs="Arial"/>
        </w:rPr>
        <w:fldChar w:fldCharType="separate"/>
      </w:r>
      <w:r w:rsidR="00204343" w:rsidRPr="00204343">
        <w:rPr>
          <w:rFonts w:ascii="Arial" w:hAnsi="Arial" w:cs="Arial"/>
          <w:kern w:val="0"/>
          <w:vertAlign w:val="superscript"/>
          <w:lang w:val="en-US"/>
        </w:rPr>
        <w:t>6</w:t>
      </w:r>
      <w:r w:rsidRPr="00751EA7">
        <w:rPr>
          <w:rFonts w:ascii="Arial" w:hAnsi="Arial" w:cs="Arial"/>
        </w:rPr>
        <w:fldChar w:fldCharType="end"/>
      </w:r>
      <w:r w:rsidRPr="00751EA7">
        <w:rPr>
          <w:rFonts w:ascii="Arial" w:hAnsi="Arial" w:cs="Arial"/>
        </w:rPr>
        <w:t xml:space="preserve"> and (3) global fractional anisotropy (FA), computed as the average of standardized mean diffusion MRI FA values from 48 white matter tracts (Table S2</w:t>
      </w:r>
      <w:r w:rsidR="00EC668B">
        <w:rPr>
          <w:rFonts w:ascii="Arial" w:hAnsi="Arial" w:cs="Arial"/>
        </w:rPr>
        <w:t>2</w:t>
      </w:r>
      <w:r w:rsidRPr="00751EA7">
        <w:rPr>
          <w:rFonts w:ascii="Arial" w:hAnsi="Arial" w:cs="Arial"/>
        </w:rPr>
        <w:t>).</w:t>
      </w:r>
      <w:r w:rsidRPr="00751EA7">
        <w:rPr>
          <w:rFonts w:ascii="Arial" w:hAnsi="Arial" w:cs="Arial"/>
        </w:rPr>
        <w:fldChar w:fldCharType="begin"/>
      </w:r>
      <w:r w:rsidR="00204343">
        <w:rPr>
          <w:rFonts w:ascii="Arial" w:hAnsi="Arial" w:cs="Arial"/>
        </w:rPr>
        <w:instrText xml:space="preserve"> ADDIN ZOTERO_ITEM CSL_CITATION {"citationID":"0lkYbrGt","properties":{"formattedCitation":"\\super 7\\nosupersub{}","plainCitation":"7","noteIndex":0},"citationItems":[{"id":4918,"uris":["http://zotero.org/users/19072319/items/LCQM8MRU"],"itemData":{"id":4918,"type":"article-journal","abstract":"Background and Purpose—\n              Structural integrity of the white matter is a marker of cerebral small vessel disease, which is the major cause of vascular dementia and a quarter of all strokes. Genetic studies provide a way to obtain novel insights in the disease mechanism underlying cerebral small vessel disease. The aim was to identify common variants associated with microstructural integrity of the white matter and to elucidate the relationships of white matter structural integrity with stroke, major depressive disorder, and Alzheimer disease.\n            \n            \n              Methods—\n              This genome-wide association analysis included 8448 individuals from UK Biobank—a population-based cohort study that recruited individuals from across the United Kingdom between 2006 and 2010, aged 40 to 69 years. Microstructural integrity was measured as fractional anisotropy- (FA) and mean diffusivity (MD)-derived parameters on diffusion tensor images. White matter hyperintensity volumes (WMHV) were assessed on T2-weighted fluid-attenuated inversion recovery images.\n            \n            \n              Results—\n              \n                We identified 1 novel locus at genome-wide significance (\n                VCAN\n                [versican]: rs13164785;\n                P\n                =3.7×10\n                −18\n                for MD and rs67827860;\n                P\n                =1.3×10\n                −14\n                for FA). LD score regression showed a significant genome-wide correlation between FA, MD, and WMHV (FA-WMHV rG 0.39 [SE, 0.15]; MD-WMHV rG 0.56 [SE, 0.19]). In polygenic risk score analysis, FA, MD, and WMHV were significantly associated with lacunar stroke, MD with major depressive disorder, and WMHV with Alzheimer disease.\n              \n            \n            \n              Conclusions—\n              \n                Genetic variants within the\n                VCAN\n                gene may play a role in the mechanisms underlying microstructural integrity of the white matter in the brain measured as FA and MD. Mechanisms underlying white matter alterations are shared with cerebrovascular disease, and inherited differences in white matter microstructure impact on Alzheimer disease and major depressive disorder.","container-title":"Stroke","DOI":"10.1161/STROKEAHA.118.020811","ISSN":"0039-2499, 1524-4628","issue":"6","journalAbbreviation":"Stroke","language":"en","page":"1340-1347","source":"DOI.org (Crossref)","title":"Genetic Study of White Matter Integrity in UK Biobank (N=8448) and the Overlap With Stroke, Depression, and Dementia","volume":"49","author":[{"family":"Rutten-Jacobs","given":"Loes C.A."},{"family":"Tozer","given":"Daniel J."},{"family":"Duering","given":"Marco"},{"family":"Malik","given":"Rainer"},{"family":"Dichgans","given":"Martin"},{"family":"Markus","given":"Hugh S."},{"family":"Traylor","given":"Matthew"}],"issued":{"date-parts":[["2018",6]]}}}],"schema":"https://github.com/citation-style-language/schema/raw/master/csl-citation.json"} </w:instrText>
      </w:r>
      <w:r w:rsidRPr="00751EA7">
        <w:rPr>
          <w:rFonts w:ascii="Arial" w:hAnsi="Arial" w:cs="Arial"/>
        </w:rPr>
        <w:fldChar w:fldCharType="separate"/>
      </w:r>
      <w:r w:rsidR="00204343" w:rsidRPr="00204343">
        <w:rPr>
          <w:rFonts w:ascii="Arial" w:hAnsi="Arial" w:cs="Arial"/>
          <w:kern w:val="0"/>
          <w:vertAlign w:val="superscript"/>
          <w:lang w:val="en-US"/>
        </w:rPr>
        <w:t>7</w:t>
      </w:r>
      <w:r w:rsidRPr="00751EA7">
        <w:rPr>
          <w:rFonts w:ascii="Arial" w:hAnsi="Arial" w:cs="Arial"/>
        </w:rPr>
        <w:fldChar w:fldCharType="end"/>
      </w:r>
      <w:r w:rsidRPr="00751EA7">
        <w:rPr>
          <w:rFonts w:ascii="Arial" w:hAnsi="Arial" w:cs="Arial"/>
        </w:rPr>
        <w:t xml:space="preserve"> </w:t>
      </w:r>
    </w:p>
    <w:p w14:paraId="3AECF014" w14:textId="14E18ECF" w:rsidR="008C751E" w:rsidRPr="00751EA7" w:rsidRDefault="008C751E" w:rsidP="00751EA7">
      <w:pPr>
        <w:spacing w:line="240" w:lineRule="auto"/>
        <w:rPr>
          <w:rFonts w:ascii="Arial" w:eastAsia="Arial" w:hAnsi="Arial" w:cs="Arial"/>
          <w:b/>
          <w:bCs/>
        </w:rPr>
      </w:pPr>
      <w:r w:rsidRPr="00751EA7">
        <w:rPr>
          <w:rFonts w:ascii="Arial" w:eastAsia="Arial" w:hAnsi="Arial" w:cs="Arial"/>
          <w:b/>
          <w:bCs/>
        </w:rPr>
        <w:lastRenderedPageBreak/>
        <w:t>Validation Cohort Details: Women’s Health Initiative (WHI) Long-Life Study (LLS)</w:t>
      </w:r>
    </w:p>
    <w:p w14:paraId="0DE52A68" w14:textId="7EEE64D3" w:rsidR="00D210A4" w:rsidRDefault="008C751E" w:rsidP="00751EA7">
      <w:pPr>
        <w:spacing w:line="240" w:lineRule="auto"/>
        <w:rPr>
          <w:rFonts w:ascii="Arial" w:hAnsi="Arial" w:cs="Arial"/>
        </w:rPr>
      </w:pPr>
      <w:r w:rsidRPr="00751EA7">
        <w:rPr>
          <w:rFonts w:ascii="Arial" w:hAnsi="Arial" w:cs="Arial"/>
        </w:rPr>
        <w:t>To validate menopause timing findings, we used data from the WHI LLS Visit 1 (2012-13). The LLS is an extension of the original WHI study</w:t>
      </w:r>
      <w:r w:rsidRPr="00751EA7">
        <w:rPr>
          <w:rFonts w:ascii="Arial" w:hAnsi="Arial" w:cs="Arial"/>
        </w:rPr>
        <w:fldChar w:fldCharType="begin"/>
      </w:r>
      <w:r w:rsidR="00204343">
        <w:rPr>
          <w:rFonts w:ascii="Arial" w:hAnsi="Arial" w:cs="Arial"/>
        </w:rPr>
        <w:instrText xml:space="preserve"> ADDIN ZOTERO_ITEM CSL_CITATION {"citationID":"PEu6Vfhf","properties":{"formattedCitation":"\\super 8,9\\nosupersub{}","plainCitation":"8,9","noteIndex":0},"citationItems":[{"id":859,"uris":["http://zotero.org/users/19072319/items/SNWZXVF9"],"itemData":{"id":859,"type":"article-journal","abstract":"CONTEXT: Despite decades of accumulated observational evidence, the balance of risks and benefits for hormone use in healthy postmenopausal women remains uncertain.\nOBJECTIVE: To assess the major health benefits and risks of the most commonly used combined hormone preparation in the United States.\nDESIGN: Estrogen plus progestin component of the Women's Health Initiative, a randomized controlled primary prevention trial (planned duration, 8.5 years) in which 16608 postmenopausal women aged 50-79 years with an intact uterus at baseline were recruited by 40 US clinical centers in 1993-1998.\nINTERVENTIONS: Participants received conjugated equine estrogens, 0.625 mg/d, plus medroxyprogesterone acetate, 2.5 mg/d, in 1 tablet (n = 8506) or placebo (n = 8102).\nMAIN OUTCOMES MEASURES: The primary outcome was coronary heart disease (CHD) (nonfatal myocardial infarction and CHD death), with invasive breast cancer as the primary adverse outcome. A global index summarizing the balance of risks and benefits included the 2 primary outcomes plus stroke, pulmonary embolism (PE), endometrial cancer, colorectal cancer, hip fracture, and death due to other causes.\nRESULTS: On May 31, 2002, after a mean of 5.2 years of follow-up, the data and safety monitoring board recommended stopping the trial of estrogen plus progestin vs placebo because the test statistic for invasive breast cancer exceeded the stopping boundary for this adverse effect and the global index statistic supported risks exceeding benefits. This report includes data on the major clinical outcomes through April 30, 2002. Estimated hazard ratios (HRs) (nominal 95% confidence intervals [CIs]) were as follows: CHD, 1.29 (1.02-1.63) with 286 cases; breast cancer, 1.26 (1.00-1.59) with 290 cases; stroke, 1.41 (1.07-1.85) with 212 cases; PE, 2.13 (1.39-3.25) with 101 cases; colorectal cancer, 0.63 (0.43-0.92) with 112 cases; endometrial cancer, 0.83 (0.47-1.47) with 47 cases; hip fracture, 0.66 (0.45-0.98) with 106 cases; and death due to other causes, 0.92 (0.74-1.14) with 331 cases. Corresponding HRs (nominal 95% CIs) for composite outcomes were 1.22 (1.09-1.36) for total cardiovascular disease (arterial and venous disease), 1.03 (0.90-1.17) for total cancer, 0.76 (0.69-0.85) for combined fractures, 0.98 (0.82-1.18) for total mortality, and 1.15 (1.03-1.28) for the global index. Absolute excess risks per 10 000 person-years attributable to estrogen plus progestin were 7 more CHD events, 8 more strokes, 8 more PEs, and 8 more invasive breast cancers, while absolute risk reductions per 10 000 person-years were 6 fewer colorectal cancers and 5 fewer hip fractures. The absolute excess risk of events included in the global index was 19 per 10 000 person-years.\nCONCLUSIONS: Overall health risks exceeded benefits from use of combined estrogen plus progestin for an average 5.2-year follow-up among healthy postmenopausal US women. All-cause mortality was not affected during the trial. The risk-benefit profile found in this trial is not consistent with the requirements for a viable intervention for primary prevention of chronic diseases, and the results indicate that this regimen should not be initiated or continued for primary prevention of CHD.","container-title":"JAMA","DOI":"10.1001/jama.288.3.321","ISSN":"0098-7484","issue":"3","journalAbbreviation":"JAMA","language":"eng","page":"321-333","PMID":"12117397","source":"PubMed","title":"Risks and benefits of estrogen plus progestin in healthy postmenopausal women: principal results From the Women's Health Initiative randomized controlled trial","title-short":"Risks and benefits of estrogen plus progestin in healthy postmenopausal women","volume":"288","author":[{"family":"Rossouw","given":"Jacques E."},{"family":"Anderson","given":"Garnet L."},{"family":"Prentice","given":"Ross L."},{"family":"LaCroix","given":"Andrea Z."},{"family":"Kooperberg","given":"Charles"},{"family":"Stefanick","given":"Marcia L."},{"family":"Jackson","given":"Rebecca D."},{"family":"Beresford","given":"Shirley A. A."},{"family":"Howard","given":"Barbara V."},{"family":"Johnson","given":"Karen C."},{"family":"Kotchen","given":"Jane Morley"},{"family":"Ockene","given":"Judith"},{"literal":"Writing Group for the Women's Health Initiative Investigators"}],"issued":{"date-parts":[["2002",7,17]]}}},{"id":4857,"uris":["http://zotero.org/users/19072319/items/FCAEDLKQ"],"itemData":{"id":4857,"type":"article-journal","abstract":"Importance\n              Approximately 55 million people in the US and approximately 1.1 billion people worldwide are postmenopausal women. To inform clinical practice about the health effects of menopausal hormone therapy, calcium plus vitamin D supplementation, and a low-fat dietary pattern, the Women’s Health Initiative (WHI) enrolled 161 808 postmenopausal US women (N = 68 132 in the clinical trials) aged 50 to 79 years at baseline from 1993 to 1998, and followed them up for up to 20 years.\n            \n            \n              Observations\n              The WHI clinical trial results do not support hormone therapy with oral conjugated equine estrogens plus medroxyprogesterone acetate for postmenopausal women or conjugated equine estrogens alone for those with prior hysterectomy to prevent cardiovascular disease, dementia, or other chronic diseases. However, hormone therapy is effective for treating moderate to severe vasomotor and other menopausal symptoms. These benefits of hormone therapy in early menopause, combined with lower rates of adverse effects of hormone therapy in early compared with later menopause, support initiation of hormone therapy before age 60 years for women without contraindications to hormone therapy who have bothersome menopausal symptoms. The WHI results do not support routinely recommending calcium plus vitamin D supplementation for fracture prevention in all postmenopausal women. However, calcium and vitamin D are appropriate for women who do not meet national guidelines for recommended intakes of these nutrients through diet. A low-fat dietary pattern with increased fruit, vegetable, and grain consumption did not prevent the primary outcomes of breast or colorectal cancer but was associated with lower rates of the secondary outcome of breast cancer mortality during long-term follow-up.\n            \n            \n              Conclusions and Relevance\n              For postmenopausal women, the WHI randomized clinical trials do not support menopausal hormone therapy to prevent cardiovascular disease or other chronic diseases. Menopausal hormone therapy is appropriate to treat bothersome vasomotor symptoms among women in early menopause, without contraindications, who are interested in taking hormone therapy. The WHI evidence does not support routine supplementation with calcium plus vitamin D for menopausal women to prevent fractures or a low-fat diet with increased fruits, vegetables, and grains to prevent breast or colorectal cancer. A potential role of a low-fat dietary pattern in reducing breast cancer mortality, a secondary outcome, warrants further study.","container-title":"JAMA","DOI":"10.1001/jama.2024.6542","ISSN":"0098-7484","issue":"20","journalAbbreviation":"JAMA","language":"en","page":"1748","source":"DOI.org (Crossref)","title":"The Women’s Health Initiative Randomized Trials and Clinical Practice: A Review","title-short":"The Women’s Health Initiative Randomized Trials and Clinical Practice","volume":"331","author":[{"family":"Manson","given":"JoAnn E."},{"family":"Crandall","given":"Carolyn J."},{"family":"Rossouw","given":"Jacques E."},{"family":"Chlebowski","given":"Rowan T."},{"family":"Anderson","given":"Garnet L."},{"family":"Stefanick","given":"Marcia L."},{"family":"Aragaki","given":"Aaron K."},{"family":"Cauley","given":"Jane A."},{"family":"Wells","given":"Gretchen L."},{"family":"LaCroix","given":"Andrea Z."},{"family":"Thomson","given":"Cynthia A."},{"family":"Neuhouser","given":"Marian L."},{"family":"Van Horn","given":"Linda"},{"family":"Kooperberg","given":"Charles"},{"family":"Howard","given":"Barbara V."},{"family":"Tinker","given":"Lesley F."},{"family":"Wactawski-Wende","given":"Jean"},{"family":"Shumaker","given":"Sally A."},{"family":"Prentice","given":"Ross L."}],"issued":{"date-parts":[["2024",5,28]]}}}],"schema":"https://github.com/citation-style-language/schema/raw/master/csl-citation.json"} </w:instrText>
      </w:r>
      <w:r w:rsidRPr="00751EA7">
        <w:rPr>
          <w:rFonts w:ascii="Arial" w:hAnsi="Arial" w:cs="Arial"/>
        </w:rPr>
        <w:fldChar w:fldCharType="separate"/>
      </w:r>
      <w:r w:rsidR="00204343" w:rsidRPr="00204343">
        <w:rPr>
          <w:rFonts w:ascii="Arial" w:hAnsi="Arial" w:cs="Arial"/>
          <w:kern w:val="0"/>
          <w:vertAlign w:val="superscript"/>
          <w:lang w:val="en-US"/>
        </w:rPr>
        <w:t>8,9</w:t>
      </w:r>
      <w:r w:rsidRPr="00751EA7">
        <w:rPr>
          <w:rFonts w:ascii="Arial" w:hAnsi="Arial" w:cs="Arial"/>
        </w:rPr>
        <w:fldChar w:fldCharType="end"/>
      </w:r>
      <w:r w:rsidRPr="00751EA7">
        <w:rPr>
          <w:rFonts w:ascii="Arial" w:hAnsi="Arial" w:cs="Arial"/>
        </w:rPr>
        <w:t xml:space="preserve"> that recruited a subset of </w:t>
      </w:r>
      <w:r w:rsidRPr="00751EA7">
        <w:rPr>
          <w:rFonts w:ascii="Arial" w:hAnsi="Arial" w:cs="Arial"/>
          <w:i/>
          <w:iCs/>
        </w:rPr>
        <w:t>N</w:t>
      </w:r>
      <w:r w:rsidRPr="00751EA7">
        <w:rPr>
          <w:rFonts w:ascii="Arial" w:hAnsi="Arial" w:cs="Arial"/>
        </w:rPr>
        <w:t>=</w:t>
      </w:r>
      <w:r w:rsidRPr="00751EA7">
        <w:rPr>
          <w:rFonts w:ascii="Arial" w:hAnsi="Arial" w:cs="Arial"/>
          <w:color w:val="000000" w:themeColor="text1"/>
        </w:rPr>
        <w:t>7,875 surviving women aged 63 to 99 years</w:t>
      </w:r>
      <w:r w:rsidRPr="00751EA7">
        <w:rPr>
          <w:rFonts w:ascii="Arial" w:hAnsi="Arial" w:cs="Arial"/>
        </w:rPr>
        <w:t xml:space="preserve"> for clinical evaluation and blood collection.</w:t>
      </w:r>
      <w:r w:rsidRPr="00751EA7">
        <w:rPr>
          <w:rFonts w:ascii="Arial" w:hAnsi="Arial" w:cs="Arial"/>
        </w:rPr>
        <w:fldChar w:fldCharType="begin"/>
      </w:r>
      <w:r w:rsidR="00204343">
        <w:rPr>
          <w:rFonts w:ascii="Arial" w:hAnsi="Arial" w:cs="Arial"/>
        </w:rPr>
        <w:instrText xml:space="preserve"> ADDIN ZOTERO_ITEM CSL_CITATION {"citationID":"OWUjtSoQ","properties":{"formattedCitation":"\\super 10\\nosupersub{}","plainCitation":"10","noteIndex":0},"citationItems":[{"id":4858,"uris":["http://zotero.org/users/19072319/items/NCWHAN8K"],"itemData":{"id":4858,"type":"article-journal","abstract":"The WHI (Women's Health Initiative) enrolled 161,808 racially and ethnically diverse postmenopausal women, ages 50-79 years, from 1993 to 1998 at 40 clinical centers across the United States. In its clinical trial component, WHI evaluated 3 randomized interventions (menopausal hormone therapy; diet modification; and calcium/vitamin D supplementation) for the primary prevention of major chronic diseases, including cardiovascular disease, in older women. In the WHI observational study, numerous clinical, behavioral, and social factors have been evaluated as predictors of incident chronic disease and mortality. Although the original interventions have been completed, the WHI data and biomarker resources continue to be leveraged and expanded through ancillary studies to yield novel insights regarding cardiovascular disease prevention and healthy aging in women.","container-title":"Journal of the American College of Cardiology","DOI":"10.1016/j.jacc.2022.05.016","ISSN":"1558-3597","issue":"3","journalAbbreviation":"J Am Coll Cardiol","language":"eng","page":"256-275","PMID":"35835498","PMCID":"PMC10324098","source":"PubMed","title":"Contributions of the Women's Health Initiative to Cardiovascular Research: JACC State-of-the-Art Review","title-short":"Contributions of the Women's Health Initiative to Cardiovascular Research","volume":"80","author":[{"family":"LaMonte","given":"Michael J."},{"family":"Manson","given":"JoAnn E."},{"family":"Anderson","given":"Garnet L."},{"family":"Baker","given":"Laura D."},{"family":"Bea","given":"Jennifer W."},{"family":"Eaton","given":"Charles B."},{"family":"Follis","given":"Shawna"},{"family":"Hayden","given":"Kathleen M."},{"family":"Kooperberg","given":"Charles"},{"family":"LaCroix","given":"Andrea Z."},{"family":"Limacher","given":"Marian C."},{"family":"Neuhouser","given":"Marian L."},{"family":"Odegaard","given":"Andrew"},{"family":"Perez","given":"Marco V."},{"family":"Prentice","given":"Ross L."},{"family":"Reiner","given":"Alexander P."},{"family":"Stefanick","given":"Marcia L."},{"family":"Van Horn","given":"Linda"},{"family":"Wells","given":"Gretchen L."},{"family":"Whitsel","given":"Eric A."},{"family":"Rossouw","given":"Jacques E."},{"literal":"WHI Investigators"}],"issued":{"date-parts":[["2022",7,19]]}}}],"schema":"https://github.com/citation-style-language/schema/raw/master/csl-citation.json"} </w:instrText>
      </w:r>
      <w:r w:rsidRPr="00751EA7">
        <w:rPr>
          <w:rFonts w:ascii="Arial" w:hAnsi="Arial" w:cs="Arial"/>
        </w:rPr>
        <w:fldChar w:fldCharType="separate"/>
      </w:r>
      <w:r w:rsidR="00204343" w:rsidRPr="00204343">
        <w:rPr>
          <w:rFonts w:ascii="Arial" w:hAnsi="Arial" w:cs="Arial"/>
          <w:kern w:val="0"/>
          <w:vertAlign w:val="superscript"/>
          <w:lang w:val="en-US"/>
        </w:rPr>
        <w:t>10</w:t>
      </w:r>
      <w:r w:rsidRPr="00751EA7">
        <w:rPr>
          <w:rFonts w:ascii="Arial" w:hAnsi="Arial" w:cs="Arial"/>
        </w:rPr>
        <w:fldChar w:fldCharType="end"/>
      </w:r>
      <w:r w:rsidRPr="00751EA7">
        <w:rPr>
          <w:rFonts w:ascii="Arial" w:hAnsi="Arial" w:cs="Arial"/>
        </w:rPr>
        <w:t xml:space="preserve"> Of these participants, </w:t>
      </w:r>
      <w:r w:rsidRPr="00751EA7">
        <w:rPr>
          <w:rFonts w:ascii="Arial" w:hAnsi="Arial" w:cs="Arial"/>
          <w:i/>
          <w:iCs/>
        </w:rPr>
        <w:t>N</w:t>
      </w:r>
      <w:r w:rsidRPr="00751EA7">
        <w:rPr>
          <w:rFonts w:ascii="Arial" w:hAnsi="Arial" w:cs="Arial"/>
        </w:rPr>
        <w:t>=1,388 had Olink Target plasma proteomics from six panels (Cardiometabolic, Cardiovascular II, Cardiovascular III, Inflammation, Neurology, and Oncology III), resulting in 540 unique protein measurements, 424 of which overlapped with those available in UKB.</w:t>
      </w:r>
      <w:r w:rsidRPr="00751EA7">
        <w:rPr>
          <w:rFonts w:ascii="Arial" w:hAnsi="Arial" w:cs="Arial"/>
        </w:rPr>
        <w:fldChar w:fldCharType="begin"/>
      </w:r>
      <w:r w:rsidR="00204343">
        <w:rPr>
          <w:rFonts w:ascii="Arial" w:hAnsi="Arial" w:cs="Arial"/>
        </w:rPr>
        <w:instrText xml:space="preserve"> ADDIN ZOTERO_ITEM CSL_CITATION {"citationID":"7RZg9UEk","properties":{"formattedCitation":"\\super 11\\nosupersub{}","plainCitation":"11","noteIndex":0},"citationItems":[{"id":4861,"uris":["http://zotero.org/users/19072319/items/BTP3BYHX"],"itemData":{"id":4861,"type":"article-journal","container-title":"Genome Biology","DOI":"10.1186/s13059-025-03671-x","ISSN":"1474-760X","issue":"1","journalAbbreviation":"Genome Biol","language":"en","page":"200","source":"DOI.org (Crossref)","title":"Protein quantitative trait locus analysis in African American and non-Hispanic White individuals","volume":"26","author":[{"family":"Cai","given":"Yanwei"},{"family":"Johnson","given":"Mari"},{"family":"Haessler","given":"Jeffrey"},{"family":"Molstad","given":"Aaron J."},{"family":"Hwang","given":"Shih-Jen"},{"family":"Joehanes","given":"Roby"},{"family":"Murabito","given":"Joanne M."},{"family":"Tahir","given":"Usman A."},{"family":"Franceschini","given":"Nora"},{"family":"Gerszten","given":"Robert E."},{"family":"Sun","given":"Wei"},{"family":"Levy","given":"Daniel"},{"family":"Raffield","given":"Laura M."},{"family":"Kooperberg","given":"Charles"},{"family":"Hsu","given":"Li"},{"family":"Reiner","given":"Alexander P."}],"issued":{"date-parts":[["2025",7,10]]}}}],"schema":"https://github.com/citation-style-language/schema/raw/master/csl-citation.json"} </w:instrText>
      </w:r>
      <w:r w:rsidRPr="00751EA7">
        <w:rPr>
          <w:rFonts w:ascii="Arial" w:hAnsi="Arial" w:cs="Arial"/>
        </w:rPr>
        <w:fldChar w:fldCharType="separate"/>
      </w:r>
      <w:r w:rsidR="00204343" w:rsidRPr="00204343">
        <w:rPr>
          <w:rFonts w:ascii="Arial" w:hAnsi="Arial" w:cs="Arial"/>
          <w:kern w:val="0"/>
          <w:vertAlign w:val="superscript"/>
          <w:lang w:val="en-US"/>
        </w:rPr>
        <w:t>11</w:t>
      </w:r>
      <w:r w:rsidRPr="00751EA7">
        <w:rPr>
          <w:rFonts w:ascii="Arial" w:hAnsi="Arial" w:cs="Arial"/>
        </w:rPr>
        <w:fldChar w:fldCharType="end"/>
      </w:r>
      <w:r w:rsidRPr="00751EA7">
        <w:rPr>
          <w:rFonts w:ascii="Arial" w:hAnsi="Arial" w:cs="Arial"/>
        </w:rPr>
        <w:t xml:space="preserve"> Protein levels were winsorized at 5 times the standard deviation (</w:t>
      </w:r>
      <w:r w:rsidRPr="00751EA7">
        <w:rPr>
          <w:rFonts w:ascii="Arial" w:hAnsi="Arial" w:cs="Arial"/>
          <w:i/>
          <w:iCs/>
        </w:rPr>
        <w:t>SD</w:t>
      </w:r>
      <w:r w:rsidRPr="00751EA7">
        <w:rPr>
          <w:rFonts w:ascii="Arial" w:hAnsi="Arial" w:cs="Arial"/>
        </w:rPr>
        <w:t xml:space="preserve">) above or below the mean. All women were postmenopausal at the time of original WHI enrollment (1993-98), and female reproductive health history factors were self-reported. </w:t>
      </w:r>
      <w:r w:rsidR="00B25C45">
        <w:rPr>
          <w:rFonts w:ascii="Arial" w:hAnsi="Arial" w:cs="Arial"/>
        </w:rPr>
        <w:t>In the WHI, age</w:t>
      </w:r>
      <w:r w:rsidRPr="00751EA7">
        <w:rPr>
          <w:rFonts w:ascii="Arial" w:hAnsi="Arial" w:cs="Arial"/>
        </w:rPr>
        <w:t xml:space="preserve"> at menopause </w:t>
      </w:r>
      <w:r w:rsidR="00B25C45">
        <w:rPr>
          <w:rFonts w:ascii="Arial" w:hAnsi="Arial" w:cs="Arial"/>
        </w:rPr>
        <w:t>is</w:t>
      </w:r>
      <w:r w:rsidRPr="00751EA7">
        <w:rPr>
          <w:rFonts w:ascii="Arial" w:hAnsi="Arial" w:cs="Arial"/>
        </w:rPr>
        <w:t xml:space="preserve"> determined using self-report data following an established algorithm</w:t>
      </w:r>
      <w:r w:rsidR="00635C91">
        <w:rPr>
          <w:rFonts w:ascii="Arial" w:hAnsi="Arial" w:cs="Arial"/>
        </w:rPr>
        <w:t>.</w:t>
      </w:r>
      <w:r w:rsidRPr="00751EA7">
        <w:rPr>
          <w:rFonts w:ascii="Arial" w:hAnsi="Arial" w:cs="Arial"/>
        </w:rPr>
        <w:t xml:space="preserve"> </w:t>
      </w:r>
      <w:r w:rsidR="007661F5">
        <w:rPr>
          <w:rFonts w:ascii="Arial" w:hAnsi="Arial" w:cs="Arial"/>
        </w:rPr>
        <w:t xml:space="preserve">In brief, age at menopause was defined as the age at which she first experienced </w:t>
      </w:r>
      <w:r w:rsidR="00D210A4">
        <w:rPr>
          <w:rFonts w:ascii="Arial" w:hAnsi="Arial" w:cs="Arial"/>
        </w:rPr>
        <w:t>any of the following: (1) last had any menstrual bleeding; (2) had a bilateral oophorectomy; or (3) began using hormone replacement therapy. If a woman had hysterectomy without bilateral oophorectomy, her age at menopause was defined as either (1) the age she began using hormone replacement therapy; or (2) first had symptoms of menopause, such as hot flashes or night sweats.</w:t>
      </w:r>
      <w:r w:rsidR="00635C91">
        <w:rPr>
          <w:rFonts w:ascii="Arial" w:hAnsi="Arial" w:cs="Arial"/>
        </w:rPr>
        <w:t xml:space="preserve"> Further details on age at menopause ascertainment are available at: </w:t>
      </w:r>
      <w:r w:rsidR="00635C91" w:rsidRPr="00751EA7">
        <w:rPr>
          <w:rFonts w:ascii="Arial" w:hAnsi="Arial" w:cs="Arial"/>
        </w:rPr>
        <w:t>whi.org/doc/Algorithm-Age-at-Menopause.pdf</w:t>
      </w:r>
      <w:r w:rsidR="00635C91">
        <w:rPr>
          <w:rFonts w:ascii="Arial" w:hAnsi="Arial" w:cs="Arial"/>
        </w:rPr>
        <w:t>.</w:t>
      </w:r>
    </w:p>
    <w:p w14:paraId="2EC2F639" w14:textId="2B987DC5" w:rsidR="008C751E" w:rsidRPr="00751EA7" w:rsidRDefault="008C751E" w:rsidP="00751EA7">
      <w:pPr>
        <w:spacing w:line="240" w:lineRule="auto"/>
        <w:rPr>
          <w:rFonts w:ascii="Arial" w:hAnsi="Arial" w:cs="Arial"/>
        </w:rPr>
      </w:pPr>
      <w:r w:rsidRPr="00751EA7">
        <w:rPr>
          <w:rFonts w:ascii="Arial" w:hAnsi="Arial" w:cs="Arial"/>
        </w:rPr>
        <w:t xml:space="preserve">Our analytic sample included </w:t>
      </w:r>
      <w:r w:rsidRPr="00751EA7">
        <w:rPr>
          <w:rFonts w:ascii="Arial" w:hAnsi="Arial" w:cs="Arial"/>
          <w:i/>
          <w:iCs/>
        </w:rPr>
        <w:t>N</w:t>
      </w:r>
      <w:r w:rsidRPr="00751EA7">
        <w:rPr>
          <w:rFonts w:ascii="Arial" w:hAnsi="Arial" w:cs="Arial"/>
        </w:rPr>
        <w:t xml:space="preserve">=1,210 participants with proteomics and available age at menopause (Table S3; </w:t>
      </w:r>
      <w:r w:rsidRPr="00751EA7">
        <w:rPr>
          <w:rFonts w:ascii="Arial" w:hAnsi="Arial" w:cs="Arial"/>
          <w:i/>
          <w:iCs/>
        </w:rPr>
        <w:t>N</w:t>
      </w:r>
      <w:r w:rsidRPr="00751EA7">
        <w:rPr>
          <w:rFonts w:ascii="Arial" w:hAnsi="Arial" w:cs="Arial"/>
        </w:rPr>
        <w:t xml:space="preserve">=126 with unknown age at menopause excluded). The correlation between age at menopause and chronological age in this sample was similar to UKB (r=0.087). </w:t>
      </w:r>
    </w:p>
    <w:p w14:paraId="21E5E8BC" w14:textId="77777777" w:rsidR="00102708" w:rsidRPr="00751EA7" w:rsidRDefault="00102708" w:rsidP="00751EA7">
      <w:pPr>
        <w:spacing w:line="240" w:lineRule="auto"/>
        <w:ind w:firstLine="720"/>
        <w:rPr>
          <w:rFonts w:ascii="Arial" w:hAnsi="Arial" w:cs="Arial"/>
        </w:rPr>
      </w:pPr>
    </w:p>
    <w:p w14:paraId="54190BB9" w14:textId="652E6C16" w:rsidR="00102708" w:rsidRPr="00751EA7" w:rsidRDefault="00751EA7" w:rsidP="00751EA7">
      <w:pPr>
        <w:spacing w:line="240" w:lineRule="auto"/>
        <w:rPr>
          <w:rFonts w:ascii="Arial" w:eastAsia="Arial" w:hAnsi="Arial" w:cs="Arial"/>
          <w:b/>
          <w:bCs/>
        </w:rPr>
      </w:pPr>
      <w:r w:rsidRPr="00751EA7">
        <w:rPr>
          <w:rFonts w:ascii="Arial" w:eastAsia="Arial" w:hAnsi="Arial" w:cs="Arial"/>
          <w:b/>
          <w:bCs/>
        </w:rPr>
        <w:t>Organ aging and cell aging models</w:t>
      </w:r>
    </w:p>
    <w:p w14:paraId="10ECDDF2" w14:textId="26767647" w:rsidR="00751EA7" w:rsidRDefault="00102708" w:rsidP="00751EA7">
      <w:pPr>
        <w:tabs>
          <w:tab w:val="left" w:pos="461"/>
        </w:tabs>
        <w:spacing w:line="240" w:lineRule="auto"/>
        <w:rPr>
          <w:rFonts w:ascii="Arial" w:eastAsia="Arial" w:hAnsi="Arial" w:cs="Arial"/>
          <w:color w:val="000000" w:themeColor="text1"/>
        </w:rPr>
      </w:pPr>
      <w:r w:rsidRPr="00751EA7">
        <w:rPr>
          <w:rFonts w:ascii="Arial" w:hAnsi="Arial" w:cs="Arial"/>
          <w:color w:val="000000" w:themeColor="text1"/>
          <w:shd w:val="clear" w:color="auto" w:fill="FFFFFF"/>
        </w:rPr>
        <w:t>To assess the links between menopause timing with biological aging, in the UKB, we calculated proteomic aging clocks for 13 organ systems and 3</w:t>
      </w:r>
      <w:r w:rsidR="00E22F86">
        <w:rPr>
          <w:rFonts w:ascii="Arial" w:hAnsi="Arial" w:cs="Arial"/>
          <w:color w:val="000000" w:themeColor="text1"/>
          <w:shd w:val="clear" w:color="auto" w:fill="FFFFFF"/>
        </w:rPr>
        <w:t>8</w:t>
      </w:r>
      <w:r w:rsidRPr="00751EA7">
        <w:rPr>
          <w:rFonts w:ascii="Arial" w:hAnsi="Arial" w:cs="Arial"/>
          <w:color w:val="000000" w:themeColor="text1"/>
          <w:shd w:val="clear" w:color="auto" w:fill="FFFFFF"/>
        </w:rPr>
        <w:t xml:space="preserve"> cell types using previously established Olink models.</w:t>
      </w:r>
      <w:r w:rsidRPr="00751EA7">
        <w:rPr>
          <w:rFonts w:ascii="Arial" w:hAnsi="Arial" w:cs="Arial"/>
          <w:color w:val="000000" w:themeColor="text1"/>
          <w:shd w:val="clear" w:color="auto" w:fill="FFFFFF"/>
        </w:rPr>
        <w:fldChar w:fldCharType="begin"/>
      </w:r>
      <w:r w:rsidR="00204343">
        <w:rPr>
          <w:rFonts w:ascii="Arial" w:hAnsi="Arial" w:cs="Arial"/>
          <w:color w:val="000000" w:themeColor="text1"/>
          <w:shd w:val="clear" w:color="auto" w:fill="FFFFFF"/>
        </w:rPr>
        <w:instrText xml:space="preserve"> ADDIN ZOTERO_ITEM CSL_CITATION {"citationID":"hrIOsEfr","properties":{"formattedCitation":"\\super 3,12\\nosupersub{}","plainCitation":"3,12","noteIndex":0},"citationItems":[{"id":4855,"uris":["http://zotero.org/users/19072319/items/DP8INZT5"],"itemData":{"id":4855,"type":"article-journal","container-title":"Nature Medicine","DOI":"10.1038/s41591-025-03798-1","ISSN":"1078-8956, 1546-170X","issue":"8","journalAbbreviation":"Nat Med","language":"en","page":"2703-2711","source":"DOI.org (Crossref)","title":"Plasma proteomics links brain and immune system aging with healthspan and longevity","volume":"31","author":[{"family":"Oh","given":"Hamilton Se-Hwee"},{"family":"Le Guen","given":"Yann"},{"family":"Rappoport","given":"Nimrod"},{"family":"Urey","given":"Deniz Yagmur"},{"family":"Farinas","given":"Amelia"},{"family":"Rutledge","given":"Jarod"},{"family":"Channappa","given":"Divya"},{"family":"Wagner","given":"Anthony D."},{"family":"Mormino","given":"Elizabeth"},{"family":"Brunet","given":"Anne"},{"family":"Greicius","given":"Michael D."},{"family":"Wyss-Coray","given":"Tony"}],"issued":{"date-parts":[["2025",8]]}}},{"id":4920,"uris":["http://zotero.org/users/19072319/items/ZVHRDNRD"],"itemData":{"id":4920,"type":"article-journal","abstract":"Aging is asynchronous across cells and organs, but whether plasma proteins can capture cell type-specific aging and predict disease and mortality remains unknown. We developed machine learning models to estimate the biological age of more than 40 distinct cell types-spanning neuronal, immune, glial, endocrine, epithelial, and musculoskeletal origins-using over 7,000 plasma proteins measured in 60,000 individuals across three cohorts, comprising the largest human plasma proteomics aging study to date. Individuals showed heterogeneous aging profiles, with 20-25% exhibiting accelerated aging in a single cell type and 1-3% across ten or more cell types. APOE genotype showed antagonistic aging effects in different cell types: APOE4 carriers exhibited older astrocytes but younger macrophages, while APOE2 carriers showed the inverse. Cellular aging signatures were uniquely associated with disease status and predicted incident disease and mortality over 15 years of follow-up. Amyotrophic lateral sclerosis (ALS) showed the strongest association with skeletal myocyte aging (hazard ratio = 12.7 for extreme accelerated versus youthful aging). In Alzheimer's disease (AD), prevalent cases showed accelerated aging across multiple neural and peripheral cell types, with extreme astrocyte aging conferring AD risk comparable to APOE4 carrier status. Moreover, extreme astrocyte aging increased AD risk in APOE4/4 carriers threefold, while youthful astrocytes strikingly reduced risk. Beyond neurodegeneration, respiratory cell aging identified smokers at 58% higher lung cancer risk, and myeloid aging identified normoglycemic individuals at higher diabetes risk. Both specific cellular vulnerabilities and cumulative aging burden influenced survival, wherein youthful immune or neuronal profiles were protective. A polycellular aging risk score provided robust mortality risk stratification across platforms and cohorts. These findings establish a framework for quantifying biological aging at the cellular resolution using plasma proteomics, revealing heterogeneity in aging trajectories and their impact on disease susceptibility and resilience.","container-title":"bioRxiv: The Preprint Server for Biology","DOI":"10.64898/2026.02.10.704909","ISSN":"2692-8205","journalAbbreviation":"bioRxiv","language":"eng","page":"2026.02.10.704909","PMID":"41727111","PMCID":"PMC12919083","source":"PubMed","title":"Cellular Aging Signatures in the Plasma Proteome Record Human Health and Disease","author":[{"family":"Ding","given":"Daisy Yi"},{"family":"Bot","given":"Veronica Augustina"},{"family":"Chen","given":"Kenneth L."},{"family":"Groves","given":"James"},{"family":"Pálovics","given":"Róbert"},{"family":"Masuda","given":"Daisuke"},{"family":"Farinas","given":"Amelia"},{"family":"Oh","given":"Hamilton Se-Hwee"},{"family":"Wagner","given":"Viktoria"},{"family":"Lu","given":"Nannan"},{"literal":"Global Neurodegeneration Proteomics Consortium (GNPC)"},{"family":"Cruchaga","given":"Carlos"},{"family":"Isakova","given":"Alina"},{"family":"Schott","given":"Jonathan M."},{"family":"Wyss-Coray","given":"Tony"}],"issued":{"date-parts":[["2026",2,12]]}}}],"schema":"https://github.com/citation-style-language/schema/raw/master/csl-citation.json"} </w:instrText>
      </w:r>
      <w:r w:rsidRPr="00751EA7">
        <w:rPr>
          <w:rFonts w:ascii="Arial" w:hAnsi="Arial" w:cs="Arial"/>
          <w:color w:val="000000" w:themeColor="text1"/>
          <w:shd w:val="clear" w:color="auto" w:fill="FFFFFF"/>
        </w:rPr>
        <w:fldChar w:fldCharType="separate"/>
      </w:r>
      <w:r w:rsidR="00204343" w:rsidRPr="00204343">
        <w:rPr>
          <w:rFonts w:ascii="Arial" w:hAnsi="Arial" w:cs="Arial"/>
          <w:color w:val="000000"/>
          <w:kern w:val="0"/>
          <w:vertAlign w:val="superscript"/>
          <w:lang w:val="en-US"/>
        </w:rPr>
        <w:t>3,12</w:t>
      </w:r>
      <w:r w:rsidRPr="00751EA7">
        <w:rPr>
          <w:rFonts w:ascii="Arial" w:hAnsi="Arial" w:cs="Arial"/>
          <w:color w:val="000000" w:themeColor="text1"/>
          <w:shd w:val="clear" w:color="auto" w:fill="FFFFFF"/>
        </w:rPr>
        <w:fldChar w:fldCharType="end"/>
      </w:r>
      <w:r w:rsidRPr="00751EA7">
        <w:rPr>
          <w:rFonts w:ascii="Arial" w:hAnsi="Arial" w:cs="Arial"/>
          <w:color w:val="000000" w:themeColor="text1"/>
          <w:shd w:val="clear" w:color="auto" w:fill="FFFFFF"/>
        </w:rPr>
        <w:t xml:space="preserve"> Organ and cell clock models were developed using proteins that are labeled as enriched for the corresponding tissue or cellular sources in the Human Protein Atlas (HPA),</w:t>
      </w:r>
      <w:r w:rsidRPr="00751EA7">
        <w:rPr>
          <w:rFonts w:ascii="Arial" w:hAnsi="Arial" w:cs="Arial"/>
          <w:color w:val="000000" w:themeColor="text1"/>
          <w:shd w:val="clear" w:color="auto" w:fill="FFFFFF"/>
        </w:rPr>
        <w:fldChar w:fldCharType="begin"/>
      </w:r>
      <w:r w:rsidR="00204343">
        <w:rPr>
          <w:rFonts w:ascii="Arial" w:hAnsi="Arial" w:cs="Arial"/>
          <w:color w:val="000000" w:themeColor="text1"/>
          <w:shd w:val="clear" w:color="auto" w:fill="FFFFFF"/>
        </w:rPr>
        <w:instrText xml:space="preserve"> ADDIN ZOTERO_ITEM CSL_CITATION {"citationID":"G4XHe8Bo","properties":{"formattedCitation":"\\super 13\\nosupersub{}","plainCitation":"13","noteIndex":0},"citationItems":[{"id":4852,"uris":["http://zotero.org/users/19072319/items/AYM2I7N2"],"itemData":{"id":4852,"type":"article-journal","abstract":"The correct spatial distribution of proteins is vital for their function and often mis-localization or ectopic expression leads to diseases. For more than a decade, the Human Protein Atlas (HPA) has constituted a valuable tool for researchers studying protein localization and expression in human tissues and cells. The centerpiece of the HPA is its unique antibody collection for mapping the entire human proteome by immunohistochemistry and immunocytochemistry. By these approaches, more than 10 million images showing protein expression patterns at a single-cell level were generated and are publicly available at www.proteinatlas.org. The antibody-based approach is combined with transcriptomics data for an overview of global expression profiles. The present article comprehensively describes the HPA database functions and how users can utilize it for their own research as well as discusses the future path of spatial proteomics.","container-title":"Protein Science: A Publication of the Protein Society","DOI":"10.1002/pro.3307","ISSN":"1469-896X","issue":"1","journalAbbreviation":"Protein Sci","language":"eng","page":"233-244","PMID":"28940711","PMCID":"PMC5734309","source":"PubMed","title":"The human protein atlas: A spatial map of the human proteome","title-short":"The human protein atlas","volume":"27","author":[{"family":"Thul","given":"Peter J."},{"family":"Lindskog","given":"Cecilia"}],"issued":{"date-parts":[["2018",1]]}}}],"schema":"https://github.com/citation-style-language/schema/raw/master/csl-citation.json"} </w:instrText>
      </w:r>
      <w:r w:rsidRPr="00751EA7">
        <w:rPr>
          <w:rFonts w:ascii="Arial" w:hAnsi="Arial" w:cs="Arial"/>
          <w:color w:val="000000" w:themeColor="text1"/>
          <w:shd w:val="clear" w:color="auto" w:fill="FFFFFF"/>
        </w:rPr>
        <w:fldChar w:fldCharType="separate"/>
      </w:r>
      <w:r w:rsidR="00204343" w:rsidRPr="00204343">
        <w:rPr>
          <w:rFonts w:ascii="Arial" w:hAnsi="Arial" w:cs="Arial"/>
          <w:color w:val="000000"/>
          <w:kern w:val="0"/>
          <w:vertAlign w:val="superscript"/>
          <w:lang w:val="en-US"/>
        </w:rPr>
        <w:t>13</w:t>
      </w:r>
      <w:r w:rsidRPr="00751EA7">
        <w:rPr>
          <w:rFonts w:ascii="Arial" w:hAnsi="Arial" w:cs="Arial"/>
          <w:color w:val="000000" w:themeColor="text1"/>
          <w:shd w:val="clear" w:color="auto" w:fill="FFFFFF"/>
        </w:rPr>
        <w:fldChar w:fldCharType="end"/>
      </w:r>
      <w:r w:rsidRPr="00751EA7">
        <w:rPr>
          <w:rFonts w:ascii="Arial" w:hAnsi="Arial" w:cs="Arial"/>
          <w:color w:val="000000" w:themeColor="text1"/>
          <w:shd w:val="clear" w:color="auto" w:fill="FFFFFF"/>
        </w:rPr>
        <w:t xml:space="preserve"> such that proteins that load onto each organ- or cell-specific model are assumed to originate at least in part from those organs/cells.</w:t>
      </w:r>
      <w:r w:rsidRPr="00751EA7">
        <w:rPr>
          <w:rFonts w:ascii="Arial" w:hAnsi="Arial" w:cs="Arial"/>
          <w:color w:val="000000" w:themeColor="text1"/>
          <w:shd w:val="clear" w:color="auto" w:fill="FFFFFF"/>
        </w:rPr>
        <w:fldChar w:fldCharType="begin"/>
      </w:r>
      <w:r w:rsidR="00204343">
        <w:rPr>
          <w:rFonts w:ascii="Arial" w:hAnsi="Arial" w:cs="Arial"/>
          <w:color w:val="000000" w:themeColor="text1"/>
          <w:shd w:val="clear" w:color="auto" w:fill="FFFFFF"/>
        </w:rPr>
        <w:instrText xml:space="preserve"> ADDIN ZOTERO_ITEM CSL_CITATION {"citationID":"Oplfelxo","properties":{"formattedCitation":"\\super 3\\nosupersub{}","plainCitation":"3","noteIndex":0},"citationItems":[{"id":4855,"uris":["http://zotero.org/users/19072319/items/DP8INZT5"],"itemData":{"id":4855,"type":"article-journal","container-title":"Nature Medicine","DOI":"10.1038/s41591-025-03798-1","ISSN":"1078-8956, 1546-170X","issue":"8","journalAbbreviation":"Nat Med","language":"en","page":"2703-2711","source":"DOI.org (Crossref)","title":"Plasma proteomics links brain and immune system aging with healthspan and longevity","volume":"31","author":[{"family":"Oh","given":"Hamilton Se-Hwee"},{"family":"Le Guen","given":"Yann"},{"family":"Rappoport","given":"Nimrod"},{"family":"Urey","given":"Deniz Yagmur"},{"family":"Farinas","given":"Amelia"},{"family":"Rutledge","given":"Jarod"},{"family":"Channappa","given":"Divya"},{"family":"Wagner","given":"Anthony D."},{"family":"Mormino","given":"Elizabeth"},{"family":"Brunet","given":"Anne"},{"family":"Greicius","given":"Michael D."},{"family":"Wyss-Coray","given":"Tony"}],"issued":{"date-parts":[["2025",8]]}}}],"schema":"https://github.com/citation-style-language/schema/raw/master/csl-citation.json"} </w:instrText>
      </w:r>
      <w:r w:rsidRPr="00751EA7">
        <w:rPr>
          <w:rFonts w:ascii="Arial" w:hAnsi="Arial" w:cs="Arial"/>
          <w:color w:val="000000" w:themeColor="text1"/>
          <w:shd w:val="clear" w:color="auto" w:fill="FFFFFF"/>
        </w:rPr>
        <w:fldChar w:fldCharType="separate"/>
      </w:r>
      <w:r w:rsidR="00204343" w:rsidRPr="00204343">
        <w:rPr>
          <w:rFonts w:ascii="Arial" w:hAnsi="Arial" w:cs="Arial"/>
          <w:color w:val="000000"/>
          <w:kern w:val="0"/>
          <w:vertAlign w:val="superscript"/>
          <w:lang w:val="en-US"/>
        </w:rPr>
        <w:t>3</w:t>
      </w:r>
      <w:r w:rsidRPr="00751EA7">
        <w:rPr>
          <w:rFonts w:ascii="Arial" w:hAnsi="Arial" w:cs="Arial"/>
          <w:color w:val="000000" w:themeColor="text1"/>
          <w:shd w:val="clear" w:color="auto" w:fill="FFFFFF"/>
        </w:rPr>
        <w:fldChar w:fldCharType="end"/>
      </w:r>
      <w:r w:rsidRPr="00751EA7">
        <w:rPr>
          <w:rFonts w:ascii="Arial" w:hAnsi="Arial" w:cs="Arial"/>
          <w:color w:val="000000" w:themeColor="text1"/>
          <w:shd w:val="clear" w:color="auto" w:fill="FFFFFF"/>
        </w:rPr>
        <w:t xml:space="preserve"> Because the organ and cell clock estimations required complete data, these analyses were performed on a subset of </w:t>
      </w:r>
      <w:r w:rsidRPr="00751EA7">
        <w:rPr>
          <w:rFonts w:ascii="Arial" w:hAnsi="Arial" w:cs="Arial"/>
          <w:i/>
          <w:iCs/>
          <w:color w:val="000000" w:themeColor="text1"/>
          <w:shd w:val="clear" w:color="auto" w:fill="FFFFFF"/>
        </w:rPr>
        <w:t>N</w:t>
      </w:r>
      <w:r w:rsidRPr="00751EA7">
        <w:rPr>
          <w:rFonts w:ascii="Arial" w:hAnsi="Arial" w:cs="Arial"/>
          <w:color w:val="000000" w:themeColor="text1"/>
          <w:shd w:val="clear" w:color="auto" w:fill="FFFFFF"/>
        </w:rPr>
        <w:t>=12,716 postmenopausal women following K nearest-neighbours imputation of the Olink data (</w:t>
      </w:r>
      <w:r w:rsidR="00AB6DBD">
        <w:rPr>
          <w:rFonts w:ascii="Arial" w:hAnsi="Arial" w:cs="Arial"/>
          <w:color w:val="000000" w:themeColor="text1"/>
          <w:shd w:val="clear" w:color="auto" w:fill="FFFFFF"/>
        </w:rPr>
        <w:t>below</w:t>
      </w:r>
      <w:r w:rsidRPr="00751EA7">
        <w:rPr>
          <w:rFonts w:ascii="Arial" w:hAnsi="Arial" w:cs="Arial"/>
          <w:color w:val="000000" w:themeColor="text1"/>
          <w:shd w:val="clear" w:color="auto" w:fill="FFFFFF"/>
        </w:rPr>
        <w:t>).</w:t>
      </w:r>
      <w:r w:rsidRPr="00751EA7">
        <w:rPr>
          <w:rFonts w:ascii="Arial" w:hAnsi="Arial" w:cs="Arial"/>
          <w:color w:val="000000" w:themeColor="text1"/>
          <w:shd w:val="clear" w:color="auto" w:fill="FFFFFF"/>
        </w:rPr>
        <w:fldChar w:fldCharType="begin"/>
      </w:r>
      <w:r w:rsidR="00204343">
        <w:rPr>
          <w:rFonts w:ascii="Arial" w:hAnsi="Arial" w:cs="Arial"/>
          <w:color w:val="000000" w:themeColor="text1"/>
          <w:shd w:val="clear" w:color="auto" w:fill="FFFFFF"/>
        </w:rPr>
        <w:instrText xml:space="preserve"> ADDIN ZOTERO_ITEM CSL_CITATION {"citationID":"Jy10ypux","properties":{"formattedCitation":"\\super 3\\nosupersub{}","plainCitation":"3","noteIndex":0},"citationItems":[{"id":4855,"uris":["http://zotero.org/users/19072319/items/DP8INZT5"],"itemData":{"id":4855,"type":"article-journal","container-title":"Nature Medicine","DOI":"10.1038/s41591-025-03798-1","ISSN":"1078-8956, 1546-170X","issue":"8","journalAbbreviation":"Nat Med","language":"en","page":"2703-2711","source":"DOI.org (Crossref)","title":"Plasma proteomics links brain and immune system aging with healthspan and longevity","volume":"31","author":[{"family":"Oh","given":"Hamilton Se-Hwee"},{"family":"Le Guen","given":"Yann"},{"family":"Rappoport","given":"Nimrod"},{"family":"Urey","given":"Deniz Yagmur"},{"family":"Farinas","given":"Amelia"},{"family":"Rutledge","given":"Jarod"},{"family":"Channappa","given":"Divya"},{"family":"Wagner","given":"Anthony D."},{"family":"Mormino","given":"Elizabeth"},{"family":"Brunet","given":"Anne"},{"family":"Greicius","given":"Michael D."},{"family":"Wyss-Coray","given":"Tony"}],"issued":{"date-parts":[["2025",8]]}}}],"schema":"https://github.com/citation-style-language/schema/raw/master/csl-citation.json"} </w:instrText>
      </w:r>
      <w:r w:rsidRPr="00751EA7">
        <w:rPr>
          <w:rFonts w:ascii="Arial" w:hAnsi="Arial" w:cs="Arial"/>
          <w:color w:val="000000" w:themeColor="text1"/>
          <w:shd w:val="clear" w:color="auto" w:fill="FFFFFF"/>
        </w:rPr>
        <w:fldChar w:fldCharType="separate"/>
      </w:r>
      <w:r w:rsidR="00204343" w:rsidRPr="00204343">
        <w:rPr>
          <w:rFonts w:ascii="Arial" w:hAnsi="Arial" w:cs="Arial"/>
          <w:color w:val="000000"/>
          <w:kern w:val="0"/>
          <w:vertAlign w:val="superscript"/>
          <w:lang w:val="en-US"/>
        </w:rPr>
        <w:t>3</w:t>
      </w:r>
      <w:r w:rsidRPr="00751EA7">
        <w:rPr>
          <w:rFonts w:ascii="Arial" w:hAnsi="Arial" w:cs="Arial"/>
          <w:color w:val="000000" w:themeColor="text1"/>
          <w:shd w:val="clear" w:color="auto" w:fill="FFFFFF"/>
        </w:rPr>
        <w:fldChar w:fldCharType="end"/>
      </w:r>
      <w:r w:rsidRPr="00751EA7">
        <w:rPr>
          <w:rFonts w:ascii="Arial" w:hAnsi="Arial" w:cs="Arial"/>
          <w:color w:val="000000" w:themeColor="text1"/>
          <w:shd w:val="clear" w:color="auto" w:fill="FFFFFF"/>
        </w:rPr>
        <w:t xml:space="preserve"> Chronological age-adjusted linear models tested associations of age at menopause with</w:t>
      </w:r>
      <w:r w:rsidRPr="00751EA7">
        <w:rPr>
          <w:rFonts w:ascii="Arial" w:hAnsi="Arial" w:cs="Arial"/>
        </w:rPr>
        <w:t xml:space="preserve"> organ and cell age “gaps” (i.e., z-scored residuals of proteomic predicted age linearly regressed against actual age, whereby larger gaps reflect more advanced biological aging).</w:t>
      </w:r>
      <w:r w:rsidRPr="00751EA7">
        <w:rPr>
          <w:rFonts w:ascii="Arial" w:eastAsia="Arial" w:hAnsi="Arial" w:cs="Arial"/>
          <w:color w:val="000000" w:themeColor="text1"/>
        </w:rPr>
        <w:t xml:space="preserve"> </w:t>
      </w:r>
    </w:p>
    <w:p w14:paraId="1072048B" w14:textId="77777777" w:rsidR="00751EA7" w:rsidRDefault="00751EA7" w:rsidP="00751EA7">
      <w:pPr>
        <w:tabs>
          <w:tab w:val="left" w:pos="461"/>
        </w:tabs>
        <w:spacing w:line="240" w:lineRule="auto"/>
        <w:rPr>
          <w:rFonts w:ascii="Arial" w:eastAsia="Arial" w:hAnsi="Arial" w:cs="Arial"/>
          <w:color w:val="000000" w:themeColor="text1"/>
        </w:rPr>
      </w:pPr>
    </w:p>
    <w:p w14:paraId="4DEE3FC6" w14:textId="22CD8666" w:rsidR="00751EA7" w:rsidRPr="00751EA7" w:rsidRDefault="00751EA7" w:rsidP="00751EA7">
      <w:pPr>
        <w:spacing w:line="240" w:lineRule="auto"/>
        <w:rPr>
          <w:rFonts w:ascii="Arial" w:eastAsia="Arial" w:hAnsi="Arial" w:cs="Arial"/>
          <w:b/>
          <w:bCs/>
        </w:rPr>
      </w:pPr>
      <w:r w:rsidRPr="00751EA7">
        <w:rPr>
          <w:rFonts w:ascii="Arial" w:eastAsia="Arial" w:hAnsi="Arial" w:cs="Arial"/>
          <w:b/>
          <w:bCs/>
        </w:rPr>
        <w:t>Female tissue enrichment</w:t>
      </w:r>
    </w:p>
    <w:p w14:paraId="2EB35B3C" w14:textId="729A0384" w:rsidR="007E304A" w:rsidRDefault="00102708" w:rsidP="007E304A">
      <w:pPr>
        <w:tabs>
          <w:tab w:val="left" w:pos="461"/>
        </w:tabs>
        <w:spacing w:line="240" w:lineRule="auto"/>
        <w:rPr>
          <w:rFonts w:ascii="Arial" w:hAnsi="Arial" w:cs="Arial"/>
          <w:color w:val="000000" w:themeColor="text1"/>
          <w:shd w:val="clear" w:color="auto" w:fill="FFFFFF"/>
        </w:rPr>
      </w:pPr>
      <w:r w:rsidRPr="00751EA7">
        <w:rPr>
          <w:rFonts w:ascii="Arial" w:eastAsia="Arial" w:hAnsi="Arial" w:cs="Arial"/>
          <w:color w:val="000000" w:themeColor="text1"/>
        </w:rPr>
        <w:t xml:space="preserve">Because the organ age models did not include a measure of reproductive aging, to evaluate whether menopause timing proteins may originate disproportionately from female reproductive tissue, we used HPA classifications to create a supraordinate </w:t>
      </w:r>
      <w:r w:rsidRPr="00751EA7">
        <w:rPr>
          <w:rFonts w:ascii="Arial" w:eastAsia="Arial" w:hAnsi="Arial" w:cs="Arial"/>
          <w:color w:val="000000" w:themeColor="text1"/>
        </w:rPr>
        <w:lastRenderedPageBreak/>
        <w:t>“female reproductive tissue” category.</w:t>
      </w:r>
      <w:r w:rsidRPr="00751EA7">
        <w:rPr>
          <w:rFonts w:ascii="Arial" w:hAnsi="Arial" w:cs="Arial"/>
          <w:color w:val="000000" w:themeColor="text1"/>
          <w:shd w:val="clear" w:color="auto" w:fill="FFFFFF"/>
        </w:rPr>
        <w:fldChar w:fldCharType="begin"/>
      </w:r>
      <w:r w:rsidR="00204343">
        <w:rPr>
          <w:rFonts w:ascii="Arial" w:hAnsi="Arial" w:cs="Arial"/>
          <w:color w:val="000000" w:themeColor="text1"/>
          <w:shd w:val="clear" w:color="auto" w:fill="FFFFFF"/>
        </w:rPr>
        <w:instrText xml:space="preserve"> ADDIN ZOTERO_ITEM CSL_CITATION {"citationID":"25GtYB0N","properties":{"formattedCitation":"\\super 13\\nosupersub{}","plainCitation":"13","noteIndex":0},"citationItems":[{"id":4852,"uris":["http://zotero.org/users/19072319/items/AYM2I7N2"],"itemData":{"id":4852,"type":"article-journal","abstract":"The correct spatial distribution of proteins is vital for their function and often mis-localization or ectopic expression leads to diseases. For more than a decade, the Human Protein Atlas (HPA) has constituted a valuable tool for researchers studying protein localization and expression in human tissues and cells. The centerpiece of the HPA is its unique antibody collection for mapping the entire human proteome by immunohistochemistry and immunocytochemistry. By these approaches, more than 10 million images showing protein expression patterns at a single-cell level were generated and are publicly available at www.proteinatlas.org. The antibody-based approach is combined with transcriptomics data for an overview of global expression profiles. The present article comprehensively describes the HPA database functions and how users can utilize it for their own research as well as discusses the future path of spatial proteomics.","container-title":"Protein Science: A Publication of the Protein Society","DOI":"10.1002/pro.3307","ISSN":"1469-896X","issue":"1","journalAbbreviation":"Protein Sci","language":"eng","page":"233-244","PMID":"28940711","PMCID":"PMC5734309","source":"PubMed","title":"The human protein atlas: A spatial map of the human proteome","title-short":"The human protein atlas","volume":"27","author":[{"family":"Thul","given":"Peter J."},{"family":"Lindskog","given":"Cecilia"}],"issued":{"date-parts":[["2018",1]]}}}],"schema":"https://github.com/citation-style-language/schema/raw/master/csl-citation.json"} </w:instrText>
      </w:r>
      <w:r w:rsidRPr="00751EA7">
        <w:rPr>
          <w:rFonts w:ascii="Arial" w:hAnsi="Arial" w:cs="Arial"/>
          <w:color w:val="000000" w:themeColor="text1"/>
          <w:shd w:val="clear" w:color="auto" w:fill="FFFFFF"/>
        </w:rPr>
        <w:fldChar w:fldCharType="separate"/>
      </w:r>
      <w:r w:rsidR="00204343" w:rsidRPr="00204343">
        <w:rPr>
          <w:rFonts w:ascii="Arial" w:hAnsi="Arial" w:cs="Arial"/>
          <w:color w:val="000000"/>
          <w:kern w:val="0"/>
          <w:vertAlign w:val="superscript"/>
          <w:lang w:val="en-US"/>
        </w:rPr>
        <w:t>13</w:t>
      </w:r>
      <w:r w:rsidRPr="00751EA7">
        <w:rPr>
          <w:rFonts w:ascii="Arial" w:hAnsi="Arial" w:cs="Arial"/>
          <w:color w:val="000000" w:themeColor="text1"/>
          <w:shd w:val="clear" w:color="auto" w:fill="FFFFFF"/>
        </w:rPr>
        <w:fldChar w:fldCharType="end"/>
      </w:r>
      <w:r w:rsidRPr="00751EA7">
        <w:rPr>
          <w:rFonts w:ascii="Arial" w:eastAsia="Arial" w:hAnsi="Arial" w:cs="Arial"/>
          <w:color w:val="000000" w:themeColor="text1"/>
        </w:rPr>
        <w:t xml:space="preserve"> We included </w:t>
      </w:r>
      <w:r w:rsidRPr="00751EA7">
        <w:rPr>
          <w:rFonts w:ascii="Arial" w:hAnsi="Arial" w:cs="Arial"/>
          <w:color w:val="000000" w:themeColor="text1"/>
          <w:shd w:val="clear" w:color="auto" w:fill="FFFFFF"/>
        </w:rPr>
        <w:t>proteins that were classified “tissue-enriched” or “group-enriched” (whereby RNA-seq number of transcripts per million (nTPM) ≥4 times higher in the enriched tissues vs. remaining tissues)</w:t>
      </w:r>
      <w:r w:rsidRPr="00751EA7">
        <w:rPr>
          <w:rFonts w:ascii="Arial" w:eastAsia="Arial" w:hAnsi="Arial" w:cs="Arial"/>
          <w:color w:val="000000" w:themeColor="text1"/>
        </w:rPr>
        <w:t xml:space="preserve"> for the endometrium, ovary, fallopian tube, cervix, vagina, breast, or placenta.</w:t>
      </w:r>
      <w:r w:rsidRPr="00751EA7">
        <w:rPr>
          <w:rFonts w:ascii="Arial" w:hAnsi="Arial" w:cs="Arial"/>
          <w:color w:val="000000" w:themeColor="text1"/>
          <w:shd w:val="clear" w:color="auto" w:fill="FFFFFF"/>
        </w:rPr>
        <w:t xml:space="preserve"> Then, we used Fisher’s exact test to evaluate whether proteins that may have originated from female reproductive tissue were overrepresented among targets that either positively or negatively associated with age at menopause. </w:t>
      </w:r>
    </w:p>
    <w:p w14:paraId="1CC1F43D" w14:textId="77777777" w:rsidR="00F00224" w:rsidRPr="007E304A" w:rsidRDefault="00F00224" w:rsidP="007E304A">
      <w:pPr>
        <w:tabs>
          <w:tab w:val="left" w:pos="461"/>
        </w:tabs>
        <w:spacing w:line="240" w:lineRule="auto"/>
        <w:rPr>
          <w:rFonts w:ascii="Arial" w:hAnsi="Arial" w:cs="Arial"/>
          <w:color w:val="000000" w:themeColor="text1"/>
          <w:shd w:val="clear" w:color="auto" w:fill="FFFFFF"/>
        </w:rPr>
      </w:pPr>
    </w:p>
    <w:p w14:paraId="2F52E776" w14:textId="7B6F0498" w:rsidR="00751EA7" w:rsidRDefault="00751EA7" w:rsidP="00751EA7">
      <w:pPr>
        <w:spacing w:line="240" w:lineRule="auto"/>
        <w:rPr>
          <w:rFonts w:ascii="Arial" w:hAnsi="Arial" w:cs="Arial"/>
          <w:b/>
          <w:bCs/>
        </w:rPr>
      </w:pPr>
      <w:r w:rsidRPr="00294505">
        <w:rPr>
          <w:rFonts w:ascii="Arial" w:hAnsi="Arial" w:cs="Arial"/>
          <w:b/>
          <w:bCs/>
        </w:rPr>
        <w:t>UK Biobank Olink imputation for organ age models</w:t>
      </w:r>
    </w:p>
    <w:p w14:paraId="1A865EA7" w14:textId="00BF9A31" w:rsidR="00751EA7" w:rsidRPr="00892319" w:rsidRDefault="00751EA7" w:rsidP="00751EA7">
      <w:pPr>
        <w:spacing w:line="240" w:lineRule="auto"/>
        <w:rPr>
          <w:rFonts w:ascii="Arial" w:hAnsi="Arial" w:cs="Arial"/>
          <w:b/>
          <w:bCs/>
        </w:rPr>
      </w:pPr>
      <w:r w:rsidRPr="00294505">
        <w:rPr>
          <w:rFonts w:ascii="Arial" w:hAnsi="Arial" w:cs="Arial"/>
        </w:rPr>
        <w:t>We imputed Olink proteomics data using the entire Olink baseline sample (</w:t>
      </w:r>
      <w:r w:rsidRPr="00294505">
        <w:rPr>
          <w:rFonts w:ascii="Arial" w:hAnsi="Arial" w:cs="Arial"/>
          <w:i/>
          <w:iCs/>
        </w:rPr>
        <w:t>N</w:t>
      </w:r>
      <w:r w:rsidRPr="00294505">
        <w:rPr>
          <w:rFonts w:ascii="Arial" w:hAnsi="Arial" w:cs="Arial"/>
        </w:rPr>
        <w:t xml:space="preserve">=52,995 participants; </w:t>
      </w:r>
      <w:r w:rsidRPr="00294505">
        <w:rPr>
          <w:rFonts w:ascii="Arial" w:hAnsi="Arial" w:cs="Arial"/>
          <w:i/>
          <w:iCs/>
        </w:rPr>
        <w:t>N</w:t>
      </w:r>
      <w:r w:rsidRPr="00294505">
        <w:rPr>
          <w:rFonts w:ascii="Arial" w:hAnsi="Arial" w:cs="Arial"/>
        </w:rPr>
        <w:t>=2,923 proteins) following a previously published method.</w:t>
      </w:r>
      <w:r w:rsidRPr="00294505">
        <w:rPr>
          <w:rFonts w:ascii="Arial" w:hAnsi="Arial" w:cs="Arial"/>
        </w:rPr>
        <w:fldChar w:fldCharType="begin"/>
      </w:r>
      <w:r w:rsidR="00204343">
        <w:rPr>
          <w:rFonts w:ascii="Arial" w:hAnsi="Arial" w:cs="Arial"/>
        </w:rPr>
        <w:instrText xml:space="preserve"> ADDIN ZOTERO_ITEM CSL_CITATION {"citationID":"0pppuDfD","properties":{"formattedCitation":"\\super 3\\nosupersub{}","plainCitation":"3","noteIndex":0},"citationItems":[{"id":4855,"uris":["http://zotero.org/users/19072319/items/DP8INZT5"],"itemData":{"id":4855,"type":"article-journal","container-title":"Nature Medicine","DOI":"10.1038/s41591-025-03798-1","ISSN":"1078-8956, 1546-170X","issue":"8","journalAbbreviation":"Nat Med","language":"en","page":"2703-2711","source":"DOI.org (Crossref)","title":"Plasma proteomics links brain and immune system aging with healthspan and longevity","volume":"31","author":[{"family":"Oh","given":"Hamilton Se-Hwee"},{"family":"Le Guen","given":"Yann"},{"family":"Rappoport","given":"Nimrod"},{"family":"Urey","given":"Deniz Yagmur"},{"family":"Farinas","given":"Amelia"},{"family":"Rutledge","given":"Jarod"},{"family":"Channappa","given":"Divya"},{"family":"Wagner","given":"Anthony D."},{"family":"Mormino","given":"Elizabeth"},{"family":"Brunet","given":"Anne"},{"family":"Greicius","given":"Michael D."},{"family":"Wyss-Coray","given":"Tony"}],"issued":{"date-parts":[["2025",8]]}}}],"schema":"https://github.com/citation-style-language/schema/raw/master/csl-citation.json"} </w:instrText>
      </w:r>
      <w:r w:rsidRPr="00294505">
        <w:rPr>
          <w:rFonts w:ascii="Arial" w:hAnsi="Arial" w:cs="Arial"/>
        </w:rPr>
        <w:fldChar w:fldCharType="separate"/>
      </w:r>
      <w:r w:rsidR="00204343" w:rsidRPr="00204343">
        <w:rPr>
          <w:rFonts w:ascii="Arial" w:hAnsi="Arial" w:cs="Arial"/>
          <w:kern w:val="0"/>
          <w:vertAlign w:val="superscript"/>
          <w:lang w:val="en-US"/>
        </w:rPr>
        <w:t>3</w:t>
      </w:r>
      <w:r w:rsidRPr="00294505">
        <w:rPr>
          <w:rFonts w:ascii="Arial" w:hAnsi="Arial" w:cs="Arial"/>
        </w:rPr>
        <w:fldChar w:fldCharType="end"/>
      </w:r>
      <w:r w:rsidRPr="00294505">
        <w:rPr>
          <w:rFonts w:ascii="Arial" w:hAnsi="Arial" w:cs="Arial"/>
        </w:rPr>
        <w:t xml:space="preserve"> For quality control, we first excluded </w:t>
      </w:r>
      <w:r w:rsidRPr="00294505">
        <w:rPr>
          <w:rFonts w:ascii="Arial" w:hAnsi="Arial" w:cs="Arial"/>
          <w:i/>
          <w:iCs/>
        </w:rPr>
        <w:t>N</w:t>
      </w:r>
      <w:r w:rsidRPr="00294505">
        <w:rPr>
          <w:rFonts w:ascii="Arial" w:hAnsi="Arial" w:cs="Arial"/>
        </w:rPr>
        <w:t xml:space="preserve">=8,181 samples with more than 1,000 proteins missing, seven proteins with missing values in more than 10% of samples, and 338 samples with discordant self-reported sex and genetic sex, resulting in a final dataset of </w:t>
      </w:r>
      <w:r w:rsidRPr="00294505">
        <w:rPr>
          <w:rFonts w:ascii="Arial" w:hAnsi="Arial" w:cs="Arial"/>
          <w:i/>
          <w:iCs/>
        </w:rPr>
        <w:t>N</w:t>
      </w:r>
      <w:r w:rsidRPr="00294505">
        <w:rPr>
          <w:rFonts w:ascii="Arial" w:hAnsi="Arial" w:cs="Arial"/>
        </w:rPr>
        <w:t xml:space="preserve">=44,476 participants with 2,916 protein measurements. We performed missing value imputation of the Olink data using </w:t>
      </w:r>
      <w:r w:rsidRPr="00294505">
        <w:rPr>
          <w:rFonts w:ascii="Arial" w:hAnsi="Arial" w:cs="Arial"/>
          <w:i/>
          <w:iCs/>
          <w:color w:val="222222"/>
        </w:rPr>
        <w:t>k</w:t>
      </w:r>
      <w:r w:rsidRPr="00294505">
        <w:rPr>
          <w:rFonts w:ascii="Arial" w:hAnsi="Arial" w:cs="Arial"/>
          <w:color w:val="222222"/>
        </w:rPr>
        <w:t>-nearest neighbors (KNN) imputation. We split the data into train and test, where each split comprised 11 randomly selected UKB assessment centers (train centers: Newcastle, Nottingham, Bristol, Leeds, Sheffield, Glasgow, Wrexham, Croydon, Hounslow, Edinburgh; test centers: Liverpool, Manchester, Middlesborough, Oxford, Stockport, Stoke, Swansea). Protein levels were z-transformed using the means and standard deviations of the train split. Using scikit-learn’s KNNImputer function (scikit-learn.org), we trained a KNN imputed where the number of neighbours (</w:t>
      </w:r>
      <w:r w:rsidRPr="00294505">
        <w:rPr>
          <w:rFonts w:ascii="Arial" w:hAnsi="Arial" w:cs="Arial"/>
          <w:i/>
          <w:iCs/>
          <w:color w:val="222222"/>
        </w:rPr>
        <w:t>k</w:t>
      </w:r>
      <w:r w:rsidRPr="00294505">
        <w:rPr>
          <w:rFonts w:ascii="Arial" w:hAnsi="Arial" w:cs="Arial"/>
          <w:color w:val="222222"/>
        </w:rPr>
        <w:t>) was set to the square root of the sample size in the train split (</w:t>
      </w:r>
      <w:r w:rsidRPr="00294505">
        <w:rPr>
          <w:rFonts w:ascii="Arial" w:hAnsi="Arial" w:cs="Arial"/>
          <w:i/>
          <w:iCs/>
          <w:color w:val="222222"/>
        </w:rPr>
        <w:t xml:space="preserve">k </w:t>
      </w:r>
      <w:r w:rsidRPr="00294505">
        <w:rPr>
          <w:rFonts w:ascii="Arial" w:hAnsi="Arial" w:cs="Arial"/>
          <w:color w:val="222222"/>
        </w:rPr>
        <w:t xml:space="preserve">= 166). We assessed the imputer’s performance on </w:t>
      </w:r>
      <w:r w:rsidRPr="00294505">
        <w:rPr>
          <w:rFonts w:ascii="Arial" w:hAnsi="Arial" w:cs="Arial"/>
          <w:i/>
          <w:iCs/>
        </w:rPr>
        <w:t>N</w:t>
      </w:r>
      <w:r w:rsidRPr="00294505">
        <w:rPr>
          <w:rFonts w:ascii="Arial" w:hAnsi="Arial" w:cs="Arial"/>
        </w:rPr>
        <w:t>=</w:t>
      </w:r>
      <w:r w:rsidRPr="00294505">
        <w:rPr>
          <w:rFonts w:ascii="Arial" w:hAnsi="Arial" w:cs="Arial"/>
          <w:color w:val="222222"/>
        </w:rPr>
        <w:t>5,590 samples (3,425 train/2,165 test) with no original missing protein values. To do so, we randomly input missing values into this “ground truth” subsample at 3% (i.e., equivalent to the missing value rate in the entire post quality control dataset). We then used the imputer on this subsample to calculate the error between imputed values and ground truth values. This resulted in a total mean error rate (MAE) of 0.57 in both the train and test samples, consistent with previous research</w:t>
      </w:r>
      <w:r w:rsidRPr="00294505">
        <w:rPr>
          <w:rFonts w:ascii="Arial" w:hAnsi="Arial" w:cs="Arial"/>
        </w:rPr>
        <w:fldChar w:fldCharType="begin"/>
      </w:r>
      <w:r w:rsidR="00204343">
        <w:rPr>
          <w:rFonts w:ascii="Arial" w:hAnsi="Arial" w:cs="Arial"/>
        </w:rPr>
        <w:instrText xml:space="preserve"> ADDIN ZOTERO_ITEM CSL_CITATION {"citationID":"7cOqAL14","properties":{"formattedCitation":"\\super 3\\nosupersub{}","plainCitation":"3","noteIndex":0},"citationItems":[{"id":4855,"uris":["http://zotero.org/users/19072319/items/DP8INZT5"],"itemData":{"id":4855,"type":"article-journal","container-title":"Nature Medicine","DOI":"10.1038/s41591-025-03798-1","ISSN":"1078-8956, 1546-170X","issue":"8","journalAbbreviation":"Nat Med","language":"en","page":"2703-2711","source":"DOI.org (Crossref)","title":"Plasma proteomics links brain and immune system aging with healthspan and longevity","volume":"31","author":[{"family":"Oh","given":"Hamilton Se-Hwee"},{"family":"Le Guen","given":"Yann"},{"family":"Rappoport","given":"Nimrod"},{"family":"Urey","given":"Deniz Yagmur"},{"family":"Farinas","given":"Amelia"},{"family":"Rutledge","given":"Jarod"},{"family":"Channappa","given":"Divya"},{"family":"Wagner","given":"Anthony D."},{"family":"Mormino","given":"Elizabeth"},{"family":"Brunet","given":"Anne"},{"family":"Greicius","given":"Michael D."},{"family":"Wyss-Coray","given":"Tony"}],"issued":{"date-parts":[["2025",8]]}}}],"schema":"https://github.com/citation-style-language/schema/raw/master/csl-citation.json"} </w:instrText>
      </w:r>
      <w:r w:rsidRPr="00294505">
        <w:rPr>
          <w:rFonts w:ascii="Arial" w:hAnsi="Arial" w:cs="Arial"/>
        </w:rPr>
        <w:fldChar w:fldCharType="separate"/>
      </w:r>
      <w:r w:rsidR="00204343" w:rsidRPr="00204343">
        <w:rPr>
          <w:rFonts w:ascii="Arial" w:hAnsi="Arial" w:cs="Arial"/>
          <w:kern w:val="0"/>
          <w:vertAlign w:val="superscript"/>
          <w:lang w:val="en-US"/>
        </w:rPr>
        <w:t>3</w:t>
      </w:r>
      <w:r w:rsidRPr="00294505">
        <w:rPr>
          <w:rFonts w:ascii="Arial" w:hAnsi="Arial" w:cs="Arial"/>
        </w:rPr>
        <w:fldChar w:fldCharType="end"/>
      </w:r>
      <w:r w:rsidRPr="00294505">
        <w:rPr>
          <w:rFonts w:ascii="Arial" w:hAnsi="Arial" w:cs="Arial"/>
        </w:rPr>
        <w:t xml:space="preserve"> and </w:t>
      </w:r>
      <w:r w:rsidRPr="00294505">
        <w:rPr>
          <w:rFonts w:ascii="Arial" w:hAnsi="Arial" w:cs="Arial"/>
          <w:color w:val="222222"/>
        </w:rPr>
        <w:t>supporting robust imputation of the</w:t>
      </w:r>
      <w:r>
        <w:rPr>
          <w:rFonts w:ascii="Arial" w:hAnsi="Arial" w:cs="Arial"/>
          <w:color w:val="222222"/>
        </w:rPr>
        <w:t xml:space="preserve"> Olink data</w:t>
      </w:r>
      <w:r w:rsidR="00AB6DBD">
        <w:rPr>
          <w:rFonts w:ascii="Arial" w:hAnsi="Arial" w:cs="Arial"/>
          <w:color w:val="222222"/>
        </w:rPr>
        <w:t xml:space="preserve"> (</w:t>
      </w:r>
      <w:r w:rsidR="00AB6DBD" w:rsidRPr="00751EA7">
        <w:rPr>
          <w:rFonts w:ascii="Arial" w:hAnsi="Arial" w:cs="Arial"/>
          <w:color w:val="000000" w:themeColor="text1"/>
          <w:shd w:val="clear" w:color="auto" w:fill="FFFFFF"/>
        </w:rPr>
        <w:t>Fig.S1</w:t>
      </w:r>
      <w:r w:rsidR="005B269A">
        <w:rPr>
          <w:rFonts w:ascii="Arial" w:hAnsi="Arial" w:cs="Arial"/>
          <w:color w:val="000000" w:themeColor="text1"/>
          <w:shd w:val="clear" w:color="auto" w:fill="FFFFFF"/>
        </w:rPr>
        <w:t>3</w:t>
      </w:r>
      <w:r w:rsidR="00AB6DBD">
        <w:rPr>
          <w:rFonts w:ascii="Arial" w:hAnsi="Arial" w:cs="Arial"/>
          <w:color w:val="000000" w:themeColor="text1"/>
          <w:shd w:val="clear" w:color="auto" w:fill="FFFFFF"/>
        </w:rPr>
        <w:t>)</w:t>
      </w:r>
      <w:r>
        <w:rPr>
          <w:rFonts w:ascii="Arial" w:hAnsi="Arial" w:cs="Arial"/>
          <w:color w:val="222222"/>
        </w:rPr>
        <w:t xml:space="preserve">. </w:t>
      </w:r>
    </w:p>
    <w:p w14:paraId="033BA17B" w14:textId="77777777" w:rsidR="00944615" w:rsidRDefault="00944615" w:rsidP="00294505">
      <w:pPr>
        <w:spacing w:after="0" w:line="240" w:lineRule="auto"/>
        <w:rPr>
          <w:rFonts w:ascii="Arial" w:hAnsi="Arial" w:cs="Arial"/>
        </w:rPr>
      </w:pPr>
    </w:p>
    <w:p w14:paraId="40B2B560" w14:textId="77777777" w:rsidR="00944615" w:rsidRDefault="00944615" w:rsidP="00294505">
      <w:pPr>
        <w:spacing w:after="0" w:line="240" w:lineRule="auto"/>
        <w:rPr>
          <w:rFonts w:ascii="Arial" w:hAnsi="Arial" w:cs="Arial"/>
        </w:rPr>
      </w:pPr>
    </w:p>
    <w:p w14:paraId="22FD5C80" w14:textId="0AE66ADC" w:rsidR="00D7671C" w:rsidRPr="003F5CB0" w:rsidRDefault="003F5CB0" w:rsidP="003F5CB0">
      <w:pPr>
        <w:spacing w:line="240" w:lineRule="auto"/>
        <w:rPr>
          <w:rFonts w:ascii="Arial" w:hAnsi="Arial" w:cs="Arial"/>
          <w:b/>
          <w:bCs/>
        </w:rPr>
      </w:pPr>
      <w:r>
        <w:rPr>
          <w:rFonts w:ascii="Arial" w:hAnsi="Arial" w:cs="Arial"/>
          <w:b/>
          <w:bCs/>
        </w:rPr>
        <w:t>References</w:t>
      </w:r>
    </w:p>
    <w:p w14:paraId="5A08E291" w14:textId="77777777" w:rsidR="00204343" w:rsidRPr="00204343" w:rsidRDefault="00204343" w:rsidP="00204343">
      <w:pPr>
        <w:pStyle w:val="Bibliography"/>
        <w:rPr>
          <w:rFonts w:ascii="Arial" w:hAnsi="Arial" w:cs="Arial"/>
          <w:lang w:val="en-US"/>
        </w:rPr>
      </w:pPr>
      <w:r>
        <w:rPr>
          <w:rFonts w:ascii="Arial" w:hAnsi="Arial" w:cs="Arial"/>
        </w:rPr>
        <w:fldChar w:fldCharType="begin"/>
      </w:r>
      <w:r>
        <w:rPr>
          <w:rFonts w:ascii="Arial" w:hAnsi="Arial" w:cs="Arial"/>
        </w:rPr>
        <w:instrText xml:space="preserve"> ADDIN ZOTERO_BIBL {"uncited":[],"omitted":[],"custom":[]} CSL_BIBLIOGRAPHY </w:instrText>
      </w:r>
      <w:r>
        <w:rPr>
          <w:rFonts w:ascii="Arial" w:hAnsi="Arial" w:cs="Arial"/>
        </w:rPr>
        <w:fldChar w:fldCharType="separate"/>
      </w:r>
      <w:r w:rsidRPr="00204343">
        <w:rPr>
          <w:rFonts w:ascii="Arial" w:hAnsi="Arial" w:cs="Arial"/>
          <w:lang w:val="en-US"/>
        </w:rPr>
        <w:t>1.</w:t>
      </w:r>
      <w:r w:rsidRPr="00204343">
        <w:rPr>
          <w:rFonts w:ascii="Arial" w:hAnsi="Arial" w:cs="Arial"/>
          <w:lang w:val="en-US"/>
        </w:rPr>
        <w:tab/>
        <w:t xml:space="preserve">Allen NE, Lacey B, Lawlor DA, et al. Prospective study design and data analysis in UK Biobank. </w:t>
      </w:r>
      <w:r w:rsidRPr="00204343">
        <w:rPr>
          <w:rFonts w:ascii="Arial" w:hAnsi="Arial" w:cs="Arial"/>
          <w:i/>
          <w:iCs/>
          <w:lang w:val="en-US"/>
        </w:rPr>
        <w:t>Sci Transl Med</w:t>
      </w:r>
      <w:r w:rsidRPr="00204343">
        <w:rPr>
          <w:rFonts w:ascii="Arial" w:hAnsi="Arial" w:cs="Arial"/>
          <w:lang w:val="en-US"/>
        </w:rPr>
        <w:t>. 2024;16(729):eadf4428. doi:10.1126/scitranslmed.adf4428</w:t>
      </w:r>
    </w:p>
    <w:p w14:paraId="21E8C226" w14:textId="77777777" w:rsidR="00204343" w:rsidRPr="00204343" w:rsidRDefault="00204343" w:rsidP="00204343">
      <w:pPr>
        <w:pStyle w:val="Bibliography"/>
        <w:rPr>
          <w:rFonts w:ascii="Arial" w:hAnsi="Arial" w:cs="Arial"/>
          <w:lang w:val="en-US"/>
        </w:rPr>
      </w:pPr>
      <w:r w:rsidRPr="00204343">
        <w:rPr>
          <w:rFonts w:ascii="Arial" w:hAnsi="Arial" w:cs="Arial"/>
          <w:lang w:val="en-US"/>
        </w:rPr>
        <w:t>2.</w:t>
      </w:r>
      <w:r w:rsidRPr="00204343">
        <w:rPr>
          <w:rFonts w:ascii="Arial" w:hAnsi="Arial" w:cs="Arial"/>
          <w:lang w:val="en-US"/>
        </w:rPr>
        <w:tab/>
        <w:t xml:space="preserve">Sun BB, Chiou J, Traylor M, et al. Plasma proteomic associations with genetics and health in the UK Biobank. </w:t>
      </w:r>
      <w:r w:rsidRPr="00204343">
        <w:rPr>
          <w:rFonts w:ascii="Arial" w:hAnsi="Arial" w:cs="Arial"/>
          <w:i/>
          <w:iCs/>
          <w:lang w:val="en-US"/>
        </w:rPr>
        <w:t>Nature</w:t>
      </w:r>
      <w:r w:rsidRPr="00204343">
        <w:rPr>
          <w:rFonts w:ascii="Arial" w:hAnsi="Arial" w:cs="Arial"/>
          <w:lang w:val="en-US"/>
        </w:rPr>
        <w:t>. 2023;622(7982):329-338. doi:10.1038/s41586-023-06592-6</w:t>
      </w:r>
    </w:p>
    <w:p w14:paraId="796CEDBD" w14:textId="77777777" w:rsidR="00204343" w:rsidRPr="00204343" w:rsidRDefault="00204343" w:rsidP="00204343">
      <w:pPr>
        <w:pStyle w:val="Bibliography"/>
        <w:rPr>
          <w:rFonts w:ascii="Arial" w:hAnsi="Arial" w:cs="Arial"/>
          <w:lang w:val="en-US"/>
        </w:rPr>
      </w:pPr>
      <w:r w:rsidRPr="00204343">
        <w:rPr>
          <w:rFonts w:ascii="Arial" w:hAnsi="Arial" w:cs="Arial"/>
          <w:lang w:val="en-US"/>
        </w:rPr>
        <w:lastRenderedPageBreak/>
        <w:t>3.</w:t>
      </w:r>
      <w:r w:rsidRPr="00204343">
        <w:rPr>
          <w:rFonts w:ascii="Arial" w:hAnsi="Arial" w:cs="Arial"/>
          <w:lang w:val="en-US"/>
        </w:rPr>
        <w:tab/>
        <w:t xml:space="preserve">Oh HSH, Le Guen Y, Rappoport N, et al. Plasma proteomics links brain and immune system aging with healthspan and longevity. </w:t>
      </w:r>
      <w:r w:rsidRPr="00204343">
        <w:rPr>
          <w:rFonts w:ascii="Arial" w:hAnsi="Arial" w:cs="Arial"/>
          <w:i/>
          <w:iCs/>
          <w:lang w:val="en-US"/>
        </w:rPr>
        <w:t>Nat Med</w:t>
      </w:r>
      <w:r w:rsidRPr="00204343">
        <w:rPr>
          <w:rFonts w:ascii="Arial" w:hAnsi="Arial" w:cs="Arial"/>
          <w:lang w:val="en-US"/>
        </w:rPr>
        <w:t>. 2025;31(8):2703-2711. doi:10.1038/s41591-025-03798-1</w:t>
      </w:r>
    </w:p>
    <w:p w14:paraId="62E965DE" w14:textId="77777777" w:rsidR="00204343" w:rsidRPr="00204343" w:rsidRDefault="00204343" w:rsidP="00204343">
      <w:pPr>
        <w:pStyle w:val="Bibliography"/>
        <w:rPr>
          <w:rFonts w:ascii="Arial" w:hAnsi="Arial" w:cs="Arial"/>
          <w:lang w:val="en-US"/>
        </w:rPr>
      </w:pPr>
      <w:r w:rsidRPr="00204343">
        <w:rPr>
          <w:rFonts w:ascii="Arial" w:hAnsi="Arial" w:cs="Arial"/>
          <w:lang w:val="en-US"/>
        </w:rPr>
        <w:t>4.</w:t>
      </w:r>
      <w:r w:rsidRPr="00204343">
        <w:rPr>
          <w:rFonts w:ascii="Arial" w:hAnsi="Arial" w:cs="Arial"/>
          <w:lang w:val="en-US"/>
        </w:rPr>
        <w:tab/>
        <w:t xml:space="preserve">Miller KL, Alfaro-Almagro F, Bangerter NK, et al. Multimodal population brain imaging in the UK Biobank prospective epidemiological study. </w:t>
      </w:r>
      <w:r w:rsidRPr="00204343">
        <w:rPr>
          <w:rFonts w:ascii="Arial" w:hAnsi="Arial" w:cs="Arial"/>
          <w:i/>
          <w:iCs/>
          <w:lang w:val="en-US"/>
        </w:rPr>
        <w:t>Nat Neurosci</w:t>
      </w:r>
      <w:r w:rsidRPr="00204343">
        <w:rPr>
          <w:rFonts w:ascii="Arial" w:hAnsi="Arial" w:cs="Arial"/>
          <w:lang w:val="en-US"/>
        </w:rPr>
        <w:t>. 2016;19(11):1523-1536. doi:10.1038/nn.4393</w:t>
      </w:r>
    </w:p>
    <w:p w14:paraId="2EF5D961" w14:textId="77777777" w:rsidR="00204343" w:rsidRPr="00204343" w:rsidRDefault="00204343" w:rsidP="00204343">
      <w:pPr>
        <w:pStyle w:val="Bibliography"/>
        <w:rPr>
          <w:rFonts w:ascii="Arial" w:hAnsi="Arial" w:cs="Arial"/>
          <w:lang w:val="en-US"/>
        </w:rPr>
      </w:pPr>
      <w:r w:rsidRPr="00204343">
        <w:rPr>
          <w:rFonts w:ascii="Arial" w:hAnsi="Arial" w:cs="Arial"/>
          <w:lang w:val="en-US"/>
        </w:rPr>
        <w:t>5.</w:t>
      </w:r>
      <w:r w:rsidRPr="00204343">
        <w:rPr>
          <w:rFonts w:ascii="Arial" w:hAnsi="Arial" w:cs="Arial"/>
          <w:lang w:val="en-US"/>
        </w:rPr>
        <w:tab/>
        <w:t xml:space="preserve">Littlejohns TJ, Holliday J, Gibson LM, et al. The UK Biobank imaging enhancement of 100,000 participants: rationale, data collection, management and future directions. </w:t>
      </w:r>
      <w:r w:rsidRPr="00204343">
        <w:rPr>
          <w:rFonts w:ascii="Arial" w:hAnsi="Arial" w:cs="Arial"/>
          <w:i/>
          <w:iCs/>
          <w:lang w:val="en-US"/>
        </w:rPr>
        <w:t>Nat Commun</w:t>
      </w:r>
      <w:r w:rsidRPr="00204343">
        <w:rPr>
          <w:rFonts w:ascii="Arial" w:hAnsi="Arial" w:cs="Arial"/>
          <w:lang w:val="en-US"/>
        </w:rPr>
        <w:t>. 2020;11(1):2624. doi:10.1038/s41467-020-15948-9</w:t>
      </w:r>
    </w:p>
    <w:p w14:paraId="28A12F03" w14:textId="77777777" w:rsidR="00204343" w:rsidRPr="00204343" w:rsidRDefault="00204343" w:rsidP="00204343">
      <w:pPr>
        <w:pStyle w:val="Bibliography"/>
        <w:rPr>
          <w:rFonts w:ascii="Arial" w:hAnsi="Arial" w:cs="Arial"/>
          <w:lang w:val="en-US"/>
        </w:rPr>
      </w:pPr>
      <w:r w:rsidRPr="00204343">
        <w:rPr>
          <w:rFonts w:ascii="Arial" w:hAnsi="Arial" w:cs="Arial"/>
          <w:lang w:val="en-US"/>
        </w:rPr>
        <w:t>6.</w:t>
      </w:r>
      <w:r w:rsidRPr="00204343">
        <w:rPr>
          <w:rFonts w:ascii="Arial" w:hAnsi="Arial" w:cs="Arial"/>
          <w:lang w:val="en-US"/>
        </w:rPr>
        <w:tab/>
        <w:t xml:space="preserve">Wartolowska KA, Webb AJS. Blood Pressure Determinants of Cerebral White Matter Hyperintensities and Microstructural Injury: UK Biobank Cohort Study. </w:t>
      </w:r>
      <w:r w:rsidRPr="00204343">
        <w:rPr>
          <w:rFonts w:ascii="Arial" w:hAnsi="Arial" w:cs="Arial"/>
          <w:i/>
          <w:iCs/>
          <w:lang w:val="en-US"/>
        </w:rPr>
        <w:t>Hypertension</w:t>
      </w:r>
      <w:r w:rsidRPr="00204343">
        <w:rPr>
          <w:rFonts w:ascii="Arial" w:hAnsi="Arial" w:cs="Arial"/>
          <w:lang w:val="en-US"/>
        </w:rPr>
        <w:t>. 2021;78(2):532-539. doi:10.1161/HYPERTENSIONAHA.121.17403</w:t>
      </w:r>
    </w:p>
    <w:p w14:paraId="4A955896" w14:textId="77777777" w:rsidR="00204343" w:rsidRPr="00204343" w:rsidRDefault="00204343" w:rsidP="00204343">
      <w:pPr>
        <w:pStyle w:val="Bibliography"/>
        <w:rPr>
          <w:rFonts w:ascii="Arial" w:hAnsi="Arial" w:cs="Arial"/>
          <w:lang w:val="en-US"/>
        </w:rPr>
      </w:pPr>
      <w:r w:rsidRPr="00204343">
        <w:rPr>
          <w:rFonts w:ascii="Arial" w:hAnsi="Arial" w:cs="Arial"/>
          <w:lang w:val="en-US"/>
        </w:rPr>
        <w:t>7.</w:t>
      </w:r>
      <w:r w:rsidRPr="00204343">
        <w:rPr>
          <w:rFonts w:ascii="Arial" w:hAnsi="Arial" w:cs="Arial"/>
          <w:lang w:val="en-US"/>
        </w:rPr>
        <w:tab/>
        <w:t xml:space="preserve">Rutten-Jacobs LCA, Tozer DJ, Duering M, et al. Genetic Study of White Matter Integrity in UK Biobank (N=8448) and the Overlap With Stroke, Depression, and Dementia. </w:t>
      </w:r>
      <w:r w:rsidRPr="00204343">
        <w:rPr>
          <w:rFonts w:ascii="Arial" w:hAnsi="Arial" w:cs="Arial"/>
          <w:i/>
          <w:iCs/>
          <w:lang w:val="en-US"/>
        </w:rPr>
        <w:t>Stroke</w:t>
      </w:r>
      <w:r w:rsidRPr="00204343">
        <w:rPr>
          <w:rFonts w:ascii="Arial" w:hAnsi="Arial" w:cs="Arial"/>
          <w:lang w:val="en-US"/>
        </w:rPr>
        <w:t>. 2018;49(6):1340-1347. doi:10.1161/STROKEAHA.118.020811</w:t>
      </w:r>
    </w:p>
    <w:p w14:paraId="5E744BCE" w14:textId="77777777" w:rsidR="00204343" w:rsidRPr="00204343" w:rsidRDefault="00204343" w:rsidP="00204343">
      <w:pPr>
        <w:pStyle w:val="Bibliography"/>
        <w:rPr>
          <w:rFonts w:ascii="Arial" w:hAnsi="Arial" w:cs="Arial"/>
          <w:lang w:val="en-US"/>
        </w:rPr>
      </w:pPr>
      <w:r w:rsidRPr="00204343">
        <w:rPr>
          <w:rFonts w:ascii="Arial" w:hAnsi="Arial" w:cs="Arial"/>
          <w:lang w:val="en-US"/>
        </w:rPr>
        <w:t>8.</w:t>
      </w:r>
      <w:r w:rsidRPr="00204343">
        <w:rPr>
          <w:rFonts w:ascii="Arial" w:hAnsi="Arial" w:cs="Arial"/>
          <w:lang w:val="en-US"/>
        </w:rPr>
        <w:tab/>
        <w:t xml:space="preserve">Rossouw JE, Anderson GL, Prentice RL, et al. Risks and benefits of estrogen plus progestin in healthy postmenopausal women: principal results From the Women’s Health Initiative randomized controlled trial. </w:t>
      </w:r>
      <w:r w:rsidRPr="00204343">
        <w:rPr>
          <w:rFonts w:ascii="Arial" w:hAnsi="Arial" w:cs="Arial"/>
          <w:i/>
          <w:iCs/>
          <w:lang w:val="en-US"/>
        </w:rPr>
        <w:t>JAMA</w:t>
      </w:r>
      <w:r w:rsidRPr="00204343">
        <w:rPr>
          <w:rFonts w:ascii="Arial" w:hAnsi="Arial" w:cs="Arial"/>
          <w:lang w:val="en-US"/>
        </w:rPr>
        <w:t>. 2002;288(3):321-333. doi:10.1001/jama.288.3.321</w:t>
      </w:r>
    </w:p>
    <w:p w14:paraId="2E8D0B75" w14:textId="77777777" w:rsidR="00204343" w:rsidRPr="00204343" w:rsidRDefault="00204343" w:rsidP="00204343">
      <w:pPr>
        <w:pStyle w:val="Bibliography"/>
        <w:rPr>
          <w:rFonts w:ascii="Arial" w:hAnsi="Arial" w:cs="Arial"/>
          <w:lang w:val="en-US"/>
        </w:rPr>
      </w:pPr>
      <w:r w:rsidRPr="00204343">
        <w:rPr>
          <w:rFonts w:ascii="Arial" w:hAnsi="Arial" w:cs="Arial"/>
          <w:lang w:val="en-US"/>
        </w:rPr>
        <w:t>9.</w:t>
      </w:r>
      <w:r w:rsidRPr="00204343">
        <w:rPr>
          <w:rFonts w:ascii="Arial" w:hAnsi="Arial" w:cs="Arial"/>
          <w:lang w:val="en-US"/>
        </w:rPr>
        <w:tab/>
        <w:t xml:space="preserve">Manson JE, Crandall CJ, Rossouw JE, et al. The Women’s Health Initiative Randomized Trials and Clinical Practice: A Review. </w:t>
      </w:r>
      <w:r w:rsidRPr="00204343">
        <w:rPr>
          <w:rFonts w:ascii="Arial" w:hAnsi="Arial" w:cs="Arial"/>
          <w:i/>
          <w:iCs/>
          <w:lang w:val="en-US"/>
        </w:rPr>
        <w:t>JAMA</w:t>
      </w:r>
      <w:r w:rsidRPr="00204343">
        <w:rPr>
          <w:rFonts w:ascii="Arial" w:hAnsi="Arial" w:cs="Arial"/>
          <w:lang w:val="en-US"/>
        </w:rPr>
        <w:t>. 2024;331(20):1748. doi:10.1001/jama.2024.6542</w:t>
      </w:r>
    </w:p>
    <w:p w14:paraId="73FD5760" w14:textId="77777777" w:rsidR="00204343" w:rsidRPr="00204343" w:rsidRDefault="00204343" w:rsidP="00204343">
      <w:pPr>
        <w:pStyle w:val="Bibliography"/>
        <w:rPr>
          <w:rFonts w:ascii="Arial" w:hAnsi="Arial" w:cs="Arial"/>
          <w:lang w:val="en-US"/>
        </w:rPr>
      </w:pPr>
      <w:r w:rsidRPr="00204343">
        <w:rPr>
          <w:rFonts w:ascii="Arial" w:hAnsi="Arial" w:cs="Arial"/>
          <w:lang w:val="en-US"/>
        </w:rPr>
        <w:t>10.</w:t>
      </w:r>
      <w:r w:rsidRPr="00204343">
        <w:rPr>
          <w:rFonts w:ascii="Arial" w:hAnsi="Arial" w:cs="Arial"/>
          <w:lang w:val="en-US"/>
        </w:rPr>
        <w:tab/>
        <w:t xml:space="preserve">LaMonte MJ, Manson JE, Anderson GL, et al. Contributions of the Women’s Health Initiative to Cardiovascular Research: JACC State-of-the-Art Review. </w:t>
      </w:r>
      <w:r w:rsidRPr="00204343">
        <w:rPr>
          <w:rFonts w:ascii="Arial" w:hAnsi="Arial" w:cs="Arial"/>
          <w:i/>
          <w:iCs/>
          <w:lang w:val="en-US"/>
        </w:rPr>
        <w:t>J Am Coll Cardiol</w:t>
      </w:r>
      <w:r w:rsidRPr="00204343">
        <w:rPr>
          <w:rFonts w:ascii="Arial" w:hAnsi="Arial" w:cs="Arial"/>
          <w:lang w:val="en-US"/>
        </w:rPr>
        <w:t>. 2022;80(3):256-275. doi:10.1016/j.jacc.2022.05.016</w:t>
      </w:r>
    </w:p>
    <w:p w14:paraId="590DEFD7" w14:textId="77777777" w:rsidR="00204343" w:rsidRPr="00204343" w:rsidRDefault="00204343" w:rsidP="00204343">
      <w:pPr>
        <w:pStyle w:val="Bibliography"/>
        <w:rPr>
          <w:rFonts w:ascii="Arial" w:hAnsi="Arial" w:cs="Arial"/>
          <w:lang w:val="en-US"/>
        </w:rPr>
      </w:pPr>
      <w:r w:rsidRPr="00204343">
        <w:rPr>
          <w:rFonts w:ascii="Arial" w:hAnsi="Arial" w:cs="Arial"/>
          <w:lang w:val="en-US"/>
        </w:rPr>
        <w:t>11.</w:t>
      </w:r>
      <w:r w:rsidRPr="00204343">
        <w:rPr>
          <w:rFonts w:ascii="Arial" w:hAnsi="Arial" w:cs="Arial"/>
          <w:lang w:val="en-US"/>
        </w:rPr>
        <w:tab/>
        <w:t xml:space="preserve">Cai Y, Johnson M, Haessler J, et al. Protein quantitative trait locus analysis in African American and non-Hispanic White individuals. </w:t>
      </w:r>
      <w:r w:rsidRPr="00204343">
        <w:rPr>
          <w:rFonts w:ascii="Arial" w:hAnsi="Arial" w:cs="Arial"/>
          <w:i/>
          <w:iCs/>
          <w:lang w:val="en-US"/>
        </w:rPr>
        <w:t>Genome Biol</w:t>
      </w:r>
      <w:r w:rsidRPr="00204343">
        <w:rPr>
          <w:rFonts w:ascii="Arial" w:hAnsi="Arial" w:cs="Arial"/>
          <w:lang w:val="en-US"/>
        </w:rPr>
        <w:t>. 2025;26(1):200. doi:10.1186/s13059-025-03671-x</w:t>
      </w:r>
    </w:p>
    <w:p w14:paraId="06B6EF97" w14:textId="77777777" w:rsidR="00204343" w:rsidRPr="00204343" w:rsidRDefault="00204343" w:rsidP="00204343">
      <w:pPr>
        <w:pStyle w:val="Bibliography"/>
        <w:rPr>
          <w:rFonts w:ascii="Arial" w:hAnsi="Arial" w:cs="Arial"/>
          <w:lang w:val="en-US"/>
        </w:rPr>
      </w:pPr>
      <w:r w:rsidRPr="00204343">
        <w:rPr>
          <w:rFonts w:ascii="Arial" w:hAnsi="Arial" w:cs="Arial"/>
          <w:lang w:val="en-US"/>
        </w:rPr>
        <w:t>12.</w:t>
      </w:r>
      <w:r w:rsidRPr="00204343">
        <w:rPr>
          <w:rFonts w:ascii="Arial" w:hAnsi="Arial" w:cs="Arial"/>
          <w:lang w:val="en-US"/>
        </w:rPr>
        <w:tab/>
        <w:t xml:space="preserve">Ding DY, Bot VA, Chen KL, et al. Cellular Aging Signatures in the Plasma Proteome Record Human Health and Disease. </w:t>
      </w:r>
      <w:r w:rsidRPr="00204343">
        <w:rPr>
          <w:rFonts w:ascii="Arial" w:hAnsi="Arial" w:cs="Arial"/>
          <w:i/>
          <w:iCs/>
          <w:lang w:val="en-US"/>
        </w:rPr>
        <w:t>BioRxiv Prepr Serv Biol</w:t>
      </w:r>
      <w:r w:rsidRPr="00204343">
        <w:rPr>
          <w:rFonts w:ascii="Arial" w:hAnsi="Arial" w:cs="Arial"/>
          <w:lang w:val="en-US"/>
        </w:rPr>
        <w:t>. Published online February 12, 2026:2026.02.10.704909. doi:10.64898/2026.02.10.704909</w:t>
      </w:r>
    </w:p>
    <w:p w14:paraId="33121739" w14:textId="77777777" w:rsidR="00204343" w:rsidRPr="00204343" w:rsidRDefault="00204343" w:rsidP="00204343">
      <w:pPr>
        <w:pStyle w:val="Bibliography"/>
        <w:rPr>
          <w:rFonts w:ascii="Arial" w:hAnsi="Arial" w:cs="Arial"/>
          <w:lang w:val="en-US"/>
        </w:rPr>
      </w:pPr>
      <w:r w:rsidRPr="00204343">
        <w:rPr>
          <w:rFonts w:ascii="Arial" w:hAnsi="Arial" w:cs="Arial"/>
          <w:lang w:val="en-US"/>
        </w:rPr>
        <w:t>13.</w:t>
      </w:r>
      <w:r w:rsidRPr="00204343">
        <w:rPr>
          <w:rFonts w:ascii="Arial" w:hAnsi="Arial" w:cs="Arial"/>
          <w:lang w:val="en-US"/>
        </w:rPr>
        <w:tab/>
        <w:t xml:space="preserve">Thul PJ, Lindskog C. The human protein atlas: A spatial map of the human proteome. </w:t>
      </w:r>
      <w:r w:rsidRPr="00204343">
        <w:rPr>
          <w:rFonts w:ascii="Arial" w:hAnsi="Arial" w:cs="Arial"/>
          <w:i/>
          <w:iCs/>
          <w:lang w:val="en-US"/>
        </w:rPr>
        <w:t>Protein Sci Publ Protein Soc</w:t>
      </w:r>
      <w:r w:rsidRPr="00204343">
        <w:rPr>
          <w:rFonts w:ascii="Arial" w:hAnsi="Arial" w:cs="Arial"/>
          <w:lang w:val="en-US"/>
        </w:rPr>
        <w:t>. 2018;27(1):233-244. doi:10.1002/pro.3307</w:t>
      </w:r>
    </w:p>
    <w:p w14:paraId="5BD5382E" w14:textId="5811B55B" w:rsidR="00D7671C" w:rsidRDefault="00204343" w:rsidP="00294505">
      <w:pPr>
        <w:spacing w:after="0" w:line="240" w:lineRule="auto"/>
        <w:rPr>
          <w:rFonts w:ascii="Arial" w:hAnsi="Arial" w:cs="Arial"/>
        </w:rPr>
      </w:pPr>
      <w:r>
        <w:rPr>
          <w:rFonts w:ascii="Arial" w:hAnsi="Arial" w:cs="Arial"/>
        </w:rPr>
        <w:fldChar w:fldCharType="end"/>
      </w:r>
    </w:p>
    <w:p w14:paraId="2DB8A015" w14:textId="77777777" w:rsidR="00D7671C" w:rsidRDefault="00D7671C" w:rsidP="00294505">
      <w:pPr>
        <w:spacing w:after="0" w:line="240" w:lineRule="auto"/>
        <w:rPr>
          <w:rFonts w:ascii="Arial" w:hAnsi="Arial" w:cs="Arial"/>
        </w:rPr>
      </w:pPr>
    </w:p>
    <w:p w14:paraId="64008EB6" w14:textId="77777777" w:rsidR="00D7671C" w:rsidRDefault="00D7671C" w:rsidP="00294505">
      <w:pPr>
        <w:spacing w:after="0" w:line="240" w:lineRule="auto"/>
        <w:rPr>
          <w:rFonts w:ascii="Arial" w:hAnsi="Arial" w:cs="Arial"/>
        </w:rPr>
      </w:pPr>
    </w:p>
    <w:p w14:paraId="668D3640" w14:textId="77777777" w:rsidR="00D7671C" w:rsidRDefault="00D7671C" w:rsidP="00294505">
      <w:pPr>
        <w:spacing w:after="0" w:line="240" w:lineRule="auto"/>
        <w:rPr>
          <w:rFonts w:ascii="Arial" w:hAnsi="Arial" w:cs="Arial"/>
        </w:rPr>
      </w:pPr>
    </w:p>
    <w:p w14:paraId="4FAB0366" w14:textId="1E9FA350" w:rsidR="0065616A" w:rsidRDefault="0065616A" w:rsidP="0065616A">
      <w:pPr>
        <w:spacing w:line="240" w:lineRule="auto"/>
        <w:rPr>
          <w:rFonts w:ascii="Arial" w:hAnsi="Arial" w:cs="Arial"/>
          <w:b/>
          <w:bCs/>
          <w:color w:val="222222"/>
        </w:rPr>
      </w:pPr>
      <w:r w:rsidRPr="00F254E5">
        <w:rPr>
          <w:rFonts w:ascii="Arial" w:hAnsi="Arial" w:cs="Arial"/>
          <w:b/>
          <w:bCs/>
          <w:color w:val="222222"/>
        </w:rPr>
        <w:lastRenderedPageBreak/>
        <w:t>Figure S</w:t>
      </w:r>
      <w:r>
        <w:rPr>
          <w:rFonts w:ascii="Arial" w:hAnsi="Arial" w:cs="Arial"/>
          <w:b/>
          <w:bCs/>
          <w:color w:val="222222"/>
        </w:rPr>
        <w:t>1</w:t>
      </w:r>
      <w:r w:rsidRPr="00F254E5">
        <w:rPr>
          <w:rFonts w:ascii="Arial" w:hAnsi="Arial" w:cs="Arial"/>
          <w:b/>
          <w:bCs/>
          <w:color w:val="222222"/>
        </w:rPr>
        <w:t xml:space="preserve">. </w:t>
      </w:r>
      <w:r>
        <w:rPr>
          <w:rFonts w:ascii="Arial" w:hAnsi="Arial" w:cs="Arial"/>
          <w:b/>
          <w:bCs/>
          <w:color w:val="222222"/>
        </w:rPr>
        <w:t xml:space="preserve">Comparison of effect sizes of age at menopause on protein levels in main, age-adjusted WHI-LLS models (x-axis) and in models additionally adjusted for race and ethnicity. </w:t>
      </w:r>
    </w:p>
    <w:p w14:paraId="7FEE8509" w14:textId="7A84A4F5" w:rsidR="0065616A" w:rsidRDefault="00514F88" w:rsidP="00514F88">
      <w:pPr>
        <w:spacing w:after="0" w:line="240" w:lineRule="auto"/>
        <w:jc w:val="center"/>
        <w:rPr>
          <w:rFonts w:ascii="Arial" w:hAnsi="Arial" w:cs="Arial"/>
          <w:color w:val="000000" w:themeColor="text1"/>
          <w:shd w:val="clear" w:color="auto" w:fill="FFFFFF"/>
        </w:rPr>
      </w:pPr>
      <w:r>
        <w:rPr>
          <w:rFonts w:ascii="Arial" w:hAnsi="Arial" w:cs="Arial"/>
          <w:noProof/>
          <w:color w:val="000000" w:themeColor="text1"/>
          <w:shd w:val="clear" w:color="auto" w:fill="FFFFFF"/>
        </w:rPr>
        <w:drawing>
          <wp:inline distT="0" distB="0" distL="0" distR="0" wp14:anchorId="4DB93F84" wp14:editId="0019C165">
            <wp:extent cx="5270643" cy="3195774"/>
            <wp:effectExtent l="0" t="0" r="0" b="5080"/>
            <wp:docPr id="1286986437" name="Picture 2" descr="A diagram of a number of menopa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86437" name="Picture 2" descr="A diagram of a number of menopause&#10;&#10;AI-generated content may be incorrect."/>
                    <pic:cNvPicPr/>
                  </pic:nvPicPr>
                  <pic:blipFill rotWithShape="1">
                    <a:blip r:embed="rId9" cstate="print">
                      <a:extLst>
                        <a:ext uri="{28A0092B-C50C-407E-A947-70E740481C1C}">
                          <a14:useLocalDpi xmlns:a14="http://schemas.microsoft.com/office/drawing/2010/main" val="0"/>
                        </a:ext>
                      </a:extLst>
                    </a:blip>
                    <a:srcRect l="6050" t="9834" r="17539" b="7801"/>
                    <a:stretch>
                      <a:fillRect/>
                    </a:stretch>
                  </pic:blipFill>
                  <pic:spPr bwMode="auto">
                    <a:xfrm>
                      <a:off x="0" y="0"/>
                      <a:ext cx="5310853" cy="3220154"/>
                    </a:xfrm>
                    <a:prstGeom prst="rect">
                      <a:avLst/>
                    </a:prstGeom>
                    <a:ln>
                      <a:noFill/>
                    </a:ln>
                    <a:extLst>
                      <a:ext uri="{53640926-AAD7-44D8-BBD7-CCE9431645EC}">
                        <a14:shadowObscured xmlns:a14="http://schemas.microsoft.com/office/drawing/2010/main"/>
                      </a:ext>
                    </a:extLst>
                  </pic:spPr>
                </pic:pic>
              </a:graphicData>
            </a:graphic>
          </wp:inline>
        </w:drawing>
      </w:r>
    </w:p>
    <w:p w14:paraId="58589ACE" w14:textId="77777777" w:rsidR="0065616A" w:rsidRDefault="0065616A" w:rsidP="00294505">
      <w:pPr>
        <w:spacing w:after="0" w:line="240" w:lineRule="auto"/>
        <w:rPr>
          <w:rFonts w:ascii="Arial" w:hAnsi="Arial" w:cs="Arial"/>
        </w:rPr>
      </w:pPr>
    </w:p>
    <w:p w14:paraId="200B16E5" w14:textId="5A25A048" w:rsidR="00F74429" w:rsidRPr="00CD351E" w:rsidRDefault="00602472" w:rsidP="00602472">
      <w:pPr>
        <w:spacing w:after="0" w:line="240" w:lineRule="auto"/>
        <w:rPr>
          <w:rFonts w:ascii="Arial" w:hAnsi="Arial" w:cs="Arial"/>
          <w:b/>
          <w:bCs/>
          <w:color w:val="000000" w:themeColor="text1"/>
          <w:shd w:val="clear" w:color="auto" w:fill="FFFFFF"/>
        </w:rPr>
      </w:pPr>
      <w:r w:rsidRPr="00F254E5">
        <w:rPr>
          <w:rFonts w:ascii="Arial" w:hAnsi="Arial" w:cs="Arial"/>
          <w:b/>
          <w:bCs/>
          <w:color w:val="222222"/>
        </w:rPr>
        <w:t>Figure S</w:t>
      </w:r>
      <w:r w:rsidR="00514F88">
        <w:rPr>
          <w:rFonts w:ascii="Arial" w:hAnsi="Arial" w:cs="Arial"/>
          <w:b/>
          <w:bCs/>
          <w:color w:val="222222"/>
        </w:rPr>
        <w:t>2</w:t>
      </w:r>
      <w:r w:rsidRPr="00F254E5">
        <w:rPr>
          <w:rFonts w:ascii="Arial" w:hAnsi="Arial" w:cs="Arial"/>
          <w:b/>
          <w:bCs/>
          <w:color w:val="222222"/>
        </w:rPr>
        <w:t xml:space="preserve">. </w:t>
      </w:r>
      <w:r>
        <w:rPr>
          <w:rFonts w:ascii="Arial" w:hAnsi="Arial" w:cs="Arial"/>
          <w:b/>
          <w:bCs/>
        </w:rPr>
        <w:t>Cell age in UK Biobank (</w:t>
      </w:r>
      <w:r w:rsidRPr="00CD351E">
        <w:rPr>
          <w:rFonts w:ascii="Arial" w:hAnsi="Arial" w:cs="Arial"/>
          <w:b/>
          <w:bCs/>
        </w:rPr>
        <w:t xml:space="preserve">UKB). </w:t>
      </w:r>
      <w:r w:rsidRPr="00CD351E">
        <w:rPr>
          <w:rFonts w:ascii="Arial" w:hAnsi="Arial" w:cs="Arial"/>
          <w:b/>
          <w:bCs/>
          <w:color w:val="000000" w:themeColor="text1"/>
          <w:shd w:val="clear" w:color="auto" w:fill="FFFFFF"/>
        </w:rPr>
        <w:t>Linear models adjusted for age showed that age at menopause was associated</w:t>
      </w:r>
      <w:r w:rsidR="00F74429" w:rsidRPr="00CD351E">
        <w:rPr>
          <w:rFonts w:ascii="Arial" w:hAnsi="Arial" w:cs="Arial"/>
          <w:b/>
          <w:bCs/>
          <w:color w:val="000000" w:themeColor="text1"/>
          <w:shd w:val="clear" w:color="auto" w:fill="FFFFFF"/>
        </w:rPr>
        <w:t xml:space="preserve"> with smaller (i.e., more favourable) age gaps on 35 of the 3</w:t>
      </w:r>
      <w:r w:rsidR="000D712F" w:rsidRPr="00CD351E">
        <w:rPr>
          <w:rFonts w:ascii="Arial" w:hAnsi="Arial" w:cs="Arial"/>
          <w:b/>
          <w:bCs/>
          <w:color w:val="000000" w:themeColor="text1"/>
          <w:shd w:val="clear" w:color="auto" w:fill="FFFFFF"/>
        </w:rPr>
        <w:t xml:space="preserve">8 </w:t>
      </w:r>
      <w:r w:rsidR="00F74429" w:rsidRPr="00CD351E">
        <w:rPr>
          <w:rFonts w:ascii="Arial" w:hAnsi="Arial" w:cs="Arial"/>
          <w:b/>
          <w:bCs/>
          <w:color w:val="000000" w:themeColor="text1"/>
          <w:shd w:val="clear" w:color="auto" w:fill="FFFFFF"/>
        </w:rPr>
        <w:t>cellular aging measures</w:t>
      </w:r>
      <w:r w:rsidRPr="00CD351E">
        <w:rPr>
          <w:rFonts w:ascii="Arial" w:hAnsi="Arial" w:cs="Arial"/>
          <w:b/>
          <w:bCs/>
          <w:color w:val="000000" w:themeColor="text1"/>
          <w:shd w:val="clear" w:color="auto" w:fill="FFFFFF"/>
        </w:rPr>
        <w:t xml:space="preserve"> (FDR </w:t>
      </w:r>
      <w:r w:rsidRPr="00CD351E">
        <w:rPr>
          <w:rFonts w:ascii="Arial" w:hAnsi="Arial" w:cs="Arial"/>
          <w:b/>
          <w:bCs/>
          <w:i/>
          <w:iCs/>
          <w:color w:val="000000" w:themeColor="text1"/>
          <w:shd w:val="clear" w:color="auto" w:fill="FFFFFF"/>
        </w:rPr>
        <w:t>p</w:t>
      </w:r>
      <w:r w:rsidRPr="00CD351E">
        <w:rPr>
          <w:rFonts w:ascii="Arial" w:hAnsi="Arial" w:cs="Arial"/>
          <w:b/>
          <w:bCs/>
          <w:color w:val="000000" w:themeColor="text1"/>
          <w:shd w:val="clear" w:color="auto" w:fill="FFFFFF"/>
        </w:rPr>
        <w:t>&lt;.05).</w:t>
      </w:r>
    </w:p>
    <w:p w14:paraId="2247EF81" w14:textId="75D0DA79" w:rsidR="00602472" w:rsidRDefault="000D712F" w:rsidP="00D7671C">
      <w:pPr>
        <w:spacing w:after="0" w:line="240" w:lineRule="auto"/>
        <w:jc w:val="center"/>
        <w:rPr>
          <w:rFonts w:ascii="Arial" w:hAnsi="Arial" w:cs="Arial"/>
        </w:rPr>
      </w:pPr>
      <w:r>
        <w:rPr>
          <w:rFonts w:ascii="Arial" w:hAnsi="Arial" w:cs="Arial"/>
          <w:noProof/>
        </w:rPr>
        <w:drawing>
          <wp:inline distT="0" distB="0" distL="0" distR="0" wp14:anchorId="685A49AB" wp14:editId="663541D2">
            <wp:extent cx="3788156" cy="3455477"/>
            <wp:effectExtent l="0" t="0" r="0" b="0"/>
            <wp:docPr id="1820544172" name="Picture 1" descr="A graph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544172" name="Picture 1" descr="A graph with numbers and letter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64158" cy="3524805"/>
                    </a:xfrm>
                    <a:prstGeom prst="rect">
                      <a:avLst/>
                    </a:prstGeom>
                  </pic:spPr>
                </pic:pic>
              </a:graphicData>
            </a:graphic>
          </wp:inline>
        </w:drawing>
      </w:r>
    </w:p>
    <w:p w14:paraId="33E31507" w14:textId="7792281A" w:rsidR="00F254E5" w:rsidRPr="00CD351E" w:rsidRDefault="00F254E5" w:rsidP="00294505">
      <w:pPr>
        <w:spacing w:after="0" w:line="240" w:lineRule="auto"/>
        <w:rPr>
          <w:rFonts w:ascii="Arial" w:hAnsi="Arial" w:cs="Arial"/>
          <w:b/>
          <w:bCs/>
          <w:color w:val="000000" w:themeColor="text1"/>
          <w:shd w:val="clear" w:color="auto" w:fill="FFFFFF"/>
        </w:rPr>
      </w:pPr>
      <w:r w:rsidRPr="00F254E5">
        <w:rPr>
          <w:rFonts w:ascii="Arial" w:hAnsi="Arial" w:cs="Arial"/>
          <w:b/>
          <w:bCs/>
          <w:color w:val="222222"/>
        </w:rPr>
        <w:lastRenderedPageBreak/>
        <w:t>Figure S</w:t>
      </w:r>
      <w:r w:rsidR="00514F88">
        <w:rPr>
          <w:rFonts w:ascii="Arial" w:hAnsi="Arial" w:cs="Arial"/>
          <w:b/>
          <w:bCs/>
          <w:color w:val="222222"/>
        </w:rPr>
        <w:t>3</w:t>
      </w:r>
      <w:r w:rsidRPr="00F254E5">
        <w:rPr>
          <w:rFonts w:ascii="Arial" w:hAnsi="Arial" w:cs="Arial"/>
          <w:b/>
          <w:bCs/>
          <w:color w:val="222222"/>
        </w:rPr>
        <w:t xml:space="preserve">. </w:t>
      </w:r>
      <w:r w:rsidRPr="00F254E5">
        <w:rPr>
          <w:rFonts w:ascii="Arial" w:hAnsi="Arial" w:cs="Arial"/>
          <w:b/>
          <w:bCs/>
        </w:rPr>
        <w:t xml:space="preserve">Differential abundance by cause of </w:t>
      </w:r>
      <w:r w:rsidRPr="00CD351E">
        <w:rPr>
          <w:rFonts w:ascii="Arial" w:hAnsi="Arial" w:cs="Arial"/>
          <w:b/>
          <w:bCs/>
        </w:rPr>
        <w:t xml:space="preserve">menopause. </w:t>
      </w:r>
      <w:r w:rsidRPr="00CD351E">
        <w:rPr>
          <w:rFonts w:ascii="Arial" w:hAnsi="Arial" w:cs="Arial"/>
          <w:b/>
          <w:bCs/>
          <w:color w:val="000000" w:themeColor="text1"/>
          <w:shd w:val="clear" w:color="auto" w:fill="FFFFFF"/>
        </w:rPr>
        <w:t xml:space="preserve">Multivariate linear models adjusted for age, age at menopause, and history of hormone therapy showed that surgical menopause was associated with upregulation of 55 proteins and downregulation of 33 proteins (FDR </w:t>
      </w:r>
      <w:r w:rsidRPr="00CD351E">
        <w:rPr>
          <w:rFonts w:ascii="Arial" w:hAnsi="Arial" w:cs="Arial"/>
          <w:b/>
          <w:bCs/>
          <w:i/>
          <w:iCs/>
          <w:color w:val="000000" w:themeColor="text1"/>
          <w:shd w:val="clear" w:color="auto" w:fill="FFFFFF"/>
        </w:rPr>
        <w:t>p</w:t>
      </w:r>
      <w:r w:rsidRPr="00CD351E">
        <w:rPr>
          <w:rFonts w:ascii="Arial" w:hAnsi="Arial" w:cs="Arial"/>
          <w:b/>
          <w:bCs/>
          <w:color w:val="000000" w:themeColor="text1"/>
          <w:shd w:val="clear" w:color="auto" w:fill="FFFFFF"/>
        </w:rPr>
        <w:t>&lt;.05).</w:t>
      </w:r>
    </w:p>
    <w:p w14:paraId="31307687" w14:textId="77777777" w:rsidR="00F74429" w:rsidRDefault="00F74429" w:rsidP="00294505">
      <w:pPr>
        <w:spacing w:after="0" w:line="240" w:lineRule="auto"/>
        <w:rPr>
          <w:rFonts w:ascii="Arial" w:hAnsi="Arial" w:cs="Arial"/>
          <w:color w:val="000000" w:themeColor="text1"/>
          <w:shd w:val="clear" w:color="auto" w:fill="FFFFFF"/>
        </w:rPr>
      </w:pPr>
    </w:p>
    <w:p w14:paraId="00350040" w14:textId="1B765BAF" w:rsidR="00F254E5" w:rsidRDefault="00F254E5" w:rsidP="00F74429">
      <w:pPr>
        <w:spacing w:after="0" w:line="240" w:lineRule="auto"/>
        <w:jc w:val="center"/>
        <w:rPr>
          <w:rFonts w:ascii="Arial" w:hAnsi="Arial" w:cs="Arial"/>
        </w:rPr>
      </w:pPr>
      <w:r>
        <w:rPr>
          <w:rFonts w:ascii="Arial" w:hAnsi="Arial" w:cs="Arial"/>
          <w:noProof/>
        </w:rPr>
        <w:drawing>
          <wp:inline distT="0" distB="0" distL="0" distR="0" wp14:anchorId="516922E5" wp14:editId="0DBDFCF2">
            <wp:extent cx="4037428" cy="2917671"/>
            <wp:effectExtent l="0" t="0" r="1270" b="3810"/>
            <wp:docPr id="2018781276" name="Picture 2" descr="A graph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781276" name="Picture 2" descr="A graph with numbers and letters&#10;&#10;AI-generated content may be incorrect."/>
                    <pic:cNvPicPr/>
                  </pic:nvPicPr>
                  <pic:blipFill rotWithShape="1">
                    <a:blip r:embed="rId11" cstate="print">
                      <a:extLst>
                        <a:ext uri="{28A0092B-C50C-407E-A947-70E740481C1C}">
                          <a14:useLocalDpi xmlns:a14="http://schemas.microsoft.com/office/drawing/2010/main" val="0"/>
                        </a:ext>
                      </a:extLst>
                    </a:blip>
                    <a:srcRect t="22376" b="5358"/>
                    <a:stretch>
                      <a:fillRect/>
                    </a:stretch>
                  </pic:blipFill>
                  <pic:spPr bwMode="auto">
                    <a:xfrm>
                      <a:off x="0" y="0"/>
                      <a:ext cx="4058692" cy="2933038"/>
                    </a:xfrm>
                    <a:prstGeom prst="rect">
                      <a:avLst/>
                    </a:prstGeom>
                    <a:ln>
                      <a:noFill/>
                    </a:ln>
                    <a:extLst>
                      <a:ext uri="{53640926-AAD7-44D8-BBD7-CCE9431645EC}">
                        <a14:shadowObscured xmlns:a14="http://schemas.microsoft.com/office/drawing/2010/main"/>
                      </a:ext>
                    </a:extLst>
                  </pic:spPr>
                </pic:pic>
              </a:graphicData>
            </a:graphic>
          </wp:inline>
        </w:drawing>
      </w:r>
    </w:p>
    <w:p w14:paraId="0C3C4EDA" w14:textId="77777777" w:rsidR="00F254E5" w:rsidRDefault="00F254E5" w:rsidP="00294505">
      <w:pPr>
        <w:spacing w:after="0" w:line="240" w:lineRule="auto"/>
        <w:rPr>
          <w:rFonts w:ascii="Arial" w:hAnsi="Arial" w:cs="Arial"/>
        </w:rPr>
      </w:pPr>
    </w:p>
    <w:p w14:paraId="7A547175" w14:textId="10882DF9" w:rsidR="00F74429" w:rsidRDefault="00C9406F" w:rsidP="00A22F73">
      <w:pPr>
        <w:spacing w:line="240" w:lineRule="auto"/>
        <w:rPr>
          <w:rFonts w:ascii="Arial" w:hAnsi="Arial" w:cs="Arial"/>
          <w:b/>
          <w:bCs/>
          <w:color w:val="222222"/>
        </w:rPr>
      </w:pPr>
      <w:r w:rsidRPr="00294505">
        <w:rPr>
          <w:rFonts w:ascii="Arial" w:hAnsi="Arial" w:cs="Arial"/>
          <w:b/>
          <w:bCs/>
          <w:color w:val="222222"/>
        </w:rPr>
        <w:t>Figure S</w:t>
      </w:r>
      <w:r w:rsidR="00514F88">
        <w:rPr>
          <w:rFonts w:ascii="Arial" w:hAnsi="Arial" w:cs="Arial"/>
          <w:b/>
          <w:bCs/>
          <w:color w:val="222222"/>
        </w:rPr>
        <w:t>4</w:t>
      </w:r>
      <w:r>
        <w:rPr>
          <w:rFonts w:ascii="Arial" w:hAnsi="Arial" w:cs="Arial"/>
          <w:b/>
          <w:bCs/>
          <w:color w:val="222222"/>
        </w:rPr>
        <w:t xml:space="preserve">. </w:t>
      </w:r>
      <w:r w:rsidR="008F0128">
        <w:rPr>
          <w:rFonts w:ascii="Arial" w:hAnsi="Arial" w:cs="Arial"/>
          <w:b/>
          <w:bCs/>
          <w:color w:val="222222"/>
        </w:rPr>
        <w:t xml:space="preserve">Comparison of </w:t>
      </w:r>
      <w:r w:rsidR="00D309DD">
        <w:rPr>
          <w:rFonts w:ascii="Arial" w:hAnsi="Arial" w:cs="Arial"/>
          <w:b/>
          <w:bCs/>
          <w:color w:val="222222"/>
        </w:rPr>
        <w:t xml:space="preserve">effect sizes of </w:t>
      </w:r>
      <w:r w:rsidR="00026140">
        <w:rPr>
          <w:rFonts w:ascii="Arial" w:hAnsi="Arial" w:cs="Arial"/>
          <w:b/>
          <w:bCs/>
          <w:color w:val="222222"/>
        </w:rPr>
        <w:t>age at menopause on protein levels in main, age-adjusted models (x-axis) and in models additionally adjusted for cause of menopause and history of hormone therapy (HT) use (y-axis).</w:t>
      </w:r>
    </w:p>
    <w:p w14:paraId="58BF4338" w14:textId="013BA5F3" w:rsidR="00026140" w:rsidRDefault="00862AD0" w:rsidP="00F74429">
      <w:pPr>
        <w:spacing w:line="240" w:lineRule="auto"/>
        <w:jc w:val="center"/>
        <w:rPr>
          <w:rFonts w:ascii="Arial" w:hAnsi="Arial" w:cs="Arial"/>
          <w:b/>
          <w:bCs/>
          <w:color w:val="222222"/>
        </w:rPr>
      </w:pPr>
      <w:r>
        <w:rPr>
          <w:rFonts w:ascii="Arial" w:hAnsi="Arial" w:cs="Arial"/>
          <w:b/>
          <w:bCs/>
          <w:noProof/>
          <w:color w:val="222222"/>
        </w:rPr>
        <w:drawing>
          <wp:inline distT="0" distB="0" distL="0" distR="0" wp14:anchorId="685A078F" wp14:editId="591C1093">
            <wp:extent cx="5342573" cy="3303532"/>
            <wp:effectExtent l="0" t="0" r="4445" b="0"/>
            <wp:docPr id="1065089818" name="Picture 1" descr="A diagram of a number of numbers and po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89818" name="Picture 1" descr="A diagram of a number of numbers and points&#10;&#10;AI-generated content may be incorrect."/>
                    <pic:cNvPicPr/>
                  </pic:nvPicPr>
                  <pic:blipFill rotWithShape="1">
                    <a:blip r:embed="rId12" cstate="print">
                      <a:extLst>
                        <a:ext uri="{28A0092B-C50C-407E-A947-70E740481C1C}">
                          <a14:useLocalDpi xmlns:a14="http://schemas.microsoft.com/office/drawing/2010/main" val="0"/>
                        </a:ext>
                      </a:extLst>
                    </a:blip>
                    <a:srcRect t="7249"/>
                    <a:stretch>
                      <a:fillRect/>
                    </a:stretch>
                  </pic:blipFill>
                  <pic:spPr bwMode="auto">
                    <a:xfrm>
                      <a:off x="0" y="0"/>
                      <a:ext cx="5354497" cy="3310905"/>
                    </a:xfrm>
                    <a:prstGeom prst="rect">
                      <a:avLst/>
                    </a:prstGeom>
                    <a:ln>
                      <a:noFill/>
                    </a:ln>
                    <a:extLst>
                      <a:ext uri="{53640926-AAD7-44D8-BBD7-CCE9431645EC}">
                        <a14:shadowObscured xmlns:a14="http://schemas.microsoft.com/office/drawing/2010/main"/>
                      </a:ext>
                    </a:extLst>
                  </pic:spPr>
                </pic:pic>
              </a:graphicData>
            </a:graphic>
          </wp:inline>
        </w:drawing>
      </w:r>
    </w:p>
    <w:p w14:paraId="67286D06" w14:textId="77777777" w:rsidR="00F74429" w:rsidRPr="00C95954" w:rsidRDefault="00F74429" w:rsidP="00F74429">
      <w:pPr>
        <w:spacing w:line="240" w:lineRule="auto"/>
        <w:jc w:val="center"/>
        <w:rPr>
          <w:rFonts w:ascii="Arial" w:hAnsi="Arial" w:cs="Arial"/>
          <w:b/>
          <w:bCs/>
          <w:color w:val="222222"/>
        </w:rPr>
      </w:pPr>
    </w:p>
    <w:p w14:paraId="520F57F8" w14:textId="00F1E2FD" w:rsidR="00026140" w:rsidRPr="00026140" w:rsidRDefault="00026140" w:rsidP="00A22F73">
      <w:pPr>
        <w:spacing w:line="240" w:lineRule="auto"/>
        <w:rPr>
          <w:rFonts w:ascii="Arial" w:hAnsi="Arial" w:cs="Arial"/>
          <w:b/>
          <w:bCs/>
          <w:color w:val="222222"/>
        </w:rPr>
      </w:pPr>
      <w:r w:rsidRPr="00294505">
        <w:rPr>
          <w:rFonts w:ascii="Arial" w:hAnsi="Arial" w:cs="Arial"/>
          <w:b/>
          <w:bCs/>
          <w:color w:val="222222"/>
        </w:rPr>
        <w:lastRenderedPageBreak/>
        <w:t>Figure S</w:t>
      </w:r>
      <w:r w:rsidR="00514F88">
        <w:rPr>
          <w:rFonts w:ascii="Arial" w:hAnsi="Arial" w:cs="Arial"/>
          <w:b/>
          <w:bCs/>
          <w:color w:val="222222"/>
        </w:rPr>
        <w:t>5</w:t>
      </w:r>
      <w:r>
        <w:rPr>
          <w:rFonts w:ascii="Arial" w:hAnsi="Arial" w:cs="Arial"/>
          <w:b/>
          <w:bCs/>
          <w:color w:val="222222"/>
        </w:rPr>
        <w:t>. Comparison of effect sizes of age at menopause on protein levels stratified by women with no history of hormone therapy (HT; x-axis) and women with history of HT use (y-axis).</w:t>
      </w:r>
    </w:p>
    <w:p w14:paraId="3BDF82D0" w14:textId="3BC72A83" w:rsidR="0053248D" w:rsidRDefault="00427399" w:rsidP="00F74429">
      <w:pPr>
        <w:spacing w:line="240" w:lineRule="auto"/>
        <w:jc w:val="center"/>
        <w:rPr>
          <w:rFonts w:ascii="Arial" w:hAnsi="Arial" w:cs="Arial"/>
          <w:noProof/>
          <w:color w:val="222222"/>
        </w:rPr>
      </w:pPr>
      <w:r>
        <w:rPr>
          <w:rFonts w:ascii="Arial" w:hAnsi="Arial" w:cs="Arial"/>
          <w:noProof/>
          <w:color w:val="222222"/>
        </w:rPr>
        <w:drawing>
          <wp:inline distT="0" distB="0" distL="0" distR="0" wp14:anchorId="62B6BE8D" wp14:editId="59BD572D">
            <wp:extent cx="5475642" cy="3402661"/>
            <wp:effectExtent l="0" t="0" r="0" b="1270"/>
            <wp:docPr id="369028489" name="Picture 2" descr="A diagram of a number of menopa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028489" name="Picture 2" descr="A diagram of a number of menopause&#10;&#10;AI-generated content may be incorrect."/>
                    <pic:cNvPicPr/>
                  </pic:nvPicPr>
                  <pic:blipFill rotWithShape="1">
                    <a:blip r:embed="rId13" cstate="print">
                      <a:extLst>
                        <a:ext uri="{28A0092B-C50C-407E-A947-70E740481C1C}">
                          <a14:useLocalDpi xmlns:a14="http://schemas.microsoft.com/office/drawing/2010/main" val="0"/>
                        </a:ext>
                      </a:extLst>
                    </a:blip>
                    <a:srcRect t="6788"/>
                    <a:stretch>
                      <a:fillRect/>
                    </a:stretch>
                  </pic:blipFill>
                  <pic:spPr bwMode="auto">
                    <a:xfrm>
                      <a:off x="0" y="0"/>
                      <a:ext cx="5485865" cy="3409014"/>
                    </a:xfrm>
                    <a:prstGeom prst="rect">
                      <a:avLst/>
                    </a:prstGeom>
                    <a:ln>
                      <a:noFill/>
                    </a:ln>
                    <a:extLst>
                      <a:ext uri="{53640926-AAD7-44D8-BBD7-CCE9431645EC}">
                        <a14:shadowObscured xmlns:a14="http://schemas.microsoft.com/office/drawing/2010/main"/>
                      </a:ext>
                    </a:extLst>
                  </pic:spPr>
                </pic:pic>
              </a:graphicData>
            </a:graphic>
          </wp:inline>
        </w:drawing>
      </w:r>
    </w:p>
    <w:p w14:paraId="7E2252EF" w14:textId="7206A650" w:rsidR="00EC3C04" w:rsidRDefault="00EC3C04" w:rsidP="00A22F73">
      <w:pPr>
        <w:spacing w:line="240" w:lineRule="auto"/>
        <w:rPr>
          <w:rFonts w:ascii="Arial" w:hAnsi="Arial" w:cs="Arial"/>
          <w:b/>
          <w:bCs/>
          <w:color w:val="222222"/>
        </w:rPr>
      </w:pPr>
      <w:r w:rsidRPr="00294505">
        <w:rPr>
          <w:rFonts w:ascii="Arial" w:hAnsi="Arial" w:cs="Arial"/>
          <w:b/>
          <w:bCs/>
          <w:color w:val="222222"/>
        </w:rPr>
        <w:t>Figure S</w:t>
      </w:r>
      <w:r w:rsidR="00514F88">
        <w:rPr>
          <w:rFonts w:ascii="Arial" w:hAnsi="Arial" w:cs="Arial"/>
          <w:b/>
          <w:bCs/>
          <w:color w:val="222222"/>
        </w:rPr>
        <w:t>6</w:t>
      </w:r>
      <w:r>
        <w:rPr>
          <w:rFonts w:ascii="Arial" w:hAnsi="Arial" w:cs="Arial"/>
          <w:b/>
          <w:bCs/>
          <w:color w:val="222222"/>
        </w:rPr>
        <w:t>. Comparison of effect sizes of age at menopause on protein levels in main, age-adjusted models (x-axis) and in models additionally adjusted for cardiometabolic risk factors and chronic conditions (y-axis).</w:t>
      </w:r>
    </w:p>
    <w:p w14:paraId="2A2F46DF" w14:textId="2C605E49" w:rsidR="008238C0" w:rsidRDefault="00BC5F46" w:rsidP="00F74429">
      <w:pPr>
        <w:spacing w:line="240" w:lineRule="auto"/>
        <w:jc w:val="center"/>
        <w:rPr>
          <w:rFonts w:ascii="Arial" w:hAnsi="Arial" w:cs="Arial"/>
          <w:color w:val="222222"/>
        </w:rPr>
      </w:pPr>
      <w:r>
        <w:rPr>
          <w:rFonts w:ascii="Arial" w:hAnsi="Arial" w:cs="Arial"/>
          <w:noProof/>
          <w:color w:val="222222"/>
        </w:rPr>
        <w:drawing>
          <wp:inline distT="0" distB="0" distL="0" distR="0" wp14:anchorId="080DEB91" wp14:editId="48377FE3">
            <wp:extent cx="5432612" cy="3405420"/>
            <wp:effectExtent l="0" t="0" r="3175" b="0"/>
            <wp:docPr id="302803292" name="Picture 3" descr="A diagram of a mod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03292" name="Picture 3" descr="A diagram of a model&#10;&#10;AI-generated content may be incorrect."/>
                    <pic:cNvPicPr/>
                  </pic:nvPicPr>
                  <pic:blipFill rotWithShape="1">
                    <a:blip r:embed="rId14" cstate="print">
                      <a:extLst>
                        <a:ext uri="{28A0092B-C50C-407E-A947-70E740481C1C}">
                          <a14:useLocalDpi xmlns:a14="http://schemas.microsoft.com/office/drawing/2010/main" val="0"/>
                        </a:ext>
                      </a:extLst>
                    </a:blip>
                    <a:srcRect t="5973"/>
                    <a:stretch>
                      <a:fillRect/>
                    </a:stretch>
                  </pic:blipFill>
                  <pic:spPr bwMode="auto">
                    <a:xfrm>
                      <a:off x="0" y="0"/>
                      <a:ext cx="5440875" cy="3410600"/>
                    </a:xfrm>
                    <a:prstGeom prst="rect">
                      <a:avLst/>
                    </a:prstGeom>
                    <a:ln>
                      <a:noFill/>
                    </a:ln>
                    <a:extLst>
                      <a:ext uri="{53640926-AAD7-44D8-BBD7-CCE9431645EC}">
                        <a14:shadowObscured xmlns:a14="http://schemas.microsoft.com/office/drawing/2010/main"/>
                      </a:ext>
                    </a:extLst>
                  </pic:spPr>
                </pic:pic>
              </a:graphicData>
            </a:graphic>
          </wp:inline>
        </w:drawing>
      </w:r>
    </w:p>
    <w:p w14:paraId="45B1CBCF" w14:textId="3B0442AD" w:rsidR="00141874" w:rsidRPr="00141874" w:rsidRDefault="00141874" w:rsidP="00A22F73">
      <w:pPr>
        <w:spacing w:line="240" w:lineRule="auto"/>
        <w:rPr>
          <w:rFonts w:ascii="Arial" w:hAnsi="Arial" w:cs="Arial"/>
          <w:b/>
          <w:bCs/>
          <w:color w:val="222222"/>
        </w:rPr>
      </w:pPr>
      <w:r w:rsidRPr="00294505">
        <w:rPr>
          <w:rFonts w:ascii="Arial" w:hAnsi="Arial" w:cs="Arial"/>
          <w:b/>
          <w:bCs/>
          <w:color w:val="222222"/>
        </w:rPr>
        <w:lastRenderedPageBreak/>
        <w:t>Figure S</w:t>
      </w:r>
      <w:r w:rsidR="00514F88">
        <w:rPr>
          <w:rFonts w:ascii="Arial" w:hAnsi="Arial" w:cs="Arial"/>
          <w:b/>
          <w:bCs/>
          <w:color w:val="222222"/>
        </w:rPr>
        <w:t>7</w:t>
      </w:r>
      <w:r w:rsidR="00F74429">
        <w:rPr>
          <w:rFonts w:ascii="Arial" w:hAnsi="Arial" w:cs="Arial"/>
          <w:b/>
          <w:bCs/>
          <w:color w:val="222222"/>
        </w:rPr>
        <w:t>.</w:t>
      </w:r>
      <w:r>
        <w:rPr>
          <w:rFonts w:ascii="Arial" w:hAnsi="Arial" w:cs="Arial"/>
          <w:b/>
          <w:bCs/>
          <w:color w:val="222222"/>
        </w:rPr>
        <w:t xml:space="preserve"> Comparison of effect sizes of age at menopause on protein levels in main, age-adjusted models (x-axis) and in models additionally adjusted for </w:t>
      </w:r>
      <w:r w:rsidRPr="00141874">
        <w:rPr>
          <w:rFonts w:ascii="Arial" w:hAnsi="Arial" w:cs="Arial"/>
          <w:b/>
          <w:bCs/>
          <w:i/>
          <w:iCs/>
          <w:color w:val="222222"/>
        </w:rPr>
        <w:t>APOE4</w:t>
      </w:r>
      <w:r>
        <w:rPr>
          <w:rFonts w:ascii="Arial" w:hAnsi="Arial" w:cs="Arial"/>
          <w:b/>
          <w:bCs/>
          <w:color w:val="222222"/>
        </w:rPr>
        <w:t xml:space="preserve"> carriage and years of education (y-axis).</w:t>
      </w:r>
    </w:p>
    <w:p w14:paraId="0BE30688" w14:textId="6DE4EB6B" w:rsidR="00A621A5" w:rsidRPr="007D494A" w:rsidRDefault="00A946B7" w:rsidP="00F74429">
      <w:pPr>
        <w:spacing w:line="240" w:lineRule="auto"/>
        <w:jc w:val="center"/>
        <w:rPr>
          <w:rFonts w:ascii="Arial" w:hAnsi="Arial" w:cs="Arial"/>
          <w:color w:val="222222"/>
        </w:rPr>
      </w:pPr>
      <w:r>
        <w:rPr>
          <w:rFonts w:ascii="Arial" w:hAnsi="Arial" w:cs="Arial"/>
          <w:noProof/>
          <w:color w:val="222222"/>
        </w:rPr>
        <w:drawing>
          <wp:inline distT="0" distB="0" distL="0" distR="0" wp14:anchorId="022862E8" wp14:editId="7642DD7B">
            <wp:extent cx="5282005" cy="3291892"/>
            <wp:effectExtent l="0" t="0" r="1270" b="0"/>
            <wp:docPr id="465215685" name="Picture 4" descr="A diagram of a mod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15685" name="Picture 4" descr="A diagram of a model&#10;&#10;AI-generated content may be incorrect."/>
                    <pic:cNvPicPr/>
                  </pic:nvPicPr>
                  <pic:blipFill rotWithShape="1">
                    <a:blip r:embed="rId15" cstate="print">
                      <a:extLst>
                        <a:ext uri="{28A0092B-C50C-407E-A947-70E740481C1C}">
                          <a14:useLocalDpi xmlns:a14="http://schemas.microsoft.com/office/drawing/2010/main" val="0"/>
                        </a:ext>
                      </a:extLst>
                    </a:blip>
                    <a:srcRect t="6516"/>
                    <a:stretch>
                      <a:fillRect/>
                    </a:stretch>
                  </pic:blipFill>
                  <pic:spPr bwMode="auto">
                    <a:xfrm>
                      <a:off x="0" y="0"/>
                      <a:ext cx="5287347" cy="3295221"/>
                    </a:xfrm>
                    <a:prstGeom prst="rect">
                      <a:avLst/>
                    </a:prstGeom>
                    <a:ln>
                      <a:noFill/>
                    </a:ln>
                    <a:extLst>
                      <a:ext uri="{53640926-AAD7-44D8-BBD7-CCE9431645EC}">
                        <a14:shadowObscured xmlns:a14="http://schemas.microsoft.com/office/drawing/2010/main"/>
                      </a:ext>
                    </a:extLst>
                  </pic:spPr>
                </pic:pic>
              </a:graphicData>
            </a:graphic>
          </wp:inline>
        </w:drawing>
      </w:r>
    </w:p>
    <w:p w14:paraId="2A4AB55A" w14:textId="32B30515" w:rsidR="4FE807AD" w:rsidRPr="00BC5FEA" w:rsidRDefault="4FE807AD" w:rsidP="4FE807AD">
      <w:pPr>
        <w:spacing w:line="240" w:lineRule="auto"/>
        <w:rPr>
          <w:rFonts w:ascii="Arial" w:hAnsi="Arial" w:cs="Arial"/>
          <w:b/>
          <w:bCs/>
          <w:color w:val="222222"/>
        </w:rPr>
      </w:pPr>
      <w:r w:rsidRPr="4FE807AD">
        <w:rPr>
          <w:rFonts w:ascii="Arial" w:hAnsi="Arial" w:cs="Arial"/>
          <w:b/>
          <w:bCs/>
          <w:color w:val="222222"/>
        </w:rPr>
        <w:t>Figure S</w:t>
      </w:r>
      <w:r w:rsidR="00514F88">
        <w:rPr>
          <w:rFonts w:ascii="Arial" w:hAnsi="Arial" w:cs="Arial"/>
          <w:b/>
          <w:bCs/>
          <w:color w:val="222222"/>
        </w:rPr>
        <w:t>8</w:t>
      </w:r>
      <w:r w:rsidRPr="4FE807AD">
        <w:rPr>
          <w:rFonts w:ascii="Arial" w:hAnsi="Arial" w:cs="Arial"/>
          <w:b/>
          <w:bCs/>
          <w:color w:val="222222"/>
        </w:rPr>
        <w:t>. Comparison of effect sizes of age at menopause on protein levels in women 50 years and older (x-axis) and in women 65 years and older (y-axis).</w:t>
      </w:r>
    </w:p>
    <w:p w14:paraId="67F1FCB9" w14:textId="6F9E9380" w:rsidR="00BC5FEA" w:rsidRDefault="008850CB" w:rsidP="001F1AB3">
      <w:pPr>
        <w:spacing w:line="240" w:lineRule="auto"/>
        <w:jc w:val="center"/>
        <w:rPr>
          <w:rFonts w:ascii="Arial" w:hAnsi="Arial" w:cs="Arial"/>
          <w:color w:val="222222"/>
        </w:rPr>
      </w:pPr>
      <w:r>
        <w:rPr>
          <w:rFonts w:ascii="Arial" w:hAnsi="Arial" w:cs="Arial"/>
          <w:noProof/>
          <w:color w:val="222222"/>
        </w:rPr>
        <w:drawing>
          <wp:inline distT="0" distB="0" distL="0" distR="0" wp14:anchorId="78ACE4A9" wp14:editId="6B5A07EE">
            <wp:extent cx="5594649" cy="3506993"/>
            <wp:effectExtent l="0" t="0" r="0" b="0"/>
            <wp:docPr id="299927047" name="Picture 6" descr="A diagram of a mod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927047" name="Picture 6" descr="A diagram of a model&#10;&#10;AI-generated content may be incorrect."/>
                    <pic:cNvPicPr/>
                  </pic:nvPicPr>
                  <pic:blipFill rotWithShape="1">
                    <a:blip r:embed="rId16" cstate="print">
                      <a:extLst>
                        <a:ext uri="{28A0092B-C50C-407E-A947-70E740481C1C}">
                          <a14:useLocalDpi xmlns:a14="http://schemas.microsoft.com/office/drawing/2010/main" val="0"/>
                        </a:ext>
                      </a:extLst>
                    </a:blip>
                    <a:srcRect t="5973"/>
                    <a:stretch>
                      <a:fillRect/>
                    </a:stretch>
                  </pic:blipFill>
                  <pic:spPr bwMode="auto">
                    <a:xfrm>
                      <a:off x="0" y="0"/>
                      <a:ext cx="5610217" cy="3516751"/>
                    </a:xfrm>
                    <a:prstGeom prst="rect">
                      <a:avLst/>
                    </a:prstGeom>
                    <a:ln>
                      <a:noFill/>
                    </a:ln>
                    <a:extLst>
                      <a:ext uri="{53640926-AAD7-44D8-BBD7-CCE9431645EC}">
                        <a14:shadowObscured xmlns:a14="http://schemas.microsoft.com/office/drawing/2010/main"/>
                      </a:ext>
                    </a:extLst>
                  </pic:spPr>
                </pic:pic>
              </a:graphicData>
            </a:graphic>
          </wp:inline>
        </w:drawing>
      </w:r>
    </w:p>
    <w:p w14:paraId="204F8B12" w14:textId="77777777" w:rsidR="00CA5A86" w:rsidRDefault="006A4AE9" w:rsidP="006A4AE9">
      <w:pPr>
        <w:spacing w:line="240" w:lineRule="auto"/>
        <w:rPr>
          <w:rFonts w:ascii="Arial" w:hAnsi="Arial" w:cs="Arial"/>
          <w:b/>
          <w:bCs/>
        </w:rPr>
      </w:pPr>
      <w:r w:rsidRPr="00892319">
        <w:rPr>
          <w:rFonts w:ascii="Arial" w:hAnsi="Arial" w:cs="Arial"/>
          <w:b/>
          <w:bCs/>
        </w:rPr>
        <w:lastRenderedPageBreak/>
        <w:t xml:space="preserve">Figure </w:t>
      </w:r>
      <w:r>
        <w:rPr>
          <w:rFonts w:ascii="Arial" w:hAnsi="Arial" w:cs="Arial"/>
          <w:b/>
          <w:bCs/>
        </w:rPr>
        <w:t>S9</w:t>
      </w:r>
      <w:r w:rsidRPr="00892319">
        <w:rPr>
          <w:rFonts w:ascii="Arial" w:hAnsi="Arial" w:cs="Arial"/>
          <w:b/>
          <w:bCs/>
        </w:rPr>
        <w:t xml:space="preserve">. </w:t>
      </w:r>
      <w:r w:rsidR="00CA5A86">
        <w:rPr>
          <w:rFonts w:ascii="Arial" w:hAnsi="Arial" w:cs="Arial"/>
          <w:b/>
          <w:bCs/>
        </w:rPr>
        <w:t xml:space="preserve">Sex differences in associations of menopause timing proteins with dementia risk. </w:t>
      </w:r>
    </w:p>
    <w:p w14:paraId="0829E19E" w14:textId="237D7A25" w:rsidR="00CA5A86" w:rsidRDefault="00F434DA" w:rsidP="006A4AE9">
      <w:pPr>
        <w:spacing w:line="240" w:lineRule="auto"/>
        <w:rPr>
          <w:rFonts w:ascii="Arial" w:hAnsi="Arial" w:cs="Arial"/>
          <w:b/>
          <w:bCs/>
        </w:rPr>
      </w:pPr>
      <w:r>
        <w:rPr>
          <w:rFonts w:ascii="Arial" w:hAnsi="Arial" w:cs="Arial"/>
          <w:b/>
          <w:bCs/>
          <w:noProof/>
        </w:rPr>
        <w:drawing>
          <wp:inline distT="0" distB="0" distL="0" distR="0" wp14:anchorId="1FC395CA" wp14:editId="30DB89C7">
            <wp:extent cx="5856356" cy="6295292"/>
            <wp:effectExtent l="0" t="0" r="0" b="4445"/>
            <wp:docPr id="1927611747" name="Picture 1" descr="A chart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611747" name="Picture 1" descr="A chart of different colored lines&#10;&#10;AI-generated content may be incorrect."/>
                    <pic:cNvPicPr/>
                  </pic:nvPicPr>
                  <pic:blipFill rotWithShape="1">
                    <a:blip r:embed="rId17" cstate="print">
                      <a:extLst>
                        <a:ext uri="{28A0092B-C50C-407E-A947-70E740481C1C}">
                          <a14:useLocalDpi xmlns:a14="http://schemas.microsoft.com/office/drawing/2010/main" val="0"/>
                        </a:ext>
                      </a:extLst>
                    </a:blip>
                    <a:srcRect t="1401" b="3192"/>
                    <a:stretch>
                      <a:fillRect/>
                    </a:stretch>
                  </pic:blipFill>
                  <pic:spPr bwMode="auto">
                    <a:xfrm>
                      <a:off x="0" y="0"/>
                      <a:ext cx="5857796" cy="6296840"/>
                    </a:xfrm>
                    <a:prstGeom prst="rect">
                      <a:avLst/>
                    </a:prstGeom>
                    <a:ln>
                      <a:noFill/>
                    </a:ln>
                    <a:extLst>
                      <a:ext uri="{53640926-AAD7-44D8-BBD7-CCE9431645EC}">
                        <a14:shadowObscured xmlns:a14="http://schemas.microsoft.com/office/drawing/2010/main"/>
                      </a:ext>
                    </a:extLst>
                  </pic:spPr>
                </pic:pic>
              </a:graphicData>
            </a:graphic>
          </wp:inline>
        </w:drawing>
      </w:r>
    </w:p>
    <w:p w14:paraId="2437F091" w14:textId="5BFA98F6" w:rsidR="00440968" w:rsidRPr="00DA4554" w:rsidRDefault="00CA5A86" w:rsidP="00DA4554">
      <w:pPr>
        <w:spacing w:line="240" w:lineRule="auto"/>
        <w:rPr>
          <w:rFonts w:ascii="Arial" w:hAnsi="Arial" w:cs="Arial"/>
        </w:rPr>
      </w:pPr>
      <w:r>
        <w:rPr>
          <w:rFonts w:ascii="Arial" w:hAnsi="Arial" w:cs="Arial"/>
          <w:b/>
          <w:bCs/>
        </w:rPr>
        <w:t xml:space="preserve">(A) </w:t>
      </w:r>
      <w:r w:rsidR="00F434DA" w:rsidRPr="00F434DA">
        <w:rPr>
          <w:rFonts w:ascii="Arial" w:hAnsi="Arial" w:cs="Arial"/>
        </w:rPr>
        <w:t>V</w:t>
      </w:r>
      <w:r w:rsidR="006A4AE9" w:rsidRPr="00F434DA">
        <w:rPr>
          <w:rFonts w:ascii="Arial" w:hAnsi="Arial" w:cs="Arial"/>
        </w:rPr>
        <w:t>olcano plot showing</w:t>
      </w:r>
      <w:r w:rsidR="00F434DA" w:rsidRPr="00F434DA">
        <w:rPr>
          <w:rFonts w:ascii="Arial" w:hAnsi="Arial" w:cs="Arial"/>
        </w:rPr>
        <w:t xml:space="preserve"> effect sizes for</w:t>
      </w:r>
      <w:r w:rsidR="006A4AE9" w:rsidRPr="00F434DA">
        <w:rPr>
          <w:rFonts w:ascii="Arial" w:hAnsi="Arial" w:cs="Arial"/>
        </w:rPr>
        <w:t xml:space="preserve"> interactions between menopause timing proteins and sex on incident all-cause dementia, </w:t>
      </w:r>
      <w:r w:rsidR="00F434DA" w:rsidRPr="00F434DA">
        <w:rPr>
          <w:rFonts w:ascii="Arial" w:hAnsi="Arial" w:cs="Arial"/>
        </w:rPr>
        <w:t xml:space="preserve">from Cox proportional-hazards models </w:t>
      </w:r>
      <w:r w:rsidR="006A4AE9" w:rsidRPr="00F434DA">
        <w:rPr>
          <w:rFonts w:ascii="Arial" w:hAnsi="Arial" w:cs="Arial"/>
        </w:rPr>
        <w:t xml:space="preserve">adjusted for age. </w:t>
      </w:r>
      <w:r w:rsidR="00F434DA">
        <w:rPr>
          <w:rFonts w:ascii="Arial" w:hAnsi="Arial" w:cs="Arial"/>
          <w:b/>
          <w:bCs/>
        </w:rPr>
        <w:t xml:space="preserve">(B) </w:t>
      </w:r>
      <w:r w:rsidR="00F434DA" w:rsidRPr="00F434DA">
        <w:rPr>
          <w:rFonts w:ascii="Arial" w:hAnsi="Arial" w:cs="Arial"/>
        </w:rPr>
        <w:t>H</w:t>
      </w:r>
      <w:r w:rsidR="00440968" w:rsidRPr="00F434DA">
        <w:rPr>
          <w:rFonts w:ascii="Arial" w:hAnsi="Arial" w:cs="Arial"/>
        </w:rPr>
        <w:t xml:space="preserve">eatmap of sex-specific simple slopes from Cox proportional-hazards models testing interactions between menopause timing proteins and sex on incident all-cause dementia, adjusted for age. </w:t>
      </w:r>
      <w:r w:rsidR="00F434DA">
        <w:rPr>
          <w:rFonts w:ascii="Arial" w:hAnsi="Arial" w:cs="Arial"/>
          <w:b/>
          <w:bCs/>
        </w:rPr>
        <w:t xml:space="preserve">(C-E) </w:t>
      </w:r>
      <w:r w:rsidR="00F434DA">
        <w:rPr>
          <w:rFonts w:ascii="Arial" w:hAnsi="Arial" w:cs="Arial"/>
        </w:rPr>
        <w:t xml:space="preserve">Kaplan-Meier curves showing sex-stratified probabilities of progression to dementia, at lower, medium, and higher tertiles of </w:t>
      </w:r>
      <w:r w:rsidR="00F434DA">
        <w:rPr>
          <w:rFonts w:ascii="Arial" w:hAnsi="Arial" w:cs="Arial"/>
          <w:b/>
          <w:bCs/>
        </w:rPr>
        <w:t xml:space="preserve">(C) </w:t>
      </w:r>
      <w:r w:rsidR="00F434DA" w:rsidRPr="00F434DA">
        <w:rPr>
          <w:rFonts w:ascii="Arial" w:hAnsi="Arial" w:cs="Arial"/>
        </w:rPr>
        <w:t xml:space="preserve">CFD, </w:t>
      </w:r>
      <w:r w:rsidR="00F434DA">
        <w:rPr>
          <w:rFonts w:ascii="Arial" w:hAnsi="Arial" w:cs="Arial"/>
          <w:b/>
          <w:bCs/>
        </w:rPr>
        <w:t xml:space="preserve">(D) </w:t>
      </w:r>
      <w:r w:rsidR="00F434DA" w:rsidRPr="00F434DA">
        <w:rPr>
          <w:rFonts w:ascii="Arial" w:hAnsi="Arial" w:cs="Arial"/>
        </w:rPr>
        <w:t>GDF15, and</w:t>
      </w:r>
      <w:r w:rsidR="00F434DA">
        <w:rPr>
          <w:rFonts w:ascii="Arial" w:hAnsi="Arial" w:cs="Arial"/>
          <w:b/>
          <w:bCs/>
        </w:rPr>
        <w:t xml:space="preserve"> (E) </w:t>
      </w:r>
      <w:r w:rsidR="00F434DA" w:rsidRPr="00F434DA">
        <w:rPr>
          <w:rFonts w:ascii="Arial" w:hAnsi="Arial" w:cs="Arial"/>
        </w:rPr>
        <w:t>PLAUR.</w:t>
      </w:r>
    </w:p>
    <w:p w14:paraId="6D2962D2" w14:textId="04C9189E" w:rsidR="00892319" w:rsidRDefault="00892319" w:rsidP="00892319">
      <w:pPr>
        <w:spacing w:line="240" w:lineRule="auto"/>
        <w:rPr>
          <w:rFonts w:ascii="Arial" w:hAnsi="Arial" w:cs="Arial"/>
          <w:b/>
          <w:bCs/>
        </w:rPr>
      </w:pPr>
      <w:r w:rsidRPr="00892319">
        <w:rPr>
          <w:rFonts w:ascii="Arial" w:hAnsi="Arial" w:cs="Arial"/>
          <w:b/>
          <w:bCs/>
        </w:rPr>
        <w:lastRenderedPageBreak/>
        <w:t xml:space="preserve">Figure </w:t>
      </w:r>
      <w:r>
        <w:rPr>
          <w:rFonts w:ascii="Arial" w:hAnsi="Arial" w:cs="Arial"/>
          <w:b/>
          <w:bCs/>
        </w:rPr>
        <w:t>S</w:t>
      </w:r>
      <w:r w:rsidR="00440968">
        <w:rPr>
          <w:rFonts w:ascii="Arial" w:hAnsi="Arial" w:cs="Arial"/>
          <w:b/>
          <w:bCs/>
        </w:rPr>
        <w:t>1</w:t>
      </w:r>
      <w:r w:rsidR="00DA4554">
        <w:rPr>
          <w:rFonts w:ascii="Arial" w:hAnsi="Arial" w:cs="Arial"/>
          <w:b/>
          <w:bCs/>
        </w:rPr>
        <w:t xml:space="preserve">0. </w:t>
      </w:r>
      <w:r w:rsidRPr="00892319">
        <w:rPr>
          <w:rFonts w:ascii="Arial" w:hAnsi="Arial" w:cs="Arial"/>
          <w:b/>
          <w:bCs/>
        </w:rPr>
        <w:t xml:space="preserve"> Menopause timing protein associations with total grey matter volume (GMV; scaled for head size)</w:t>
      </w:r>
      <w:r>
        <w:rPr>
          <w:rFonts w:ascii="Arial" w:hAnsi="Arial" w:cs="Arial"/>
          <w:b/>
          <w:bCs/>
        </w:rPr>
        <w:t xml:space="preserve">, adjusted for age and time between Olink and MRI. </w:t>
      </w:r>
    </w:p>
    <w:p w14:paraId="57AAF796" w14:textId="7080F4B6" w:rsidR="00892319" w:rsidRDefault="00892319" w:rsidP="00F74429">
      <w:pPr>
        <w:spacing w:line="240" w:lineRule="auto"/>
        <w:jc w:val="center"/>
        <w:rPr>
          <w:rFonts w:ascii="Arial" w:hAnsi="Arial" w:cs="Arial"/>
          <w:b/>
          <w:bCs/>
        </w:rPr>
      </w:pPr>
      <w:r w:rsidRPr="00892319">
        <w:rPr>
          <w:rFonts w:ascii="Arial" w:hAnsi="Arial" w:cs="Arial"/>
          <w:b/>
          <w:bCs/>
          <w:noProof/>
        </w:rPr>
        <w:drawing>
          <wp:inline distT="0" distB="0" distL="0" distR="0" wp14:anchorId="1E38D797" wp14:editId="2DF33EDE">
            <wp:extent cx="4434348" cy="3271375"/>
            <wp:effectExtent l="0" t="0" r="0" b="5715"/>
            <wp:docPr id="3" name="Picture 2" descr="A graph with numbers and dots&#10;&#10;AI-generated content may be incorrect.">
              <a:extLst xmlns:a="http://schemas.openxmlformats.org/drawingml/2006/main">
                <a:ext uri="{FF2B5EF4-FFF2-40B4-BE49-F238E27FC236}">
                  <a16:creationId xmlns:a16="http://schemas.microsoft.com/office/drawing/2014/main" id="{67F3C898-43DD-2C7B-970C-AA36AD7CBA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aph with numbers and dots&#10;&#10;AI-generated content may be incorrect.">
                      <a:extLst>
                        <a:ext uri="{FF2B5EF4-FFF2-40B4-BE49-F238E27FC236}">
                          <a16:creationId xmlns:a16="http://schemas.microsoft.com/office/drawing/2014/main" id="{67F3C898-43DD-2C7B-970C-AA36AD7CBAD9}"/>
                        </a:ext>
                      </a:extLst>
                    </pic:cNvPr>
                    <pic:cNvPicPr>
                      <a:picLocks noChangeAspect="1"/>
                    </pic:cNvPicPr>
                  </pic:nvPicPr>
                  <pic:blipFill>
                    <a:blip r:embed="rId18" cstate="print">
                      <a:extLst>
                        <a:ext uri="{28A0092B-C50C-407E-A947-70E740481C1C}">
                          <a14:useLocalDpi xmlns:a14="http://schemas.microsoft.com/office/drawing/2010/main" val="0"/>
                        </a:ext>
                      </a:extLst>
                    </a:blip>
                    <a:srcRect t="20626" b="5598"/>
                    <a:stretch>
                      <a:fillRect/>
                    </a:stretch>
                  </pic:blipFill>
                  <pic:spPr>
                    <a:xfrm>
                      <a:off x="0" y="0"/>
                      <a:ext cx="4438547" cy="3274472"/>
                    </a:xfrm>
                    <a:prstGeom prst="rect">
                      <a:avLst/>
                    </a:prstGeom>
                  </pic:spPr>
                </pic:pic>
              </a:graphicData>
            </a:graphic>
          </wp:inline>
        </w:drawing>
      </w:r>
    </w:p>
    <w:p w14:paraId="6C7CF9E2" w14:textId="00F8BBC1" w:rsidR="00892319" w:rsidRPr="00892319" w:rsidRDefault="00892319" w:rsidP="00892319">
      <w:pPr>
        <w:spacing w:line="240" w:lineRule="auto"/>
        <w:rPr>
          <w:rFonts w:ascii="Arial" w:hAnsi="Arial" w:cs="Arial"/>
          <w:b/>
          <w:bCs/>
        </w:rPr>
      </w:pPr>
      <w:r w:rsidRPr="00892319">
        <w:rPr>
          <w:rFonts w:ascii="Arial" w:hAnsi="Arial" w:cs="Arial"/>
          <w:b/>
          <w:bCs/>
        </w:rPr>
        <w:t xml:space="preserve">Figure </w:t>
      </w:r>
      <w:r>
        <w:rPr>
          <w:rFonts w:ascii="Arial" w:hAnsi="Arial" w:cs="Arial"/>
          <w:b/>
          <w:bCs/>
        </w:rPr>
        <w:t>S</w:t>
      </w:r>
      <w:r w:rsidR="00514F88">
        <w:rPr>
          <w:rFonts w:ascii="Arial" w:hAnsi="Arial" w:cs="Arial"/>
          <w:b/>
          <w:bCs/>
        </w:rPr>
        <w:t>1</w:t>
      </w:r>
      <w:r w:rsidR="00DA4554">
        <w:rPr>
          <w:rFonts w:ascii="Arial" w:hAnsi="Arial" w:cs="Arial"/>
          <w:b/>
          <w:bCs/>
        </w:rPr>
        <w:t>1</w:t>
      </w:r>
      <w:r w:rsidRPr="00892319">
        <w:rPr>
          <w:rFonts w:ascii="Arial" w:hAnsi="Arial" w:cs="Arial"/>
          <w:b/>
          <w:bCs/>
        </w:rPr>
        <w:t xml:space="preserve">. Menopause timing protein associations with </w:t>
      </w:r>
      <w:r>
        <w:rPr>
          <w:rFonts w:ascii="Arial" w:hAnsi="Arial" w:cs="Arial"/>
          <w:b/>
          <w:bCs/>
        </w:rPr>
        <w:t>white matter hyperintensities</w:t>
      </w:r>
      <w:r w:rsidRPr="00892319">
        <w:rPr>
          <w:rFonts w:ascii="Arial" w:hAnsi="Arial" w:cs="Arial"/>
          <w:b/>
          <w:bCs/>
        </w:rPr>
        <w:t xml:space="preserve"> (</w:t>
      </w:r>
      <w:r>
        <w:rPr>
          <w:rFonts w:ascii="Arial" w:hAnsi="Arial" w:cs="Arial"/>
          <w:b/>
          <w:bCs/>
        </w:rPr>
        <w:t>WMH</w:t>
      </w:r>
      <w:r w:rsidRPr="00892319">
        <w:rPr>
          <w:rFonts w:ascii="Arial" w:hAnsi="Arial" w:cs="Arial"/>
          <w:b/>
          <w:bCs/>
        </w:rPr>
        <w:t>; scaled for head size</w:t>
      </w:r>
      <w:r>
        <w:rPr>
          <w:rFonts w:ascii="Arial" w:hAnsi="Arial" w:cs="Arial"/>
          <w:b/>
          <w:bCs/>
        </w:rPr>
        <w:t xml:space="preserve"> and log-transformed</w:t>
      </w:r>
      <w:r w:rsidRPr="00892319">
        <w:rPr>
          <w:rFonts w:ascii="Arial" w:hAnsi="Arial" w:cs="Arial"/>
          <w:b/>
          <w:bCs/>
        </w:rPr>
        <w:t>)</w:t>
      </w:r>
      <w:r>
        <w:rPr>
          <w:rFonts w:ascii="Arial" w:hAnsi="Arial" w:cs="Arial"/>
          <w:b/>
          <w:bCs/>
        </w:rPr>
        <w:t xml:space="preserve">, adjusted for age and time between Olink and MRI. </w:t>
      </w:r>
    </w:p>
    <w:p w14:paraId="1A376E0C" w14:textId="143E192D" w:rsidR="00892319" w:rsidRDefault="00892319" w:rsidP="00F74429">
      <w:pPr>
        <w:spacing w:line="240" w:lineRule="auto"/>
        <w:jc w:val="center"/>
        <w:rPr>
          <w:rFonts w:ascii="Arial" w:hAnsi="Arial" w:cs="Arial"/>
          <w:b/>
          <w:bCs/>
        </w:rPr>
      </w:pPr>
      <w:r w:rsidRPr="00892319">
        <w:rPr>
          <w:rFonts w:ascii="Arial" w:hAnsi="Arial" w:cs="Arial"/>
          <w:b/>
          <w:bCs/>
          <w:noProof/>
        </w:rPr>
        <w:drawing>
          <wp:inline distT="0" distB="0" distL="0" distR="0" wp14:anchorId="3DC46CBB" wp14:editId="2D587F1B">
            <wp:extent cx="4667106" cy="3549445"/>
            <wp:effectExtent l="0" t="0" r="0" b="0"/>
            <wp:docPr id="17" name="Picture 16" descr="A graph with numbers and dots&#10;&#10;AI-generated content may be incorrect.">
              <a:extLst xmlns:a="http://schemas.openxmlformats.org/drawingml/2006/main">
                <a:ext uri="{FF2B5EF4-FFF2-40B4-BE49-F238E27FC236}">
                  <a16:creationId xmlns:a16="http://schemas.microsoft.com/office/drawing/2014/main" id="{E6E725E3-7FFE-5EA7-0489-BB0118ADA1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graph with numbers and dots&#10;&#10;AI-generated content may be incorrect.">
                      <a:extLst>
                        <a:ext uri="{FF2B5EF4-FFF2-40B4-BE49-F238E27FC236}">
                          <a16:creationId xmlns:a16="http://schemas.microsoft.com/office/drawing/2014/main" id="{E6E725E3-7FFE-5EA7-0489-BB0118ADA128}"/>
                        </a:ext>
                      </a:extLst>
                    </pic:cNvPr>
                    <pic:cNvPicPr>
                      <a:picLocks noChangeAspect="1"/>
                    </pic:cNvPicPr>
                  </pic:nvPicPr>
                  <pic:blipFill>
                    <a:blip r:embed="rId19" cstate="print">
                      <a:extLst>
                        <a:ext uri="{28A0092B-C50C-407E-A947-70E740481C1C}">
                          <a14:useLocalDpi xmlns:a14="http://schemas.microsoft.com/office/drawing/2010/main" val="0"/>
                        </a:ext>
                      </a:extLst>
                    </a:blip>
                    <a:srcRect t="18733" b="5215"/>
                    <a:stretch>
                      <a:fillRect/>
                    </a:stretch>
                  </pic:blipFill>
                  <pic:spPr>
                    <a:xfrm>
                      <a:off x="0" y="0"/>
                      <a:ext cx="4694008" cy="3569904"/>
                    </a:xfrm>
                    <a:prstGeom prst="rect">
                      <a:avLst/>
                    </a:prstGeom>
                  </pic:spPr>
                </pic:pic>
              </a:graphicData>
            </a:graphic>
          </wp:inline>
        </w:drawing>
      </w:r>
    </w:p>
    <w:p w14:paraId="184A9BBA" w14:textId="112A890D" w:rsidR="00892319" w:rsidRPr="00892319" w:rsidRDefault="00892319" w:rsidP="007C7186">
      <w:pPr>
        <w:spacing w:line="240" w:lineRule="auto"/>
        <w:rPr>
          <w:rFonts w:ascii="Arial" w:hAnsi="Arial" w:cs="Arial"/>
          <w:b/>
          <w:bCs/>
        </w:rPr>
      </w:pPr>
      <w:r w:rsidRPr="00892319">
        <w:rPr>
          <w:rFonts w:ascii="Arial" w:hAnsi="Arial" w:cs="Arial"/>
          <w:b/>
          <w:bCs/>
        </w:rPr>
        <w:lastRenderedPageBreak/>
        <w:t xml:space="preserve">Figure </w:t>
      </w:r>
      <w:r>
        <w:rPr>
          <w:rFonts w:ascii="Arial" w:hAnsi="Arial" w:cs="Arial"/>
          <w:b/>
          <w:bCs/>
        </w:rPr>
        <w:t>S</w:t>
      </w:r>
      <w:r w:rsidR="00F74429">
        <w:rPr>
          <w:rFonts w:ascii="Arial" w:hAnsi="Arial" w:cs="Arial"/>
          <w:b/>
          <w:bCs/>
        </w:rPr>
        <w:t>1</w:t>
      </w:r>
      <w:r w:rsidR="00DA4554">
        <w:rPr>
          <w:rFonts w:ascii="Arial" w:hAnsi="Arial" w:cs="Arial"/>
          <w:b/>
          <w:bCs/>
        </w:rPr>
        <w:t>2</w:t>
      </w:r>
      <w:r w:rsidRPr="00892319">
        <w:rPr>
          <w:rFonts w:ascii="Arial" w:hAnsi="Arial" w:cs="Arial"/>
          <w:b/>
          <w:bCs/>
        </w:rPr>
        <w:t>. Menopause timing protein associations with</w:t>
      </w:r>
      <w:r>
        <w:rPr>
          <w:rFonts w:ascii="Arial" w:hAnsi="Arial" w:cs="Arial"/>
          <w:b/>
          <w:bCs/>
        </w:rPr>
        <w:t xml:space="preserve"> global</w:t>
      </w:r>
      <w:r w:rsidRPr="00892319">
        <w:rPr>
          <w:rFonts w:ascii="Arial" w:hAnsi="Arial" w:cs="Arial"/>
          <w:b/>
          <w:bCs/>
        </w:rPr>
        <w:t xml:space="preserve"> </w:t>
      </w:r>
      <w:r>
        <w:rPr>
          <w:rFonts w:ascii="Arial" w:hAnsi="Arial" w:cs="Arial"/>
          <w:b/>
          <w:bCs/>
        </w:rPr>
        <w:t xml:space="preserve">fractional anisotropy (FA), adjusted for age and time between Olink and MRI. </w:t>
      </w:r>
    </w:p>
    <w:p w14:paraId="127170D7" w14:textId="77777777" w:rsidR="00F74429" w:rsidRDefault="00892319" w:rsidP="00F74429">
      <w:pPr>
        <w:spacing w:line="240" w:lineRule="auto"/>
        <w:jc w:val="center"/>
        <w:rPr>
          <w:rFonts w:ascii="Arial" w:hAnsi="Arial" w:cs="Arial"/>
          <w:b/>
          <w:bCs/>
        </w:rPr>
      </w:pPr>
      <w:r w:rsidRPr="00892319">
        <w:rPr>
          <w:rFonts w:ascii="Arial" w:hAnsi="Arial" w:cs="Arial"/>
          <w:b/>
          <w:bCs/>
          <w:noProof/>
        </w:rPr>
        <w:drawing>
          <wp:inline distT="0" distB="0" distL="0" distR="0" wp14:anchorId="71207447" wp14:editId="2F6CF004">
            <wp:extent cx="4517571" cy="3369534"/>
            <wp:effectExtent l="0" t="0" r="3810" b="0"/>
            <wp:docPr id="2049721943" name="Picture 4" descr="A graph with blue dots and black text&#10;&#10;AI-generated content may be incorrect.">
              <a:extLst xmlns:a="http://schemas.openxmlformats.org/drawingml/2006/main">
                <a:ext uri="{FF2B5EF4-FFF2-40B4-BE49-F238E27FC236}">
                  <a16:creationId xmlns:a16="http://schemas.microsoft.com/office/drawing/2014/main" id="{6A65F6B5-62F2-6903-BC14-63A7076CFD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721943" name="Picture 4" descr="A graph with blue dots and black text&#10;&#10;AI-generated content may be incorrect.">
                      <a:extLst>
                        <a:ext uri="{FF2B5EF4-FFF2-40B4-BE49-F238E27FC236}">
                          <a16:creationId xmlns:a16="http://schemas.microsoft.com/office/drawing/2014/main" id="{6A65F6B5-62F2-6903-BC14-63A7076CFD4A}"/>
                        </a:ext>
                      </a:extLst>
                    </pic:cNvPr>
                    <pic:cNvPicPr>
                      <a:picLocks noChangeAspect="1"/>
                    </pic:cNvPicPr>
                  </pic:nvPicPr>
                  <pic:blipFill>
                    <a:blip r:embed="rId20"/>
                    <a:srcRect t="20130" b="5282"/>
                    <a:stretch>
                      <a:fillRect/>
                    </a:stretch>
                  </pic:blipFill>
                  <pic:spPr>
                    <a:xfrm>
                      <a:off x="0" y="0"/>
                      <a:ext cx="4527978" cy="3377297"/>
                    </a:xfrm>
                    <a:prstGeom prst="rect">
                      <a:avLst/>
                    </a:prstGeom>
                  </pic:spPr>
                </pic:pic>
              </a:graphicData>
            </a:graphic>
          </wp:inline>
        </w:drawing>
      </w:r>
    </w:p>
    <w:p w14:paraId="072A81B9" w14:textId="77777777" w:rsidR="007C7186" w:rsidRDefault="007C7186" w:rsidP="007C7186">
      <w:pPr>
        <w:spacing w:after="0" w:line="240" w:lineRule="auto"/>
        <w:rPr>
          <w:rFonts w:ascii="Arial" w:hAnsi="Arial" w:cs="Arial"/>
          <w:color w:val="222222"/>
        </w:rPr>
      </w:pPr>
    </w:p>
    <w:p w14:paraId="04BF4BC9" w14:textId="32F487F4" w:rsidR="007C7186" w:rsidRDefault="007C7186" w:rsidP="007C7186">
      <w:pPr>
        <w:spacing w:after="0" w:line="240" w:lineRule="auto"/>
        <w:rPr>
          <w:rFonts w:ascii="Arial" w:hAnsi="Arial" w:cs="Arial"/>
          <w:b/>
          <w:bCs/>
          <w:color w:val="222222"/>
        </w:rPr>
      </w:pPr>
      <w:r w:rsidRPr="00294505">
        <w:rPr>
          <w:rFonts w:ascii="Arial" w:hAnsi="Arial" w:cs="Arial"/>
          <w:b/>
          <w:bCs/>
          <w:color w:val="222222"/>
        </w:rPr>
        <w:t>Figure S</w:t>
      </w:r>
      <w:r w:rsidR="00892319">
        <w:rPr>
          <w:rFonts w:ascii="Arial" w:hAnsi="Arial" w:cs="Arial"/>
          <w:b/>
          <w:bCs/>
          <w:color w:val="222222"/>
        </w:rPr>
        <w:t>1</w:t>
      </w:r>
      <w:r w:rsidR="00DA4554">
        <w:rPr>
          <w:rFonts w:ascii="Arial" w:hAnsi="Arial" w:cs="Arial"/>
          <w:b/>
          <w:bCs/>
          <w:color w:val="222222"/>
        </w:rPr>
        <w:t>3</w:t>
      </w:r>
      <w:r w:rsidR="00F74429">
        <w:rPr>
          <w:rFonts w:ascii="Arial" w:hAnsi="Arial" w:cs="Arial"/>
          <w:b/>
          <w:bCs/>
          <w:color w:val="222222"/>
        </w:rPr>
        <w:t>. I</w:t>
      </w:r>
      <w:r>
        <w:rPr>
          <w:rFonts w:ascii="Arial" w:hAnsi="Arial" w:cs="Arial"/>
          <w:b/>
          <w:bCs/>
          <w:color w:val="222222"/>
        </w:rPr>
        <w:t>mputation evaluation metrics including distribution of ground truth vs. imputed mean average error (MAE) per protein in train and test splits (left) and total MAE rate in both train and test splits (right).</w:t>
      </w:r>
    </w:p>
    <w:p w14:paraId="5E202D20" w14:textId="77777777" w:rsidR="00892319" w:rsidRPr="00294505" w:rsidRDefault="00892319" w:rsidP="007C7186">
      <w:pPr>
        <w:spacing w:after="0" w:line="240" w:lineRule="auto"/>
        <w:rPr>
          <w:rFonts w:ascii="Arial" w:hAnsi="Arial" w:cs="Arial"/>
          <w:b/>
          <w:bCs/>
          <w:color w:val="222222"/>
        </w:rPr>
      </w:pPr>
    </w:p>
    <w:p w14:paraId="39CB0CA0" w14:textId="77777777" w:rsidR="007C7186" w:rsidRPr="002D1C3F" w:rsidRDefault="007C7186" w:rsidP="007C7186">
      <w:pPr>
        <w:spacing w:line="240" w:lineRule="auto"/>
        <w:rPr>
          <w:rFonts w:ascii="Arial" w:hAnsi="Arial" w:cs="Arial"/>
          <w:color w:val="222222"/>
        </w:rPr>
      </w:pPr>
      <w:r>
        <w:rPr>
          <w:rFonts w:ascii="Arial" w:hAnsi="Arial" w:cs="Arial"/>
          <w:noProof/>
          <w:color w:val="222222"/>
        </w:rPr>
        <w:drawing>
          <wp:inline distT="0" distB="0" distL="0" distR="0" wp14:anchorId="3DB02F37" wp14:editId="2B1029B2">
            <wp:extent cx="2463800" cy="2743200"/>
            <wp:effectExtent l="0" t="0" r="0" b="0"/>
            <wp:docPr id="1225910092" name="Picture 2"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910092" name="Picture 2" descr="A graph of a graph&#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2463800" cy="2743200"/>
                    </a:xfrm>
                    <a:prstGeom prst="rect">
                      <a:avLst/>
                    </a:prstGeom>
                  </pic:spPr>
                </pic:pic>
              </a:graphicData>
            </a:graphic>
          </wp:inline>
        </w:drawing>
      </w:r>
      <w:r>
        <w:rPr>
          <w:rFonts w:ascii="Arial" w:hAnsi="Arial" w:cs="Arial"/>
          <w:color w:val="222222"/>
        </w:rPr>
        <w:t xml:space="preserve">        </w:t>
      </w:r>
      <w:r>
        <w:rPr>
          <w:rFonts w:ascii="Arial" w:hAnsi="Arial" w:cs="Arial"/>
          <w:noProof/>
          <w:color w:val="222222"/>
        </w:rPr>
        <w:drawing>
          <wp:inline distT="0" distB="0" distL="0" distR="0" wp14:anchorId="261C6DE7" wp14:editId="2BB10166">
            <wp:extent cx="1875693" cy="2706152"/>
            <wp:effectExtent l="0" t="0" r="4445" b="0"/>
            <wp:docPr id="1739555102" name="Picture 3" descr="A graph with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555102" name="Picture 3" descr="A graph with blue squares&#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1886279" cy="2721425"/>
                    </a:xfrm>
                    <a:prstGeom prst="rect">
                      <a:avLst/>
                    </a:prstGeom>
                  </pic:spPr>
                </pic:pic>
              </a:graphicData>
            </a:graphic>
          </wp:inline>
        </w:drawing>
      </w:r>
    </w:p>
    <w:p w14:paraId="16E7EA96" w14:textId="77777777" w:rsidR="007C7186" w:rsidRDefault="007C7186" w:rsidP="4FE807AD">
      <w:pPr>
        <w:spacing w:line="240" w:lineRule="auto"/>
        <w:rPr>
          <w:rFonts w:ascii="Arial" w:hAnsi="Arial" w:cs="Arial"/>
          <w:color w:val="222222"/>
        </w:rPr>
      </w:pPr>
    </w:p>
    <w:sectPr w:rsidR="007C7186">
      <w:headerReference w:type="even" r:id="rId23"/>
      <w:headerReference w:type="default" r:id="rId2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2A238" w14:textId="77777777" w:rsidR="004076CD" w:rsidRDefault="004076CD" w:rsidP="009825FF">
      <w:pPr>
        <w:spacing w:after="0" w:line="240" w:lineRule="auto"/>
      </w:pPr>
      <w:r>
        <w:separator/>
      </w:r>
    </w:p>
  </w:endnote>
  <w:endnote w:type="continuationSeparator" w:id="0">
    <w:p w14:paraId="74A2E9A3" w14:textId="77777777" w:rsidR="004076CD" w:rsidRDefault="004076CD" w:rsidP="009825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EAD00" w14:textId="77777777" w:rsidR="004076CD" w:rsidRDefault="004076CD" w:rsidP="009825FF">
      <w:pPr>
        <w:spacing w:after="0" w:line="240" w:lineRule="auto"/>
      </w:pPr>
      <w:r>
        <w:separator/>
      </w:r>
    </w:p>
  </w:footnote>
  <w:footnote w:type="continuationSeparator" w:id="0">
    <w:p w14:paraId="252EDB48" w14:textId="77777777" w:rsidR="004076CD" w:rsidRDefault="004076CD" w:rsidP="009825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2709360"/>
      <w:docPartObj>
        <w:docPartGallery w:val="Page Numbers (Top of Page)"/>
        <w:docPartUnique/>
      </w:docPartObj>
    </w:sdtPr>
    <w:sdtContent>
      <w:p w14:paraId="40BFC557" w14:textId="2E34CDE0" w:rsidR="009825FF" w:rsidRDefault="009825FF" w:rsidP="00834E4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CBC0117" w14:textId="77777777" w:rsidR="009825FF" w:rsidRDefault="009825FF" w:rsidP="009825F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rPr>
      <w:id w:val="1597281204"/>
      <w:docPartObj>
        <w:docPartGallery w:val="Page Numbers (Top of Page)"/>
        <w:docPartUnique/>
      </w:docPartObj>
    </w:sdtPr>
    <w:sdtContent>
      <w:p w14:paraId="376CEF82" w14:textId="66E50474" w:rsidR="009825FF" w:rsidRPr="009825FF" w:rsidRDefault="009825FF" w:rsidP="00834E43">
        <w:pPr>
          <w:pStyle w:val="Header"/>
          <w:framePr w:wrap="none" w:vAnchor="text" w:hAnchor="margin" w:xAlign="right" w:y="1"/>
          <w:rPr>
            <w:rStyle w:val="PageNumber"/>
            <w:rFonts w:ascii="Arial" w:hAnsi="Arial" w:cs="Arial"/>
          </w:rPr>
        </w:pPr>
        <w:r w:rsidRPr="009825FF">
          <w:rPr>
            <w:rStyle w:val="PageNumber"/>
            <w:rFonts w:ascii="Arial" w:hAnsi="Arial" w:cs="Arial"/>
          </w:rPr>
          <w:fldChar w:fldCharType="begin"/>
        </w:r>
        <w:r w:rsidRPr="009825FF">
          <w:rPr>
            <w:rStyle w:val="PageNumber"/>
            <w:rFonts w:ascii="Arial" w:hAnsi="Arial" w:cs="Arial"/>
          </w:rPr>
          <w:instrText xml:space="preserve"> PAGE </w:instrText>
        </w:r>
        <w:r w:rsidRPr="009825FF">
          <w:rPr>
            <w:rStyle w:val="PageNumber"/>
            <w:rFonts w:ascii="Arial" w:hAnsi="Arial" w:cs="Arial"/>
          </w:rPr>
          <w:fldChar w:fldCharType="separate"/>
        </w:r>
        <w:r w:rsidRPr="009825FF">
          <w:rPr>
            <w:rStyle w:val="PageNumber"/>
            <w:rFonts w:ascii="Arial" w:hAnsi="Arial" w:cs="Arial"/>
            <w:noProof/>
          </w:rPr>
          <w:t>1</w:t>
        </w:r>
        <w:r w:rsidRPr="009825FF">
          <w:rPr>
            <w:rStyle w:val="PageNumber"/>
            <w:rFonts w:ascii="Arial" w:hAnsi="Arial" w:cs="Arial"/>
          </w:rPr>
          <w:fldChar w:fldCharType="end"/>
        </w:r>
      </w:p>
    </w:sdtContent>
  </w:sdt>
  <w:p w14:paraId="619CCEA5" w14:textId="77777777" w:rsidR="009825FF" w:rsidRDefault="009825FF" w:rsidP="009825FF">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C6F"/>
    <w:rsid w:val="00004347"/>
    <w:rsid w:val="00026140"/>
    <w:rsid w:val="00027221"/>
    <w:rsid w:val="000D712F"/>
    <w:rsid w:val="00102708"/>
    <w:rsid w:val="0011698B"/>
    <w:rsid w:val="00127DB6"/>
    <w:rsid w:val="00141874"/>
    <w:rsid w:val="00185476"/>
    <w:rsid w:val="001A0D7B"/>
    <w:rsid w:val="001D6C6F"/>
    <w:rsid w:val="001F1AB3"/>
    <w:rsid w:val="00204343"/>
    <w:rsid w:val="00294505"/>
    <w:rsid w:val="002A4F0C"/>
    <w:rsid w:val="002A7853"/>
    <w:rsid w:val="002D1C3F"/>
    <w:rsid w:val="0030703C"/>
    <w:rsid w:val="003138B6"/>
    <w:rsid w:val="00330570"/>
    <w:rsid w:val="003457DF"/>
    <w:rsid w:val="003A42B6"/>
    <w:rsid w:val="003E59AA"/>
    <w:rsid w:val="003F27E3"/>
    <w:rsid w:val="003F5CB0"/>
    <w:rsid w:val="004076CD"/>
    <w:rsid w:val="00427399"/>
    <w:rsid w:val="00440968"/>
    <w:rsid w:val="0046009B"/>
    <w:rsid w:val="004B096E"/>
    <w:rsid w:val="004C7620"/>
    <w:rsid w:val="00514F88"/>
    <w:rsid w:val="0053248D"/>
    <w:rsid w:val="00564113"/>
    <w:rsid w:val="00587D6C"/>
    <w:rsid w:val="005A0E97"/>
    <w:rsid w:val="005B269A"/>
    <w:rsid w:val="005E28F0"/>
    <w:rsid w:val="00602472"/>
    <w:rsid w:val="00602FBA"/>
    <w:rsid w:val="00623AFF"/>
    <w:rsid w:val="00625A59"/>
    <w:rsid w:val="00635C91"/>
    <w:rsid w:val="0065616A"/>
    <w:rsid w:val="006650A3"/>
    <w:rsid w:val="00692FF9"/>
    <w:rsid w:val="006A4AE9"/>
    <w:rsid w:val="006A6614"/>
    <w:rsid w:val="006B7055"/>
    <w:rsid w:val="006E633F"/>
    <w:rsid w:val="006F341D"/>
    <w:rsid w:val="00705429"/>
    <w:rsid w:val="00716BDF"/>
    <w:rsid w:val="00723905"/>
    <w:rsid w:val="00725A90"/>
    <w:rsid w:val="00730C63"/>
    <w:rsid w:val="00744888"/>
    <w:rsid w:val="00751EA7"/>
    <w:rsid w:val="007661F5"/>
    <w:rsid w:val="0077381D"/>
    <w:rsid w:val="0078526D"/>
    <w:rsid w:val="007C7186"/>
    <w:rsid w:val="007D494A"/>
    <w:rsid w:val="007E251B"/>
    <w:rsid w:val="007E304A"/>
    <w:rsid w:val="008238C0"/>
    <w:rsid w:val="00834F8F"/>
    <w:rsid w:val="00862AD0"/>
    <w:rsid w:val="008850CB"/>
    <w:rsid w:val="00892319"/>
    <w:rsid w:val="008B2D09"/>
    <w:rsid w:val="008C751E"/>
    <w:rsid w:val="008F0128"/>
    <w:rsid w:val="00944615"/>
    <w:rsid w:val="009825FF"/>
    <w:rsid w:val="009A2548"/>
    <w:rsid w:val="009C2D53"/>
    <w:rsid w:val="009C72DA"/>
    <w:rsid w:val="009D6D50"/>
    <w:rsid w:val="009F1D26"/>
    <w:rsid w:val="009F5096"/>
    <w:rsid w:val="00A10F71"/>
    <w:rsid w:val="00A22F73"/>
    <w:rsid w:val="00A34248"/>
    <w:rsid w:val="00A4249C"/>
    <w:rsid w:val="00A621A5"/>
    <w:rsid w:val="00A71662"/>
    <w:rsid w:val="00A7461D"/>
    <w:rsid w:val="00A74886"/>
    <w:rsid w:val="00A946B7"/>
    <w:rsid w:val="00AB6DBD"/>
    <w:rsid w:val="00B05B0F"/>
    <w:rsid w:val="00B25C45"/>
    <w:rsid w:val="00B52F62"/>
    <w:rsid w:val="00B85DC9"/>
    <w:rsid w:val="00BA5318"/>
    <w:rsid w:val="00BC5F46"/>
    <w:rsid w:val="00BC5FEA"/>
    <w:rsid w:val="00BF3CF6"/>
    <w:rsid w:val="00C541BE"/>
    <w:rsid w:val="00C9406F"/>
    <w:rsid w:val="00C95954"/>
    <w:rsid w:val="00CA5A86"/>
    <w:rsid w:val="00CB6700"/>
    <w:rsid w:val="00CC7454"/>
    <w:rsid w:val="00CD351E"/>
    <w:rsid w:val="00CE7201"/>
    <w:rsid w:val="00D210A4"/>
    <w:rsid w:val="00D2179A"/>
    <w:rsid w:val="00D309DD"/>
    <w:rsid w:val="00D512FA"/>
    <w:rsid w:val="00D64760"/>
    <w:rsid w:val="00D7671C"/>
    <w:rsid w:val="00D93860"/>
    <w:rsid w:val="00DA4554"/>
    <w:rsid w:val="00DA6777"/>
    <w:rsid w:val="00DD085A"/>
    <w:rsid w:val="00E22F86"/>
    <w:rsid w:val="00E34053"/>
    <w:rsid w:val="00E46C63"/>
    <w:rsid w:val="00E55401"/>
    <w:rsid w:val="00EC3C04"/>
    <w:rsid w:val="00EC668B"/>
    <w:rsid w:val="00F00224"/>
    <w:rsid w:val="00F17B2C"/>
    <w:rsid w:val="00F254E5"/>
    <w:rsid w:val="00F434DA"/>
    <w:rsid w:val="00F74429"/>
    <w:rsid w:val="00FC1C7D"/>
    <w:rsid w:val="4FE807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2E1C6"/>
  <w15:chartTrackingRefBased/>
  <w15:docId w15:val="{69FADEB1-A099-C04F-8447-ACCE65D7D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6C6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D6C6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D6C6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D6C6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D6C6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D6C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6C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6C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6C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6C6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D6C6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D6C6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D6C6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D6C6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D6C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6C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6C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6C6F"/>
    <w:rPr>
      <w:rFonts w:eastAsiaTheme="majorEastAsia" w:cstheme="majorBidi"/>
      <w:color w:val="272727" w:themeColor="text1" w:themeTint="D8"/>
    </w:rPr>
  </w:style>
  <w:style w:type="paragraph" w:styleId="Title">
    <w:name w:val="Title"/>
    <w:basedOn w:val="Normal"/>
    <w:next w:val="Normal"/>
    <w:link w:val="TitleChar"/>
    <w:uiPriority w:val="10"/>
    <w:qFormat/>
    <w:rsid w:val="001D6C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6C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6C6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6C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6C6F"/>
    <w:pPr>
      <w:spacing w:before="160"/>
      <w:jc w:val="center"/>
    </w:pPr>
    <w:rPr>
      <w:i/>
      <w:iCs/>
      <w:color w:val="404040" w:themeColor="text1" w:themeTint="BF"/>
    </w:rPr>
  </w:style>
  <w:style w:type="character" w:customStyle="1" w:styleId="QuoteChar">
    <w:name w:val="Quote Char"/>
    <w:basedOn w:val="DefaultParagraphFont"/>
    <w:link w:val="Quote"/>
    <w:uiPriority w:val="29"/>
    <w:rsid w:val="001D6C6F"/>
    <w:rPr>
      <w:i/>
      <w:iCs/>
      <w:color w:val="404040" w:themeColor="text1" w:themeTint="BF"/>
    </w:rPr>
  </w:style>
  <w:style w:type="paragraph" w:styleId="ListParagraph">
    <w:name w:val="List Paragraph"/>
    <w:basedOn w:val="Normal"/>
    <w:uiPriority w:val="34"/>
    <w:qFormat/>
    <w:rsid w:val="001D6C6F"/>
    <w:pPr>
      <w:ind w:left="720"/>
      <w:contextualSpacing/>
    </w:pPr>
  </w:style>
  <w:style w:type="character" w:styleId="IntenseEmphasis">
    <w:name w:val="Intense Emphasis"/>
    <w:basedOn w:val="DefaultParagraphFont"/>
    <w:uiPriority w:val="21"/>
    <w:qFormat/>
    <w:rsid w:val="001D6C6F"/>
    <w:rPr>
      <w:i/>
      <w:iCs/>
      <w:color w:val="0F4761" w:themeColor="accent1" w:themeShade="BF"/>
    </w:rPr>
  </w:style>
  <w:style w:type="paragraph" w:styleId="IntenseQuote">
    <w:name w:val="Intense Quote"/>
    <w:basedOn w:val="Normal"/>
    <w:next w:val="Normal"/>
    <w:link w:val="IntenseQuoteChar"/>
    <w:uiPriority w:val="30"/>
    <w:qFormat/>
    <w:rsid w:val="001D6C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D6C6F"/>
    <w:rPr>
      <w:i/>
      <w:iCs/>
      <w:color w:val="0F4761" w:themeColor="accent1" w:themeShade="BF"/>
    </w:rPr>
  </w:style>
  <w:style w:type="character" w:styleId="IntenseReference">
    <w:name w:val="Intense Reference"/>
    <w:basedOn w:val="DefaultParagraphFont"/>
    <w:uiPriority w:val="32"/>
    <w:qFormat/>
    <w:rsid w:val="001D6C6F"/>
    <w:rPr>
      <w:b/>
      <w:bCs/>
      <w:smallCaps/>
      <w:color w:val="0F4761" w:themeColor="accent1" w:themeShade="BF"/>
      <w:spacing w:val="5"/>
    </w:rPr>
  </w:style>
  <w:style w:type="paragraph" w:styleId="NormalWeb">
    <w:name w:val="Normal (Web)"/>
    <w:basedOn w:val="Normal"/>
    <w:uiPriority w:val="99"/>
    <w:semiHidden/>
    <w:unhideWhenUsed/>
    <w:rsid w:val="00004347"/>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semiHidden/>
    <w:unhideWhenUsed/>
    <w:rsid w:val="00004347"/>
    <w:rPr>
      <w:color w:val="0000FF"/>
      <w:u w:val="single"/>
    </w:rPr>
  </w:style>
  <w:style w:type="paragraph" w:styleId="Header">
    <w:name w:val="header"/>
    <w:basedOn w:val="Normal"/>
    <w:link w:val="HeaderChar"/>
    <w:uiPriority w:val="99"/>
    <w:unhideWhenUsed/>
    <w:rsid w:val="009825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25FF"/>
  </w:style>
  <w:style w:type="paragraph" w:styleId="Footer">
    <w:name w:val="footer"/>
    <w:basedOn w:val="Normal"/>
    <w:link w:val="FooterChar"/>
    <w:uiPriority w:val="99"/>
    <w:unhideWhenUsed/>
    <w:rsid w:val="009825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25FF"/>
  </w:style>
  <w:style w:type="character" w:styleId="PageNumber">
    <w:name w:val="page number"/>
    <w:basedOn w:val="DefaultParagraphFont"/>
    <w:uiPriority w:val="99"/>
    <w:semiHidden/>
    <w:unhideWhenUsed/>
    <w:rsid w:val="009825FF"/>
  </w:style>
  <w:style w:type="table" w:styleId="TableGrid">
    <w:name w:val="Table Grid"/>
    <w:basedOn w:val="TableNormal"/>
    <w:uiPriority w:val="39"/>
    <w:rsid w:val="009A25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204343"/>
    <w:pPr>
      <w:tabs>
        <w:tab w:val="left" w:pos="380"/>
      </w:tabs>
      <w:spacing w:after="240" w:line="24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obank.ndph.ox.ac.uk/showcase/showcase/docs/brain_mri.pdf"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biobank.ndph.ox.ac.uk/ukb/ukb/docs/PPP_Phase_1_QC_dataset_companion_doc.pdf"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F563AF-7FF3-E546-9085-A9FE7BA86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12</Pages>
  <Words>10116</Words>
  <Characters>57664</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Maddy Alexander</dc:creator>
  <cp:keywords/>
  <dc:description/>
  <cp:lastModifiedBy>Maddy Alexander</cp:lastModifiedBy>
  <cp:revision>60</cp:revision>
  <dcterms:created xsi:type="dcterms:W3CDTF">2026-03-21T14:25:00Z</dcterms:created>
  <dcterms:modified xsi:type="dcterms:W3CDTF">2026-04-22T18:09:00Z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id="4IiDwfa4"/&gt;&lt;style id="http://www.zotero.org/styles/american-medical-association" hasBibliography="1" bibliographyStyleHasBeenSet="1"/&gt;&lt;prefs&gt;&lt;pref name="fieldType" value="Field"/&gt;&lt;pref name="auto</vt:lpwstr>
  </property>
  <property fmtid="{D5CDD505-2E9C-101B-9397-08002B2CF9AE}" pid="3" name="ZOTERO_PREF_2">
    <vt:lpwstr>maticJournalAbbreviations" value="true"/&gt;&lt;/prefs&gt;&lt;/data&gt;</vt:lpwstr>
  </property>
</Properties>
</file>