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C69CA" w14:textId="77777777" w:rsidR="00241F45" w:rsidRPr="00241F45" w:rsidRDefault="00241F45" w:rsidP="00241F45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en-ZA"/>
        </w:rPr>
      </w:pPr>
      <w:r w:rsidRPr="00241F4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en-ZA"/>
        </w:rPr>
        <w:t>STROBE Statement—Checklist of Items for Cross-Sectional Studies</w:t>
      </w:r>
    </w:p>
    <w:p w14:paraId="77332041" w14:textId="77777777" w:rsidR="00241F45" w:rsidRPr="00241F45" w:rsidRDefault="00241F45" w:rsidP="00241F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en-ZA"/>
        </w:rPr>
      </w:pPr>
      <w:r w:rsidRPr="00241F4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en-ZA"/>
        </w:rPr>
        <w:t>Manuscript Title:</w:t>
      </w:r>
      <w:r w:rsidRPr="00241F45">
        <w:rPr>
          <w:rFonts w:ascii="Times New Roman" w:eastAsia="Times New Roman" w:hAnsi="Times New Roman" w:cs="Times New Roman"/>
          <w:color w:val="0F1115"/>
          <w:sz w:val="28"/>
          <w:szCs w:val="28"/>
          <w:lang w:eastAsia="en-ZA"/>
        </w:rPr>
        <w:t> Calcium Intake Deficit in Systemic Lupus Erythematosus and Its Association with Lupus Risk: A Population-Based Cross-Sectional Study Using NHANES 2001–2023</w:t>
      </w:r>
    </w:p>
    <w:p w14:paraId="7F694E74" w14:textId="77777777" w:rsidR="00241F45" w:rsidRPr="00241F45" w:rsidRDefault="00241F45" w:rsidP="00241F4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en-ZA"/>
        </w:rPr>
      </w:pPr>
      <w:r w:rsidRPr="00241F4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en-ZA"/>
        </w:rPr>
        <w:t>Authors:</w:t>
      </w:r>
      <w:r w:rsidRPr="00241F45">
        <w:rPr>
          <w:rFonts w:ascii="Times New Roman" w:eastAsia="Times New Roman" w:hAnsi="Times New Roman" w:cs="Times New Roman"/>
          <w:color w:val="0F1115"/>
          <w:sz w:val="28"/>
          <w:szCs w:val="28"/>
          <w:lang w:eastAsia="en-ZA"/>
        </w:rPr>
        <w:t xml:space="preserve"> Alvine Ciananga, MD; </w:t>
      </w:r>
      <w:proofErr w:type="spellStart"/>
      <w:r w:rsidRPr="00241F45">
        <w:rPr>
          <w:rFonts w:ascii="Times New Roman" w:eastAsia="Times New Roman" w:hAnsi="Times New Roman" w:cs="Times New Roman"/>
          <w:color w:val="0F1115"/>
          <w:sz w:val="28"/>
          <w:szCs w:val="28"/>
          <w:lang w:eastAsia="en-ZA"/>
        </w:rPr>
        <w:t>Gerlence</w:t>
      </w:r>
      <w:proofErr w:type="spellEnd"/>
      <w:r w:rsidRPr="00241F45">
        <w:rPr>
          <w:rFonts w:ascii="Times New Roman" w:eastAsia="Times New Roman" w:hAnsi="Times New Roman" w:cs="Times New Roman"/>
          <w:color w:val="0F1115"/>
          <w:sz w:val="28"/>
          <w:szCs w:val="28"/>
          <w:lang w:eastAsia="en-ZA"/>
        </w:rPr>
        <w:t xml:space="preserve"> </w:t>
      </w:r>
      <w:proofErr w:type="spellStart"/>
      <w:r w:rsidRPr="00241F45">
        <w:rPr>
          <w:rFonts w:ascii="Times New Roman" w:eastAsia="Times New Roman" w:hAnsi="Times New Roman" w:cs="Times New Roman"/>
          <w:color w:val="0F1115"/>
          <w:sz w:val="28"/>
          <w:szCs w:val="28"/>
          <w:lang w:eastAsia="en-ZA"/>
        </w:rPr>
        <w:t>Munimba</w:t>
      </w:r>
      <w:proofErr w:type="spellEnd"/>
      <w:r w:rsidRPr="00241F45">
        <w:rPr>
          <w:rFonts w:ascii="Times New Roman" w:eastAsia="Times New Roman" w:hAnsi="Times New Roman" w:cs="Times New Roman"/>
          <w:color w:val="0F1115"/>
          <w:sz w:val="28"/>
          <w:szCs w:val="28"/>
          <w:lang w:eastAsia="en-ZA"/>
        </w:rPr>
        <w:t xml:space="preserve"> </w:t>
      </w:r>
      <w:proofErr w:type="spellStart"/>
      <w:r w:rsidRPr="00241F45">
        <w:rPr>
          <w:rFonts w:ascii="Times New Roman" w:eastAsia="Times New Roman" w:hAnsi="Times New Roman" w:cs="Times New Roman"/>
          <w:color w:val="0F1115"/>
          <w:sz w:val="28"/>
          <w:szCs w:val="28"/>
          <w:lang w:eastAsia="en-ZA"/>
        </w:rPr>
        <w:t>Kambere</w:t>
      </w:r>
      <w:proofErr w:type="spellEnd"/>
      <w:r w:rsidRPr="00241F45">
        <w:rPr>
          <w:rFonts w:ascii="Times New Roman" w:eastAsia="Times New Roman" w:hAnsi="Times New Roman" w:cs="Times New Roman"/>
          <w:color w:val="0F1115"/>
          <w:sz w:val="28"/>
          <w:szCs w:val="28"/>
          <w:lang w:eastAsia="en-ZA"/>
        </w:rPr>
        <w:t>, MD</w:t>
      </w:r>
    </w:p>
    <w:tbl>
      <w:tblPr>
        <w:tblStyle w:val="ListTable3-Accent3"/>
        <w:tblW w:w="0" w:type="auto"/>
        <w:tblLook w:val="04A0" w:firstRow="1" w:lastRow="0" w:firstColumn="1" w:lastColumn="0" w:noHBand="0" w:noVBand="1"/>
      </w:tblPr>
      <w:tblGrid>
        <w:gridCol w:w="1751"/>
        <w:gridCol w:w="2634"/>
        <w:gridCol w:w="2131"/>
        <w:gridCol w:w="2500"/>
      </w:tblGrid>
      <w:tr w:rsidR="005227C6" w:rsidRPr="00241F45" w14:paraId="1E8B766F" w14:textId="77777777" w:rsidTr="00E41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05F3A743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Item No.</w:t>
            </w:r>
          </w:p>
        </w:tc>
        <w:tc>
          <w:tcPr>
            <w:tcW w:w="0" w:type="auto"/>
            <w:hideMark/>
          </w:tcPr>
          <w:p w14:paraId="6F647733" w14:textId="77777777" w:rsidR="00241F45" w:rsidRPr="00241F45" w:rsidRDefault="00241F45" w:rsidP="00241F45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Recommendation</w:t>
            </w:r>
          </w:p>
        </w:tc>
        <w:tc>
          <w:tcPr>
            <w:tcW w:w="0" w:type="auto"/>
            <w:hideMark/>
          </w:tcPr>
          <w:p w14:paraId="7C3DD2C4" w14:textId="77777777" w:rsidR="00241F45" w:rsidRPr="00241F45" w:rsidRDefault="00241F45" w:rsidP="00241F45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Reported on Page / Section</w:t>
            </w:r>
          </w:p>
        </w:tc>
        <w:tc>
          <w:tcPr>
            <w:tcW w:w="0" w:type="auto"/>
            <w:hideMark/>
          </w:tcPr>
          <w:p w14:paraId="6ACB9120" w14:textId="77777777" w:rsidR="00241F45" w:rsidRPr="00241F45" w:rsidRDefault="00241F45" w:rsidP="00241F45">
            <w:pPr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Comments</w:t>
            </w:r>
          </w:p>
        </w:tc>
      </w:tr>
      <w:tr w:rsidR="005227C6" w:rsidRPr="00241F45" w14:paraId="7F26FBA1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4B32E6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Title and abstract</w:t>
            </w:r>
          </w:p>
        </w:tc>
        <w:tc>
          <w:tcPr>
            <w:tcW w:w="0" w:type="auto"/>
            <w:hideMark/>
          </w:tcPr>
          <w:p w14:paraId="4AEC92B2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70C49B24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4180A42C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</w:tr>
      <w:tr w:rsidR="00241F45" w:rsidRPr="00241F45" w14:paraId="55726279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9052EA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1</w:t>
            </w:r>
          </w:p>
        </w:tc>
        <w:tc>
          <w:tcPr>
            <w:tcW w:w="0" w:type="auto"/>
            <w:hideMark/>
          </w:tcPr>
          <w:p w14:paraId="5CC9A58F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(a)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 Indicate the study's design with a commonly used term in the title or the abstract</w:t>
            </w:r>
          </w:p>
        </w:tc>
        <w:tc>
          <w:tcPr>
            <w:tcW w:w="0" w:type="auto"/>
            <w:hideMark/>
          </w:tcPr>
          <w:p w14:paraId="3EE154E3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Title, Abstract (Background)</w:t>
            </w:r>
          </w:p>
        </w:tc>
        <w:tc>
          <w:tcPr>
            <w:tcW w:w="0" w:type="auto"/>
            <w:hideMark/>
          </w:tcPr>
          <w:p w14:paraId="65825E8E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"Population-Based Cross-Sectional Study"</w:t>
            </w:r>
          </w:p>
        </w:tc>
      </w:tr>
      <w:tr w:rsidR="005227C6" w:rsidRPr="00241F45" w14:paraId="35E67A24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38A396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37E86CFC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(b)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 Provide in the abstract an informative and balanced summary of what was done and what was found</w:t>
            </w:r>
          </w:p>
        </w:tc>
        <w:tc>
          <w:tcPr>
            <w:tcW w:w="0" w:type="auto"/>
            <w:hideMark/>
          </w:tcPr>
          <w:p w14:paraId="6AA9E1ED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Abstract</w:t>
            </w:r>
          </w:p>
        </w:tc>
        <w:tc>
          <w:tcPr>
            <w:tcW w:w="0" w:type="auto"/>
            <w:hideMark/>
          </w:tcPr>
          <w:p w14:paraId="124D2DE6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Structured abstract with Background, Methods, Results, Conclusions</w:t>
            </w:r>
          </w:p>
        </w:tc>
      </w:tr>
      <w:tr w:rsidR="00241F45" w:rsidRPr="00241F45" w14:paraId="7D6F90D5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E889A6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Introduction</w:t>
            </w:r>
          </w:p>
        </w:tc>
        <w:tc>
          <w:tcPr>
            <w:tcW w:w="0" w:type="auto"/>
            <w:hideMark/>
          </w:tcPr>
          <w:p w14:paraId="24F58597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7A12B4FD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3AB64486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</w:tr>
      <w:tr w:rsidR="005227C6" w:rsidRPr="00241F45" w14:paraId="7CCDC85B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143882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2</w:t>
            </w:r>
          </w:p>
        </w:tc>
        <w:tc>
          <w:tcPr>
            <w:tcW w:w="0" w:type="auto"/>
            <w:hideMark/>
          </w:tcPr>
          <w:p w14:paraId="6EC8BA40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hideMark/>
          </w:tcPr>
          <w:p w14:paraId="259E2017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Introduction, paragraphs 1–3</w:t>
            </w:r>
          </w:p>
        </w:tc>
        <w:tc>
          <w:tcPr>
            <w:tcW w:w="0" w:type="auto"/>
            <w:hideMark/>
          </w:tcPr>
          <w:p w14:paraId="3E41C921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 xml:space="preserve">Describes SLE burden, calcium's role in immune </w:t>
            </w:r>
            <w:proofErr w:type="spellStart"/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signaling</w:t>
            </w:r>
            <w:proofErr w:type="spellEnd"/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/bone health, prior NHANES III findings, and Mendelian randomization evidence</w:t>
            </w:r>
          </w:p>
        </w:tc>
      </w:tr>
      <w:tr w:rsidR="00241F45" w:rsidRPr="00241F45" w14:paraId="4DC92AEF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8C554C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3</w:t>
            </w:r>
          </w:p>
        </w:tc>
        <w:tc>
          <w:tcPr>
            <w:tcW w:w="0" w:type="auto"/>
            <w:hideMark/>
          </w:tcPr>
          <w:p w14:paraId="0BB149C3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 xml:space="preserve">State specific objectives, including 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lastRenderedPageBreak/>
              <w:t>any prespecified hypotheses</w:t>
            </w:r>
          </w:p>
        </w:tc>
        <w:tc>
          <w:tcPr>
            <w:tcW w:w="0" w:type="auto"/>
            <w:hideMark/>
          </w:tcPr>
          <w:p w14:paraId="2B6768C6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lastRenderedPageBreak/>
              <w:t>Introduction, final paragraph</w:t>
            </w:r>
          </w:p>
        </w:tc>
        <w:tc>
          <w:tcPr>
            <w:tcW w:w="0" w:type="auto"/>
            <w:hideMark/>
          </w:tcPr>
          <w:p w14:paraId="392B50D7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 xml:space="preserve">Three explicit objectives: (1) quantify calcium 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lastRenderedPageBreak/>
              <w:t>deficit, (2) estimate association with lupus risk, (3) examine composite nutritional score</w:t>
            </w:r>
          </w:p>
        </w:tc>
      </w:tr>
      <w:tr w:rsidR="005227C6" w:rsidRPr="00241F45" w14:paraId="09E976D2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810311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lastRenderedPageBreak/>
              <w:t>Methods</w:t>
            </w:r>
          </w:p>
        </w:tc>
        <w:tc>
          <w:tcPr>
            <w:tcW w:w="0" w:type="auto"/>
            <w:hideMark/>
          </w:tcPr>
          <w:p w14:paraId="255F80C3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5BDB8DA8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10D6578D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</w:tr>
      <w:tr w:rsidR="00241F45" w:rsidRPr="00241F45" w14:paraId="351CA5D5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800B69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4</w:t>
            </w:r>
          </w:p>
        </w:tc>
        <w:tc>
          <w:tcPr>
            <w:tcW w:w="0" w:type="auto"/>
            <w:hideMark/>
          </w:tcPr>
          <w:p w14:paraId="3742B308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Present key elements of study design early in the paper</w:t>
            </w:r>
          </w:p>
        </w:tc>
        <w:tc>
          <w:tcPr>
            <w:tcW w:w="0" w:type="auto"/>
            <w:hideMark/>
          </w:tcPr>
          <w:p w14:paraId="14DB055D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Methods, "Study design and data source"</w:t>
            </w:r>
          </w:p>
        </w:tc>
        <w:tc>
          <w:tcPr>
            <w:tcW w:w="0" w:type="auto"/>
            <w:hideMark/>
          </w:tcPr>
          <w:p w14:paraId="316970E4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Cross-sectional analysis of pooled NHANES cycles (2001–2023)</w:t>
            </w:r>
          </w:p>
        </w:tc>
      </w:tr>
      <w:tr w:rsidR="005227C6" w:rsidRPr="00241F45" w14:paraId="55BF0BD6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12AF67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5</w:t>
            </w:r>
          </w:p>
        </w:tc>
        <w:tc>
          <w:tcPr>
            <w:tcW w:w="0" w:type="auto"/>
            <w:hideMark/>
          </w:tcPr>
          <w:p w14:paraId="12DFBFCA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hideMark/>
          </w:tcPr>
          <w:p w14:paraId="2CCD52CB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Methods, "Study design and data source"</w:t>
            </w:r>
          </w:p>
        </w:tc>
        <w:tc>
          <w:tcPr>
            <w:tcW w:w="0" w:type="auto"/>
            <w:hideMark/>
          </w:tcPr>
          <w:p w14:paraId="5BEE083E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11 NHANES cycles listed with years; US non-institutionalized civilian population</w:t>
            </w:r>
          </w:p>
        </w:tc>
      </w:tr>
      <w:tr w:rsidR="00241F45" w:rsidRPr="00241F45" w14:paraId="15B8DEC3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35FE5D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6</w:t>
            </w:r>
          </w:p>
        </w:tc>
        <w:tc>
          <w:tcPr>
            <w:tcW w:w="0" w:type="auto"/>
            <w:hideMark/>
          </w:tcPr>
          <w:p w14:paraId="3B6C05A9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(a)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 Give the eligibility criteria, and the sources and methods of selection of participants</w:t>
            </w:r>
          </w:p>
        </w:tc>
        <w:tc>
          <w:tcPr>
            <w:tcW w:w="0" w:type="auto"/>
            <w:hideMark/>
          </w:tcPr>
          <w:p w14:paraId="3A21EFFF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Methods, "Study population and SLE ascertainment"</w:t>
            </w:r>
          </w:p>
        </w:tc>
        <w:tc>
          <w:tcPr>
            <w:tcW w:w="0" w:type="auto"/>
            <w:hideMark/>
          </w:tcPr>
          <w:p w14:paraId="4300EE0A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Age ≥18 years; complete data for MCQ191; self-reported physician diagnosis of SLE</w:t>
            </w:r>
          </w:p>
        </w:tc>
      </w:tr>
      <w:tr w:rsidR="005227C6" w:rsidRPr="00241F45" w14:paraId="0ED29ED5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468C3E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5D7F2992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(b)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 For matched studies, give matching criteria and number of exposed and unexposed</w:t>
            </w:r>
          </w:p>
        </w:tc>
        <w:tc>
          <w:tcPr>
            <w:tcW w:w="0" w:type="auto"/>
            <w:hideMark/>
          </w:tcPr>
          <w:p w14:paraId="726ABA66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Not applicable</w:t>
            </w:r>
          </w:p>
        </w:tc>
        <w:tc>
          <w:tcPr>
            <w:tcW w:w="0" w:type="auto"/>
            <w:hideMark/>
          </w:tcPr>
          <w:p w14:paraId="037DDEA2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Not a matched study design</w:t>
            </w:r>
          </w:p>
        </w:tc>
      </w:tr>
      <w:tr w:rsidR="00241F45" w:rsidRPr="00241F45" w14:paraId="6932D8A4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240AC6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7</w:t>
            </w:r>
          </w:p>
        </w:tc>
        <w:tc>
          <w:tcPr>
            <w:tcW w:w="0" w:type="auto"/>
            <w:hideMark/>
          </w:tcPr>
          <w:p w14:paraId="1EBE2D04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  <w:hideMark/>
          </w:tcPr>
          <w:p w14:paraId="00D1B931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Methods, "Dietary calcium assessment," "Composite nutritional score," "Covariates"</w:t>
            </w:r>
          </w:p>
        </w:tc>
        <w:tc>
          <w:tcPr>
            <w:tcW w:w="0" w:type="auto"/>
            <w:hideMark/>
          </w:tcPr>
          <w:p w14:paraId="08BA2BE6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 xml:space="preserve">Calcium adequacy (≥1,000 mg/day); vitamin B12 adequacy (≥5 </w:t>
            </w:r>
            <w:proofErr w:type="spellStart"/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μg</w:t>
            </w:r>
            <w:proofErr w:type="spellEnd"/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/day); covariates listed (age, sex, race/ethnicity, BMI, smoking, energy intake)</w:t>
            </w:r>
          </w:p>
        </w:tc>
      </w:tr>
      <w:tr w:rsidR="005227C6" w:rsidRPr="00241F45" w14:paraId="482B2069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ADF8DC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14:paraId="5330FA05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  <w:hideMark/>
          </w:tcPr>
          <w:p w14:paraId="18F47373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Methods, "Dietary calcium assessment"</w:t>
            </w:r>
          </w:p>
        </w:tc>
        <w:tc>
          <w:tcPr>
            <w:tcW w:w="0" w:type="auto"/>
            <w:hideMark/>
          </w:tcPr>
          <w:p w14:paraId="74FDD040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Two 24-hour dietary recalls using AMPM; DR1TCALC and DR2TCALC variables specified; identical methods for SLE and non-SLE groups</w:t>
            </w:r>
          </w:p>
        </w:tc>
      </w:tr>
      <w:tr w:rsidR="00241F45" w:rsidRPr="00241F45" w14:paraId="1434F190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872B0B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9</w:t>
            </w:r>
          </w:p>
        </w:tc>
        <w:tc>
          <w:tcPr>
            <w:tcW w:w="0" w:type="auto"/>
            <w:hideMark/>
          </w:tcPr>
          <w:p w14:paraId="118B291A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Describe any efforts to address potential sources of bias</w:t>
            </w:r>
          </w:p>
        </w:tc>
        <w:tc>
          <w:tcPr>
            <w:tcW w:w="0" w:type="auto"/>
            <w:hideMark/>
          </w:tcPr>
          <w:p w14:paraId="22B497B3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Methods, "Statistical analysis"</w:t>
            </w:r>
          </w:p>
        </w:tc>
        <w:tc>
          <w:tcPr>
            <w:tcW w:w="0" w:type="auto"/>
            <w:hideMark/>
          </w:tcPr>
          <w:p w14:paraId="052C6BEC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Use of NHANES complex survey weights; adjustment for total energy intake to account for dietary volume confounding; multivariable adjustment</w:t>
            </w:r>
          </w:p>
        </w:tc>
      </w:tr>
      <w:tr w:rsidR="005227C6" w:rsidRPr="00241F45" w14:paraId="04AAB351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23D6F6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10</w:t>
            </w:r>
          </w:p>
        </w:tc>
        <w:tc>
          <w:tcPr>
            <w:tcW w:w="0" w:type="auto"/>
            <w:hideMark/>
          </w:tcPr>
          <w:p w14:paraId="4FFA774E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Explain how the study size was arrived at</w:t>
            </w:r>
          </w:p>
        </w:tc>
        <w:tc>
          <w:tcPr>
            <w:tcW w:w="0" w:type="auto"/>
            <w:hideMark/>
          </w:tcPr>
          <w:p w14:paraId="56BFC04E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Methods, "Study population and SLE ascertainment"</w:t>
            </w:r>
          </w:p>
        </w:tc>
        <w:tc>
          <w:tcPr>
            <w:tcW w:w="0" w:type="auto"/>
            <w:hideMark/>
          </w:tcPr>
          <w:p w14:paraId="1541496E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All eligible NHANES participants across 11 cycles; final N = 103,284 (316 SLE, 102,968 non-SLE)</w:t>
            </w:r>
          </w:p>
        </w:tc>
      </w:tr>
      <w:tr w:rsidR="00241F45" w:rsidRPr="00241F45" w14:paraId="62095518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ADE04D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11</w:t>
            </w:r>
          </w:p>
        </w:tc>
        <w:tc>
          <w:tcPr>
            <w:tcW w:w="0" w:type="auto"/>
            <w:hideMark/>
          </w:tcPr>
          <w:p w14:paraId="6082B473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  <w:hideMark/>
          </w:tcPr>
          <w:p w14:paraId="11518EC0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Methods, "Dietary calcium assessment," "Composite nutritional score"</w:t>
            </w:r>
          </w:p>
        </w:tc>
        <w:tc>
          <w:tcPr>
            <w:tcW w:w="0" w:type="auto"/>
            <w:hideMark/>
          </w:tcPr>
          <w:p w14:paraId="00DE0F9B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Calcium dichotomized at 1,000 mg/day per IOM recommendations; nutritional score as ordinal (0–2); age, BMI, energy intake as continuous</w:t>
            </w:r>
          </w:p>
        </w:tc>
      </w:tr>
      <w:tr w:rsidR="005227C6" w:rsidRPr="00241F45" w14:paraId="2F0754B5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1264DF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14:paraId="2BB47436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(a)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 Describe all statistical methods, including those used to control for confounding</w:t>
            </w:r>
          </w:p>
        </w:tc>
        <w:tc>
          <w:tcPr>
            <w:tcW w:w="0" w:type="auto"/>
            <w:hideMark/>
          </w:tcPr>
          <w:p w14:paraId="44DB141C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Methods, "Statistical analysis"</w:t>
            </w:r>
          </w:p>
        </w:tc>
        <w:tc>
          <w:tcPr>
            <w:tcW w:w="0" w:type="auto"/>
            <w:hideMark/>
          </w:tcPr>
          <w:p w14:paraId="239F3D81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Survey-weighted logistic regression; adjustment for age, sex, race/ethnicity, BMI, smoking, energy intake</w:t>
            </w:r>
          </w:p>
        </w:tc>
      </w:tr>
      <w:tr w:rsidR="00241F45" w:rsidRPr="00241F45" w14:paraId="4BEDE263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496B3C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66A3C193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(b)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 Describe any methods used to examine subgroups and interactions</w:t>
            </w:r>
          </w:p>
        </w:tc>
        <w:tc>
          <w:tcPr>
            <w:tcW w:w="0" w:type="auto"/>
            <w:hideMark/>
          </w:tcPr>
          <w:p w14:paraId="33460A02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Not applicable</w:t>
            </w:r>
          </w:p>
        </w:tc>
        <w:tc>
          <w:tcPr>
            <w:tcW w:w="0" w:type="auto"/>
            <w:hideMark/>
          </w:tcPr>
          <w:p w14:paraId="20FAADE5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Subgroup analyses not performed due to limited SLE sample size (n = 316)</w:t>
            </w:r>
          </w:p>
        </w:tc>
      </w:tr>
      <w:tr w:rsidR="005227C6" w:rsidRPr="00241F45" w14:paraId="3FCE3FC1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12D2A6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6D27E63F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(c)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 Explain how missing data were addressed</w:t>
            </w:r>
          </w:p>
        </w:tc>
        <w:tc>
          <w:tcPr>
            <w:tcW w:w="0" w:type="auto"/>
            <w:hideMark/>
          </w:tcPr>
          <w:p w14:paraId="2EB8E4B8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Methods, "Dietary calcium assessment"</w:t>
            </w:r>
          </w:p>
        </w:tc>
        <w:tc>
          <w:tcPr>
            <w:tcW w:w="0" w:type="auto"/>
            <w:hideMark/>
          </w:tcPr>
          <w:p w14:paraId="062B2244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Participants with only one dietary recall excluded from calcium analyses (n = 3,218)</w:t>
            </w:r>
          </w:p>
        </w:tc>
      </w:tr>
      <w:tr w:rsidR="00241F45" w:rsidRPr="00241F45" w14:paraId="469CCAA0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7099AA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08C404B3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(d)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 If applicable, describe analytical methods taking account of sampling strategy</w:t>
            </w:r>
          </w:p>
        </w:tc>
        <w:tc>
          <w:tcPr>
            <w:tcW w:w="0" w:type="auto"/>
            <w:hideMark/>
          </w:tcPr>
          <w:p w14:paraId="62F4F6C1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Methods, "Statistical analysis"</w:t>
            </w:r>
          </w:p>
        </w:tc>
        <w:tc>
          <w:tcPr>
            <w:tcW w:w="0" w:type="auto"/>
            <w:hideMark/>
          </w:tcPr>
          <w:p w14:paraId="6AAB3F00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NHANES complex survey design incorporated using R </w:t>
            </w: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survey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 package; weights adjusted per NCHS guidelines for pooled cycles</w:t>
            </w:r>
          </w:p>
        </w:tc>
      </w:tr>
      <w:tr w:rsidR="005227C6" w:rsidRPr="00241F45" w14:paraId="51C6C2D5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163DFC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5854A890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(e)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 Describe any sensitivity analyses</w:t>
            </w:r>
          </w:p>
        </w:tc>
        <w:tc>
          <w:tcPr>
            <w:tcW w:w="0" w:type="auto"/>
            <w:hideMark/>
          </w:tcPr>
          <w:p w14:paraId="42D3891C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Not reported</w:t>
            </w:r>
          </w:p>
        </w:tc>
        <w:tc>
          <w:tcPr>
            <w:tcW w:w="0" w:type="auto"/>
            <w:hideMark/>
          </w:tcPr>
          <w:p w14:paraId="483FC71F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No sensitivity analyses conducted</w:t>
            </w:r>
          </w:p>
        </w:tc>
      </w:tr>
      <w:tr w:rsidR="00241F45" w:rsidRPr="00241F45" w14:paraId="17BCCD27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2D45A9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Results</w:t>
            </w:r>
          </w:p>
        </w:tc>
        <w:tc>
          <w:tcPr>
            <w:tcW w:w="0" w:type="auto"/>
            <w:hideMark/>
          </w:tcPr>
          <w:p w14:paraId="50D64DE5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48771A70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1C3E2922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</w:tr>
      <w:tr w:rsidR="005227C6" w:rsidRPr="00241F45" w14:paraId="53FE23E7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1715CD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13</w:t>
            </w:r>
          </w:p>
        </w:tc>
        <w:tc>
          <w:tcPr>
            <w:tcW w:w="0" w:type="auto"/>
            <w:hideMark/>
          </w:tcPr>
          <w:p w14:paraId="2DAC4200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(a)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 xml:space="preserve"> Report numbers of individuals at each stage of study—e.g., numbers potentially eligible, examined for eligibility, confirmed eligible, included in the study, completing follow-up, and </w:t>
            </w:r>
            <w:proofErr w:type="spellStart"/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analyzed</w:t>
            </w:r>
            <w:proofErr w:type="spellEnd"/>
          </w:p>
        </w:tc>
        <w:tc>
          <w:tcPr>
            <w:tcW w:w="0" w:type="auto"/>
            <w:hideMark/>
          </w:tcPr>
          <w:p w14:paraId="446CBC63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Methods, "Study population and SLE ascertainment"; Results, "Baseline characteristics"</w:t>
            </w:r>
          </w:p>
        </w:tc>
        <w:tc>
          <w:tcPr>
            <w:tcW w:w="0" w:type="auto"/>
            <w:hideMark/>
          </w:tcPr>
          <w:p w14:paraId="1A83F942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Final analytic sample: 316 SLE, 102,968 non-SLE; exclusions: missing MCQ191, age &lt;18, single dietary recall (n = 3,218)</w:t>
            </w:r>
          </w:p>
        </w:tc>
      </w:tr>
      <w:tr w:rsidR="00241F45" w:rsidRPr="00241F45" w14:paraId="20927A1D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B44755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3A216FBB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(b)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 Give reasons for non-participation at each stage</w:t>
            </w:r>
          </w:p>
        </w:tc>
        <w:tc>
          <w:tcPr>
            <w:tcW w:w="0" w:type="auto"/>
            <w:hideMark/>
          </w:tcPr>
          <w:p w14:paraId="2FC82955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Methods, "Dietary calcium assessment"</w:t>
            </w:r>
          </w:p>
        </w:tc>
        <w:tc>
          <w:tcPr>
            <w:tcW w:w="0" w:type="auto"/>
            <w:hideMark/>
          </w:tcPr>
          <w:p w14:paraId="2CE677E6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Participants with single recall day excluded due to inability to calculate mean intake</w:t>
            </w:r>
          </w:p>
        </w:tc>
      </w:tr>
      <w:tr w:rsidR="005227C6" w:rsidRPr="00241F45" w14:paraId="34505557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636FEC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37C96BDB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(c)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 Consider use of a flow diagram</w:t>
            </w:r>
          </w:p>
        </w:tc>
        <w:tc>
          <w:tcPr>
            <w:tcW w:w="0" w:type="auto"/>
            <w:hideMark/>
          </w:tcPr>
          <w:p w14:paraId="453B7019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Not included</w:t>
            </w:r>
          </w:p>
        </w:tc>
        <w:tc>
          <w:tcPr>
            <w:tcW w:w="0" w:type="auto"/>
            <w:hideMark/>
          </w:tcPr>
          <w:p w14:paraId="14484A1F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Flow diagram recommended for final submission</w:t>
            </w:r>
          </w:p>
        </w:tc>
      </w:tr>
      <w:tr w:rsidR="00241F45" w:rsidRPr="00241F45" w14:paraId="0609E9C5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E6A86D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14</w:t>
            </w:r>
          </w:p>
        </w:tc>
        <w:tc>
          <w:tcPr>
            <w:tcW w:w="0" w:type="auto"/>
            <w:hideMark/>
          </w:tcPr>
          <w:p w14:paraId="13D80B75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(a)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 Give characteristics of study participants (e.g., demographic, clinical, social) and information on exposures and potential confounders</w:t>
            </w:r>
          </w:p>
        </w:tc>
        <w:tc>
          <w:tcPr>
            <w:tcW w:w="0" w:type="auto"/>
            <w:hideMark/>
          </w:tcPr>
          <w:p w14:paraId="623C4146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Results, "Baseline characteristics"; Table 1</w:t>
            </w:r>
          </w:p>
        </w:tc>
        <w:tc>
          <w:tcPr>
            <w:tcW w:w="0" w:type="auto"/>
            <w:hideMark/>
          </w:tcPr>
          <w:p w14:paraId="3CA0F5FE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Age, sex, race/ethnicity, BMI, smoking status, energy intake reported</w:t>
            </w:r>
          </w:p>
        </w:tc>
      </w:tr>
      <w:tr w:rsidR="005227C6" w:rsidRPr="00241F45" w14:paraId="50B93689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59CB89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20E21D9D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(b)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 Indicate number of participants with missing data for each variable of interest</w:t>
            </w:r>
          </w:p>
        </w:tc>
        <w:tc>
          <w:tcPr>
            <w:tcW w:w="0" w:type="auto"/>
            <w:hideMark/>
          </w:tcPr>
          <w:p w14:paraId="1D96D785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Methods, "Dietary calcium assessment"</w:t>
            </w:r>
          </w:p>
        </w:tc>
        <w:tc>
          <w:tcPr>
            <w:tcW w:w="0" w:type="auto"/>
            <w:hideMark/>
          </w:tcPr>
          <w:p w14:paraId="3ED6C7BB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Reported for dietary recall data</w:t>
            </w:r>
          </w:p>
        </w:tc>
      </w:tr>
      <w:tr w:rsidR="00241F45" w:rsidRPr="00241F45" w14:paraId="3009D267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6E0B4C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15</w:t>
            </w:r>
          </w:p>
        </w:tc>
        <w:tc>
          <w:tcPr>
            <w:tcW w:w="0" w:type="auto"/>
            <w:hideMark/>
          </w:tcPr>
          <w:p w14:paraId="54B4412B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Report numbers of outcome events or summary measures</w:t>
            </w:r>
          </w:p>
        </w:tc>
        <w:tc>
          <w:tcPr>
            <w:tcW w:w="0" w:type="auto"/>
            <w:hideMark/>
          </w:tcPr>
          <w:p w14:paraId="2234F174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Results, "Calcium intake in SLE vs. non-SLE participants"; Table 2</w:t>
            </w:r>
          </w:p>
        </w:tc>
        <w:tc>
          <w:tcPr>
            <w:tcW w:w="0" w:type="auto"/>
            <w:hideMark/>
          </w:tcPr>
          <w:p w14:paraId="641FB905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Mean calcium intake: 854 mg/day (SLE) vs. 988 mg/day (non-SLE); 29.4% vs. 38.2% meeting ≥1,000 mg/day threshold</w:t>
            </w:r>
          </w:p>
        </w:tc>
      </w:tr>
      <w:tr w:rsidR="005227C6" w:rsidRPr="00241F45" w14:paraId="4C5CB7DC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D98E3E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16</w:t>
            </w:r>
          </w:p>
        </w:tc>
        <w:tc>
          <w:tcPr>
            <w:tcW w:w="0" w:type="auto"/>
            <w:hideMark/>
          </w:tcPr>
          <w:p w14:paraId="4C328550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(a)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 xml:space="preserve"> Give unadjusted estimates and, if applicable, confounder-adjusted estimates and their precision (e.g., 95% confidence interval). Make clear which 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lastRenderedPageBreak/>
              <w:t>confounders were adjusted for and why they were included</w:t>
            </w:r>
          </w:p>
        </w:tc>
        <w:tc>
          <w:tcPr>
            <w:tcW w:w="0" w:type="auto"/>
            <w:hideMark/>
          </w:tcPr>
          <w:p w14:paraId="49312F05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lastRenderedPageBreak/>
              <w:t>Results, "Association between calcium adequacy and lupus risk"; Table 3</w:t>
            </w:r>
          </w:p>
        </w:tc>
        <w:tc>
          <w:tcPr>
            <w:tcW w:w="0" w:type="auto"/>
            <w:hideMark/>
          </w:tcPr>
          <w:p w14:paraId="7EE5AE4D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Crude and adjusted ORs presented; adjusted models specified in footnote; 95% CIs provided</w:t>
            </w:r>
          </w:p>
        </w:tc>
      </w:tr>
      <w:tr w:rsidR="00241F45" w:rsidRPr="00241F45" w14:paraId="5399E80D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063E61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3693BF58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(b)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 Report category boundaries when continuous variables are categorized</w:t>
            </w:r>
          </w:p>
        </w:tc>
        <w:tc>
          <w:tcPr>
            <w:tcW w:w="0" w:type="auto"/>
            <w:hideMark/>
          </w:tcPr>
          <w:p w14:paraId="5D205DF8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Methods, "Dietary calcium assessment"</w:t>
            </w:r>
          </w:p>
        </w:tc>
        <w:tc>
          <w:tcPr>
            <w:tcW w:w="0" w:type="auto"/>
            <w:hideMark/>
          </w:tcPr>
          <w:p w14:paraId="3DC1EC7A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Calcium adequacy threshold: ≥1,000 mg/day</w:t>
            </w:r>
          </w:p>
        </w:tc>
      </w:tr>
      <w:tr w:rsidR="005227C6" w:rsidRPr="00241F45" w14:paraId="7F8D3C9C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680B7F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7C8DD9A1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en-ZA"/>
              </w:rPr>
              <w:t>(c)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 If relevant, consider translating estimates of relative risk into absolute risk for a meaningful time period</w:t>
            </w:r>
          </w:p>
        </w:tc>
        <w:tc>
          <w:tcPr>
            <w:tcW w:w="0" w:type="auto"/>
            <w:hideMark/>
          </w:tcPr>
          <w:p w14:paraId="68E2F52A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Not applicable</w:t>
            </w:r>
          </w:p>
        </w:tc>
        <w:tc>
          <w:tcPr>
            <w:tcW w:w="0" w:type="auto"/>
            <w:hideMark/>
          </w:tcPr>
          <w:p w14:paraId="65E439E0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Cross-sectional design; OR reported</w:t>
            </w:r>
          </w:p>
        </w:tc>
      </w:tr>
      <w:tr w:rsidR="00241F45" w:rsidRPr="00241F45" w14:paraId="25BE89AB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5B1EA3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17</w:t>
            </w:r>
          </w:p>
        </w:tc>
        <w:tc>
          <w:tcPr>
            <w:tcW w:w="0" w:type="auto"/>
            <w:hideMark/>
          </w:tcPr>
          <w:p w14:paraId="0AB337B2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Report other analyses done—e.g., analyses of subgroups and interactions, and sensitivity analyses</w:t>
            </w:r>
          </w:p>
        </w:tc>
        <w:tc>
          <w:tcPr>
            <w:tcW w:w="0" w:type="auto"/>
            <w:hideMark/>
          </w:tcPr>
          <w:p w14:paraId="186C7165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Results, "Composite nutritional score and lupus risk"; Table 4</w:t>
            </w:r>
          </w:p>
        </w:tc>
        <w:tc>
          <w:tcPr>
            <w:tcW w:w="0" w:type="auto"/>
            <w:hideMark/>
          </w:tcPr>
          <w:p w14:paraId="1346FF58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Composite nutritional score analysis; dose–response evaluation</w:t>
            </w:r>
          </w:p>
        </w:tc>
      </w:tr>
      <w:tr w:rsidR="005227C6" w:rsidRPr="00241F45" w14:paraId="36236186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B42F87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Discussion</w:t>
            </w:r>
          </w:p>
        </w:tc>
        <w:tc>
          <w:tcPr>
            <w:tcW w:w="0" w:type="auto"/>
            <w:hideMark/>
          </w:tcPr>
          <w:p w14:paraId="30900FAE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21B6648C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6D3C1CA2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</w:tr>
      <w:tr w:rsidR="00241F45" w:rsidRPr="00241F45" w14:paraId="1F577061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611019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18</w:t>
            </w:r>
          </w:p>
        </w:tc>
        <w:tc>
          <w:tcPr>
            <w:tcW w:w="0" w:type="auto"/>
            <w:hideMark/>
          </w:tcPr>
          <w:p w14:paraId="54B34E52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Summarize key results with reference to study objectives</w:t>
            </w:r>
          </w:p>
        </w:tc>
        <w:tc>
          <w:tcPr>
            <w:tcW w:w="0" w:type="auto"/>
            <w:hideMark/>
          </w:tcPr>
          <w:p w14:paraId="7DD08550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Discussion, "Principal findings"</w:t>
            </w:r>
          </w:p>
        </w:tc>
        <w:tc>
          <w:tcPr>
            <w:tcW w:w="0" w:type="auto"/>
            <w:hideMark/>
          </w:tcPr>
          <w:p w14:paraId="439752FC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Four principal findings enumerated; each objective addressed</w:t>
            </w:r>
          </w:p>
        </w:tc>
      </w:tr>
      <w:tr w:rsidR="005227C6" w:rsidRPr="00241F45" w14:paraId="57B32652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7F031D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19</w:t>
            </w:r>
          </w:p>
        </w:tc>
        <w:tc>
          <w:tcPr>
            <w:tcW w:w="0" w:type="auto"/>
            <w:hideMark/>
          </w:tcPr>
          <w:p w14:paraId="3BA7737C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0" w:type="auto"/>
            <w:hideMark/>
          </w:tcPr>
          <w:p w14:paraId="220630F1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Discussion, "Strengths and limitations"</w:t>
            </w:r>
          </w:p>
        </w:tc>
        <w:tc>
          <w:tcPr>
            <w:tcW w:w="0" w:type="auto"/>
            <w:hideMark/>
          </w:tcPr>
          <w:p w14:paraId="62905FAC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Cross-sectional design, self-reported SLE ascertainment, recall bias, lack of disease activity data, small SLE sample size explicitly discussed</w:t>
            </w:r>
          </w:p>
        </w:tc>
      </w:tr>
      <w:tr w:rsidR="00241F45" w:rsidRPr="00241F45" w14:paraId="0189111B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D1F3A8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20</w:t>
            </w:r>
          </w:p>
        </w:tc>
        <w:tc>
          <w:tcPr>
            <w:tcW w:w="0" w:type="auto"/>
            <w:hideMark/>
          </w:tcPr>
          <w:p w14:paraId="277D1BAC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 xml:space="preserve">Give a cautious overall interpretation of results considering 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lastRenderedPageBreak/>
              <w:t>objectives, limitations, multiplicity of analyses, results from similar studies, and other relevant evidence</w:t>
            </w:r>
          </w:p>
        </w:tc>
        <w:tc>
          <w:tcPr>
            <w:tcW w:w="0" w:type="auto"/>
            <w:hideMark/>
          </w:tcPr>
          <w:p w14:paraId="059B4C56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lastRenderedPageBreak/>
              <w:t xml:space="preserve">Discussion, "Principal findings," 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lastRenderedPageBreak/>
              <w:t>"Comparison with published literature," "Conclusion"</w:t>
            </w:r>
          </w:p>
        </w:tc>
        <w:tc>
          <w:tcPr>
            <w:tcW w:w="0" w:type="auto"/>
            <w:hideMark/>
          </w:tcPr>
          <w:p w14:paraId="31CC3138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lastRenderedPageBreak/>
              <w:t xml:space="preserve">Observational findings contextualized with </w:t>
            </w: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lastRenderedPageBreak/>
              <w:t>Mendelian randomization evidence; cautious causal language used</w:t>
            </w:r>
          </w:p>
        </w:tc>
      </w:tr>
      <w:tr w:rsidR="005227C6" w:rsidRPr="00241F45" w14:paraId="69B8DB04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61F189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lastRenderedPageBreak/>
              <w:t>21</w:t>
            </w:r>
          </w:p>
        </w:tc>
        <w:tc>
          <w:tcPr>
            <w:tcW w:w="0" w:type="auto"/>
            <w:hideMark/>
          </w:tcPr>
          <w:p w14:paraId="027BB525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Discuss the generalizability (external validity) of the study results</w:t>
            </w:r>
          </w:p>
        </w:tc>
        <w:tc>
          <w:tcPr>
            <w:tcW w:w="0" w:type="auto"/>
            <w:hideMark/>
          </w:tcPr>
          <w:p w14:paraId="5EE0F709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Discussion, "Strengths and limitations"</w:t>
            </w:r>
          </w:p>
        </w:tc>
        <w:tc>
          <w:tcPr>
            <w:tcW w:w="0" w:type="auto"/>
            <w:hideMark/>
          </w:tcPr>
          <w:p w14:paraId="7771F45F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Nationally representative sampling; generalizable to US non-institutionalized adult population</w:t>
            </w:r>
          </w:p>
        </w:tc>
      </w:tr>
      <w:tr w:rsidR="00241F45" w:rsidRPr="00241F45" w14:paraId="1ABE30B0" w14:textId="77777777" w:rsidTr="00E41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B7280E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Other information</w:t>
            </w:r>
          </w:p>
        </w:tc>
        <w:tc>
          <w:tcPr>
            <w:tcW w:w="0" w:type="auto"/>
            <w:hideMark/>
          </w:tcPr>
          <w:p w14:paraId="548887BD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14CC31CF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  <w:tc>
          <w:tcPr>
            <w:tcW w:w="0" w:type="auto"/>
            <w:hideMark/>
          </w:tcPr>
          <w:p w14:paraId="789F84FF" w14:textId="77777777" w:rsidR="00241F45" w:rsidRPr="00241F45" w:rsidRDefault="00241F45" w:rsidP="00241F45">
            <w:pPr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</w:p>
        </w:tc>
      </w:tr>
      <w:tr w:rsidR="005227C6" w:rsidRPr="00241F45" w14:paraId="11CD9BFE" w14:textId="77777777" w:rsidTr="00E4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5E81C5" w14:textId="77777777" w:rsidR="00241F45" w:rsidRPr="00241F45" w:rsidRDefault="00241F45" w:rsidP="00241F4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22</w:t>
            </w:r>
          </w:p>
        </w:tc>
        <w:tc>
          <w:tcPr>
            <w:tcW w:w="0" w:type="auto"/>
            <w:hideMark/>
          </w:tcPr>
          <w:p w14:paraId="7DA50E05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hideMark/>
          </w:tcPr>
          <w:p w14:paraId="4017E382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Declarations, "Funding"</w:t>
            </w:r>
          </w:p>
        </w:tc>
        <w:tc>
          <w:tcPr>
            <w:tcW w:w="0" w:type="auto"/>
            <w:hideMark/>
          </w:tcPr>
          <w:p w14:paraId="6F7FB848" w14:textId="77777777" w:rsidR="00241F45" w:rsidRPr="00241F45" w:rsidRDefault="00241F45" w:rsidP="00241F45">
            <w:pPr>
              <w:spacing w:line="37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</w:pPr>
            <w:r w:rsidRPr="00241F45">
              <w:rPr>
                <w:rFonts w:ascii="Times New Roman" w:eastAsia="Times New Roman" w:hAnsi="Times New Roman" w:cs="Times New Roman"/>
                <w:sz w:val="28"/>
                <w:szCs w:val="28"/>
                <w:lang w:eastAsia="en-ZA"/>
              </w:rPr>
              <w:t>"This research received no external funding. No pharmaceutical or industry funding was involved."</w:t>
            </w:r>
          </w:p>
        </w:tc>
      </w:tr>
    </w:tbl>
    <w:p w14:paraId="5FC6F635" w14:textId="5239FDEC" w:rsidR="00F26714" w:rsidRDefault="00241F45">
      <w:r>
        <w:rPr>
          <w:noProof/>
        </w:rPr>
        <w:lastRenderedPageBreak/>
        <w:drawing>
          <wp:inline distT="0" distB="0" distL="0" distR="0" wp14:anchorId="15CF2BBE" wp14:editId="3D3F64AF">
            <wp:extent cx="5731510" cy="5899785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9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67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45"/>
    <w:rsid w:val="00241F45"/>
    <w:rsid w:val="005227C6"/>
    <w:rsid w:val="00E41FFB"/>
    <w:rsid w:val="00F2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279ED"/>
  <w15:chartTrackingRefBased/>
  <w15:docId w15:val="{FBBB7CF8-7DDB-417B-A39A-CC91B40F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41F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ZA"/>
    </w:rPr>
  </w:style>
  <w:style w:type="paragraph" w:styleId="Heading3">
    <w:name w:val="heading 3"/>
    <w:basedOn w:val="Normal"/>
    <w:link w:val="Heading3Char"/>
    <w:uiPriority w:val="9"/>
    <w:qFormat/>
    <w:rsid w:val="00241F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1F45"/>
    <w:rPr>
      <w:rFonts w:ascii="Times New Roman" w:eastAsia="Times New Roman" w:hAnsi="Times New Roman" w:cs="Times New Roman"/>
      <w:b/>
      <w:bCs/>
      <w:sz w:val="36"/>
      <w:szCs w:val="36"/>
      <w:lang w:eastAsia="en-ZA"/>
    </w:rPr>
  </w:style>
  <w:style w:type="character" w:customStyle="1" w:styleId="Heading3Char">
    <w:name w:val="Heading 3 Char"/>
    <w:basedOn w:val="DefaultParagraphFont"/>
    <w:link w:val="Heading3"/>
    <w:uiPriority w:val="9"/>
    <w:rsid w:val="00241F45"/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paragraph" w:customStyle="1" w:styleId="ds-markdown-paragraph">
    <w:name w:val="ds-markdown-paragraph"/>
    <w:basedOn w:val="Normal"/>
    <w:rsid w:val="00241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241F45"/>
    <w:rPr>
      <w:b/>
      <w:bCs/>
    </w:rPr>
  </w:style>
  <w:style w:type="character" w:styleId="Emphasis">
    <w:name w:val="Emphasis"/>
    <w:basedOn w:val="DefaultParagraphFont"/>
    <w:uiPriority w:val="20"/>
    <w:qFormat/>
    <w:rsid w:val="00241F45"/>
    <w:rPr>
      <w:i/>
      <w:iCs/>
    </w:rPr>
  </w:style>
  <w:style w:type="table" w:styleId="GridTable4-Accent3">
    <w:name w:val="Grid Table 4 Accent 3"/>
    <w:basedOn w:val="TableNormal"/>
    <w:uiPriority w:val="49"/>
    <w:rsid w:val="00241F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3-Accent3">
    <w:name w:val="List Table 3 Accent 3"/>
    <w:basedOn w:val="TableNormal"/>
    <w:uiPriority w:val="48"/>
    <w:rsid w:val="00241F4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1198</Words>
  <Characters>6829</Characters>
  <Application>Microsoft Office Word</Application>
  <DocSecurity>0</DocSecurity>
  <Lines>56</Lines>
  <Paragraphs>16</Paragraphs>
  <ScaleCrop>false</ScaleCrop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alvine ciananga</dc:creator>
  <cp:keywords/>
  <dc:description/>
  <cp:lastModifiedBy>alvine ciananga</cp:lastModifiedBy>
  <cp:revision>3</cp:revision>
  <cp:lastPrinted>2026-04-17T11:30:00Z</cp:lastPrinted>
  <dcterms:created xsi:type="dcterms:W3CDTF">2026-04-17T11:24:00Z</dcterms:created>
  <dcterms:modified xsi:type="dcterms:W3CDTF">2026-04-17T11:31:00Z</dcterms:modified>
</cp:coreProperties>
</file>