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319F2" w:rsidR="007319F2" w:rsidP="305908B8" w:rsidRDefault="007319F2" w14:paraId="298C3A74" w14:textId="4648C98A">
      <w:pPr>
        <w:pStyle w:val="TablesandFiguresLegend"/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5908B8" w:rsidR="369929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Table S1: Multivariable GEE analysis of factors associated with major complication: sensitivity analysis using dichotomized preprocedural hemoglobin*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5550"/>
        <w:gridCol w:w="2678"/>
        <w:gridCol w:w="2678"/>
      </w:tblGrid>
      <w:tr w:rsidR="305908B8" w:rsidTr="305908B8" w14:paraId="73C07975">
        <w:trPr>
          <w:trHeight w:val="285"/>
        </w:trPr>
        <w:tc>
          <w:tcPr>
            <w:tcW w:w="5550" w:type="dxa"/>
            <w:vMerge w:val="restart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4A85867B" w14:textId="43E0CF83">
            <w:pPr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6AA07566" w14:textId="46B179A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 Major complication</w:t>
            </w:r>
          </w:p>
        </w:tc>
      </w:tr>
      <w:tr w:rsidR="305908B8" w:rsidTr="305908B8" w14:paraId="00E5B6EB">
        <w:trPr>
          <w:trHeight w:val="285"/>
        </w:trPr>
        <w:tc>
          <w:tcPr>
            <w:tcW w:w="55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74A85150"/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00AD1F9A" w14:textId="1F249FA9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aOR (95% CI)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1E604905" w14:textId="1B9F70EB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p-</w:t>
            </w: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value</w:t>
            </w:r>
          </w:p>
        </w:tc>
      </w:tr>
      <w:tr w:rsidR="305908B8" w:rsidTr="305908B8" w14:paraId="4EFE487C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575072F0" w14:textId="3E4BCA16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Age at biopsy (years)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78E5975A" w14:textId="1C213C6B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1.01 (0.99–1.03)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C8A9F68" w14:textId="627FF626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0.26</w:t>
            </w:r>
          </w:p>
        </w:tc>
      </w:tr>
      <w:tr w:rsidR="305908B8" w:rsidTr="305908B8" w14:paraId="67F658D4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22786EAB" w14:textId="7E8BDD51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2AF3025D" w14:textId="2E8516C3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1.25 (0.66–2.38)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BAA79D1" w14:textId="04F95B4A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0.49</w:t>
            </w:r>
          </w:p>
        </w:tc>
      </w:tr>
      <w:tr w:rsidR="305908B8" w:rsidTr="305908B8" w14:paraId="499FAC5F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510CA1C1" w14:textId="22577C08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Body mass index (kg/m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2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71793FA8" w14:textId="78D69063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0.98 (0.94–1.02)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ACF02B2" w14:textId="228DAA1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0.31</w:t>
            </w:r>
          </w:p>
        </w:tc>
      </w:tr>
      <w:tr w:rsidR="305908B8" w:rsidTr="305908B8" w14:paraId="7A4E21B0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592DC87A" w14:textId="61E6437E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Preprocedural hemoglobin &lt;10 g/dL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7234FAE" w14:textId="2059A20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2.45 (1.17–5.09)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6670766" w14:textId="0CDB60BF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0.017</w:t>
            </w:r>
          </w:p>
        </w:tc>
      </w:tr>
      <w:tr w:rsidR="305908B8" w:rsidTr="305908B8" w14:paraId="35D0F0DE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5AAA4E57" w14:textId="62D80CB3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Preprocedural platelet count (×10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9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/L)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1A9E18F" w14:textId="5E5BBCFB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0.93 (0.82–1.05)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25803587" w14:textId="65B03B76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0.24</w:t>
            </w:r>
          </w:p>
        </w:tc>
      </w:tr>
      <w:tr w:rsidR="305908B8" w:rsidTr="305908B8" w14:paraId="76EBCB76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05B81E61" w14:textId="0D332A7F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Preprocedural INR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1FBCC3E" w14:textId="36011FF7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7.58 (0.63–91.84)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B9604AA" w14:textId="16A61177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0.11</w:t>
            </w:r>
          </w:p>
        </w:tc>
      </w:tr>
      <w:tr w:rsidR="305908B8" w:rsidTr="305908B8" w14:paraId="155E5429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66AB2B85" w14:textId="25AE0153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Radiologist vs #1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D9480E2" w14:textId="53281B68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See footnote 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673CB10" w14:textId="48D4807E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05908B8" w:rsidTr="305908B8" w14:paraId="6F049F5F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5A0382BE" w14:textId="76902F7E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Guidance type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23618175" w14:textId="505C5D0A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26781392" w14:textId="3C63E4C6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05908B8" w:rsidTr="305908B8" w14:paraId="5E79F936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68E9AF8B" w14:textId="2A083258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Computed tomography vs Ultrasound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A85A3FA" w14:textId="58047D00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0.98 (0.28–3.41)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7000D8F" w14:textId="06D58C60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0.98</w:t>
            </w:r>
          </w:p>
        </w:tc>
      </w:tr>
      <w:tr w:rsidR="305908B8" w:rsidTr="305908B8" w14:paraId="64EF200B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4FDE72D8" w14:textId="7A51ED49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Number of passes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7D2F26C" w14:textId="6F5454EC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0.95 (0.68–1.33)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28687B2" w14:textId="175B9331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0.76</w:t>
            </w:r>
          </w:p>
        </w:tc>
      </w:tr>
      <w:tr w:rsidR="305908B8" w:rsidTr="305908B8" w14:paraId="1A0CC319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351B847F" w14:textId="6DFE15E9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Maximum core length (cm)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2492076" w14:textId="42B02DC0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1.23 (0.82–1.86)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7F41B194" w14:textId="2B0A1805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0.32</w:t>
            </w:r>
          </w:p>
        </w:tc>
      </w:tr>
      <w:tr w:rsidR="305908B8" w:rsidTr="305908B8" w14:paraId="24FA8A20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05F1CD48" w14:textId="7BFF442D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Needle gauge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783887B3" w14:textId="196EC9D6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ADFDA40" w14:textId="24AED2BA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05908B8" w:rsidTr="305908B8" w14:paraId="569748F9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66B24364" w14:textId="3ECC104B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18 vs 16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A0A0CFA" w14:textId="3F15C2F4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0.80 (0.05–12.71)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D512ED3" w14:textId="01526B2E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0.87</w:t>
            </w:r>
          </w:p>
        </w:tc>
      </w:tr>
      <w:tr w:rsidR="305908B8" w:rsidTr="305908B8" w14:paraId="52C04C43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2DBCBC7B" w14:textId="49C909E0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Length of kidney biopsied (cm)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9183254" w14:textId="09320F66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0.92 (0.76–1.12)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B935842" w14:textId="04594CC4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0.43</w:t>
            </w:r>
          </w:p>
        </w:tc>
      </w:tr>
      <w:tr w:rsidR="305908B8" w:rsidTr="305908B8" w14:paraId="2E83C264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61ACD713" w14:textId="37A74D22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Cortical thickness of kidney (mm)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7CC9348" w14:textId="4548913D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1.16 (0.97–1.40)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CB53D46" w14:textId="17AC21AB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0.11</w:t>
            </w:r>
          </w:p>
        </w:tc>
      </w:tr>
      <w:tr w:rsidR="305908B8" w:rsidTr="305908B8" w14:paraId="127B0C6F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361E1456" w14:textId="67564F28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Estimated glomerular filtration rate (mL/min/1.73 m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2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26A7B3B" w14:textId="545F44CF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D2EFA96" w14:textId="17563284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05908B8" w:rsidTr="305908B8" w14:paraId="7988971A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0BC858D8" w14:textId="6ADE6071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45–59 vs ≥60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289DCB2" w14:textId="3A4F9898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1.23 (0.23–6.44)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C699C50" w14:textId="14FE4890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0.81</w:t>
            </w:r>
          </w:p>
        </w:tc>
      </w:tr>
      <w:tr w:rsidR="305908B8" w:rsidTr="305908B8" w14:paraId="3FCD1F2D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3F7F2A0C" w14:textId="7B3B0ABC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30–44 vs ≥60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5E2E243D" w14:textId="4009E763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1.37 (0.35–5.34)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8EC66F8" w14:textId="40B97701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0.65</w:t>
            </w:r>
          </w:p>
        </w:tc>
      </w:tr>
      <w:tr w:rsidR="305908B8" w:rsidTr="305908B8" w14:paraId="0560E07F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4B0C02B5" w14:textId="2442BF27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15–29 vs ≥60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72D3A524" w14:textId="3EE8E20F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1.99 (0.63–6.25)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14A07BB" w14:textId="126318D8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0.24</w:t>
            </w:r>
          </w:p>
        </w:tc>
      </w:tr>
      <w:tr w:rsidR="305908B8" w:rsidTr="305908B8" w14:paraId="68D726D9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36B73E9D" w14:textId="332DB0A3">
            <w:pPr>
              <w:pStyle w:val="TablesandFiguresContent"/>
              <w:spacing w:after="0"/>
              <w:ind w:left="30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&lt;15 vs ≥60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3B0AD63" w14:textId="1C91002A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2.43 (0.72–8.27)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45DF8F6" w14:textId="4EE96436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0.15</w:t>
            </w:r>
          </w:p>
        </w:tc>
      </w:tr>
      <w:tr w:rsidR="305908B8" w:rsidTr="305908B8" w14:paraId="4E507FF6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04C23D1A" w14:textId="19130E40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Acute kidney injury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AB28DC0" w14:textId="7B715EAA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3.73 (1.20–11.56)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F7FAE90" w14:textId="4354D2D0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0.023</w:t>
            </w:r>
          </w:p>
        </w:tc>
      </w:tr>
      <w:tr w:rsidR="305908B8" w:rsidTr="305908B8" w14:paraId="72F6DD1D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1B29199B" w14:textId="19B798FF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Elective biopsy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8A59D80" w14:textId="12CDE65A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0.69 (0.33–1.46)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44A186FB" w14:textId="395F4207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0.34</w:t>
            </w:r>
          </w:p>
        </w:tc>
      </w:tr>
      <w:tr w:rsidR="305908B8" w:rsidTr="305908B8" w14:paraId="2024D1F7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797C2541" w14:textId="47AD5BB3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Preprocedural systolic blood pressure (mm Hg)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3F64A6B" w14:textId="1FADD95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1.00 (0.98–1.02)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D20C3EB" w14:textId="00B20A3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0.86</w:t>
            </w:r>
          </w:p>
        </w:tc>
      </w:tr>
      <w:tr w:rsidR="305908B8" w:rsidTr="305908B8" w14:paraId="68E28589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139B1D9B" w14:textId="5C1EF23E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Preprocedural diastolic blood pressure (mm Hg)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0B75EB2D" w14:textId="28219AFC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1.02 (1.00–1.05)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343CCF74" w14:textId="4D52162F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0.081</w:t>
            </w:r>
          </w:p>
        </w:tc>
      </w:tr>
      <w:tr w:rsidR="305908B8" w:rsidTr="305908B8" w14:paraId="5D632F1B">
        <w:trPr>
          <w:trHeight w:val="285"/>
        </w:trPr>
        <w:tc>
          <w:tcPr>
            <w:tcW w:w="55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center"/>
          </w:tcPr>
          <w:p w:rsidR="305908B8" w:rsidP="305908B8" w:rsidRDefault="305908B8" w14:paraId="36EAC165" w14:textId="3E826692">
            <w:pPr>
              <w:pStyle w:val="TablesandFiguresContent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Active anticoagulation</w:t>
            </w: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687A805C" w14:textId="6AE9911F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1.23 (0.38–3.99)</w:t>
            </w:r>
          </w:p>
        </w:tc>
        <w:tc>
          <w:tcPr>
            <w:tcW w:w="2678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bottom"/>
          </w:tcPr>
          <w:p w:rsidR="305908B8" w:rsidP="305908B8" w:rsidRDefault="305908B8" w14:paraId="12D02167" w14:textId="202EB4C2">
            <w:pPr>
              <w:pStyle w:val="TablesandFiguresContent"/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05908B8" w:rsidR="305908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0.73</w:t>
            </w:r>
          </w:p>
        </w:tc>
      </w:tr>
    </w:tbl>
    <w:p w:rsidRPr="007319F2" w:rsidR="007319F2" w:rsidP="305908B8" w:rsidRDefault="007319F2" w14:paraId="349410F0" w14:textId="1BB68DFF">
      <w:pPr>
        <w:bidi w:val="0"/>
        <w:spacing w:before="12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GEE, generalized estimating equations; INR, International Normalized Ratio; *134 biopsies with INR&gt;1.5 and/or platelet count &lt;100 ×10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9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/L were excluded from analysis 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1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Platelet count was rescaled so that each unit represents a change of 50×10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9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/L for interpretation of odds ratio, 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2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Radiologist #1 used as reference, Radiologists #2–#9 showed adjusted odds ratios ranging from 0.55 to 2.63 (all p &gt; 0.05).Radiologist #8 was excluded due to insufficient sample size (n=1) 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3</w:t>
      </w:r>
      <w:r w:rsidRPr="305908B8" w:rsidR="369929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active anticoagulation: use of therapeutic heparin drip, intravenous heparin bridge and subcutaneous low molecular weight heparin (LMWH) bridge for patients previously on warfarin, or direct oral anticoagulants</w:t>
      </w:r>
    </w:p>
    <w:p w:rsidRPr="007319F2" w:rsidR="007319F2" w:rsidP="007319F2" w:rsidRDefault="007319F2" w14:paraId="52DEBC2A" w14:textId="47563EAF">
      <w:pPr>
        <w:spacing w:before="120" w:after="240" w:line="240" w:lineRule="auto"/>
        <w:rPr>
          <w:rFonts w:ascii="Times New Roman" w:hAnsi="Times New Roman" w:cs="Times New Roman"/>
          <w:sz w:val="24"/>
          <w:szCs w:val="24"/>
        </w:rPr>
        <w:sectPr w:rsidRPr="007319F2" w:rsidR="007319F2" w:rsidSect="007319F2">
          <w:pgSz w:w="15840" w:h="12240" w:orient="landscape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:rsidRPr="007319F2" w:rsidR="0024126D" w:rsidRDefault="0024126D" w14:paraId="42D351A5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7319F2" w:rsidR="0024126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F2"/>
    <w:rsid w:val="0017580B"/>
    <w:rsid w:val="0024126D"/>
    <w:rsid w:val="002556A1"/>
    <w:rsid w:val="003B7891"/>
    <w:rsid w:val="007319F2"/>
    <w:rsid w:val="00CF3727"/>
    <w:rsid w:val="00DB514C"/>
    <w:rsid w:val="305908B8"/>
    <w:rsid w:val="369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79C6D"/>
  <w15:chartTrackingRefBased/>
  <w15:docId w15:val="{6CF12047-23A6-5246-AE54-E5601615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19F2"/>
    <w:pPr>
      <w:spacing w:after="200" w:line="480" w:lineRule="auto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9F2"/>
    <w:pPr>
      <w:keepNext/>
      <w:keepLines/>
      <w:spacing w:before="360" w:after="80" w:line="240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9F2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9F2"/>
    <w:pPr>
      <w:keepNext/>
      <w:keepLines/>
      <w:spacing w:before="160" w:after="80" w:line="240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9F2"/>
    <w:pPr>
      <w:keepNext/>
      <w:keepLines/>
      <w:spacing w:before="80" w:after="40" w:line="240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9F2"/>
    <w:pPr>
      <w:keepNext/>
      <w:keepLines/>
      <w:spacing w:before="80" w:after="40" w:line="240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9F2"/>
    <w:pPr>
      <w:keepNext/>
      <w:keepLines/>
      <w:spacing w:before="40" w:after="0" w:line="240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9F2"/>
    <w:pPr>
      <w:keepNext/>
      <w:keepLines/>
      <w:spacing w:before="40" w:after="0" w:line="240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9F2"/>
    <w:pPr>
      <w:keepNext/>
      <w:keepLines/>
      <w:spacing w:after="0" w:line="240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9F2"/>
    <w:pPr>
      <w:keepNext/>
      <w:keepLines/>
      <w:spacing w:after="0" w:line="240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319F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319F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319F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319F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319F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319F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319F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319F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319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9F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319F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9F2"/>
    <w:pPr>
      <w:numPr>
        <w:ilvl w:val="1"/>
      </w:numPr>
      <w:spacing w:after="160" w:line="240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3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9F2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7319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9F2"/>
    <w:pPr>
      <w:spacing w:after="0" w:line="240" w:lineRule="auto"/>
      <w:ind w:left="720"/>
      <w:contextualSpacing/>
    </w:pPr>
    <w:rPr>
      <w:rFonts w:ascii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319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9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319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9F2"/>
    <w:rPr>
      <w:b/>
      <w:bCs/>
      <w:smallCaps/>
      <w:color w:val="0F4761" w:themeColor="accent1" w:themeShade="BF"/>
      <w:spacing w:val="5"/>
    </w:rPr>
  </w:style>
  <w:style w:type="paragraph" w:styleId="TablesandFiguresLegend" w:customStyle="1">
    <w:name w:val="Tables and Figures (Legend)"/>
    <w:basedOn w:val="Normal"/>
    <w:qFormat/>
    <w:rsid w:val="007319F2"/>
    <w:pPr>
      <w:spacing w:after="120" w:line="240" w:lineRule="auto"/>
    </w:pPr>
  </w:style>
  <w:style w:type="paragraph" w:styleId="TablesandFiguresContent" w:customStyle="1">
    <w:name w:val="Tables and Figures (Content)"/>
    <w:basedOn w:val="TablesandFiguresLegend"/>
    <w:qFormat/>
    <w:rsid w:val="007319F2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Girimaji Satishchandra, Niveditha [UCM]</dc:creator>
  <keywords/>
  <dc:description/>
  <lastModifiedBy>Niveditha Girimaji Satishchandra</lastModifiedBy>
  <revision>2</revision>
  <dcterms:created xsi:type="dcterms:W3CDTF">2025-11-03T20:51:00.0000000Z</dcterms:created>
  <dcterms:modified xsi:type="dcterms:W3CDTF">2026-04-22T17:27:00.5231603Z</dcterms:modified>
</coreProperties>
</file>