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horzAnchor="margin" w:tblpY="5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B62CC" w14:paraId="37A76676" w14:textId="77777777" w:rsidTr="0041068C">
        <w:tc>
          <w:tcPr>
            <w:tcW w:w="9242" w:type="dxa"/>
          </w:tcPr>
          <w:p w14:paraId="78A39C12" w14:textId="717E2B85" w:rsidR="008B62CC" w:rsidRPr="008B62CC" w:rsidRDefault="008B62CC" w:rsidP="008B62CC">
            <w:pPr>
              <w:rPr>
                <w:rFonts w:asciiTheme="majorBidi" w:hAnsiTheme="majorBidi" w:cstheme="majorBidi"/>
              </w:rPr>
            </w:pPr>
            <w:r w:rsidRPr="008B62CC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59776" behindDoc="0" locked="0" layoutInCell="1" allowOverlap="1" wp14:anchorId="1058826F" wp14:editId="35D27B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22829</wp:posOffset>
                  </wp:positionV>
                  <wp:extent cx="5731510" cy="4788535"/>
                  <wp:effectExtent l="0" t="0" r="0" b="0"/>
                  <wp:wrapTopAndBottom/>
                  <wp:docPr id="895875324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75324" name=""/>
                          <pic:cNvPicPr/>
                        </pic:nvPicPr>
                        <pic:blipFill rotWithShape="1">
                          <a:blip r:embed="rId5">
                            <a:extLs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 t="78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7885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B62CC" w14:paraId="5F017CE0" w14:textId="77777777" w:rsidTr="0041068C">
        <w:tc>
          <w:tcPr>
            <w:tcW w:w="9242" w:type="dxa"/>
          </w:tcPr>
          <w:p w14:paraId="2C128EEA" w14:textId="0D07B4B7" w:rsidR="008B62CC" w:rsidRPr="008B62CC" w:rsidRDefault="008B62CC" w:rsidP="008B62CC">
            <w:pPr>
              <w:jc w:val="both"/>
              <w:rPr>
                <w:rFonts w:asciiTheme="majorBidi" w:hAnsiTheme="majorBidi" w:cstheme="majorBidi"/>
              </w:rPr>
            </w:pPr>
            <w:r w:rsidRPr="008B62CC">
              <w:rPr>
                <w:rFonts w:asciiTheme="majorBidi" w:hAnsiTheme="majorBidi" w:cstheme="majorBidi"/>
                <w:b/>
                <w:bCs/>
              </w:rPr>
              <w:t>Figure S1.</w:t>
            </w:r>
            <w:r w:rsidRPr="008B62CC">
              <w:rPr>
                <w:rFonts w:asciiTheme="majorBidi" w:hAnsiTheme="majorBidi" w:cstheme="majorBidi"/>
              </w:rPr>
              <w:t xml:space="preserve"> Comparison model architectures. (A) ConvLSTM2D replaces the two-gate ConvGRU cell with a three-gate ConvLSTM cell (input, forget, output) maintaining an additional cell state. The model is rebuilt at full-grid dimensions for test-time inference with trained weights transferred. (B) Pixel-LSTM removes spatial convolution by reshaping the input into per-pixel temporal sequences, applying a standard LSTM independently at each grid cell, and reshaping the output back to map form. Both models share identical training protocols with ConvGRU2D: 16 recurrent units, masked MSE loss, Adam optimizer (lr = 2</w:t>
            </w:r>
            <w:r>
              <w:rPr>
                <w:rFonts w:asciiTheme="majorBidi" w:hAnsiTheme="majorBidi" w:cstheme="majorBidi"/>
              </w:rPr>
              <w:t>x</w:t>
            </w:r>
            <w:r w:rsidRPr="008B62CC">
              <w:rPr>
                <w:rFonts w:asciiTheme="majorBidi" w:hAnsiTheme="majorBidi" w:cstheme="majorBidi"/>
              </w:rPr>
              <w:t>10</w:t>
            </w:r>
            <w:r w:rsidRPr="008B62CC">
              <w:rPr>
                <w:rFonts w:asciiTheme="majorBidi" w:hAnsiTheme="majorBidi" w:cstheme="majorBidi"/>
                <w:vertAlign w:val="superscript"/>
              </w:rPr>
              <w:t>-4</w:t>
            </w:r>
            <w:r w:rsidRPr="008B62CC">
              <w:rPr>
                <w:rFonts w:asciiTheme="majorBidi" w:hAnsiTheme="majorBidi" w:cstheme="majorBidi"/>
              </w:rPr>
              <w:t>), three random seeds (42, 43, 44), and identical data splits.</w:t>
            </w:r>
          </w:p>
        </w:tc>
      </w:tr>
    </w:tbl>
    <w:p w14:paraId="396E123C" w14:textId="313CC7D2" w:rsidR="008B62CC" w:rsidRPr="008B62CC" w:rsidRDefault="008B62CC" w:rsidP="008B62CC">
      <w:pPr>
        <w:rPr>
          <w:rFonts w:asciiTheme="majorBidi" w:hAnsiTheme="majorBidi" w:cstheme="majorBidi"/>
          <w:b/>
          <w:bCs/>
          <w:sz w:val="24"/>
          <w:szCs w:val="24"/>
        </w:rPr>
      </w:pPr>
      <w:r w:rsidRPr="008B62CC">
        <w:rPr>
          <w:rFonts w:asciiTheme="majorBidi" w:hAnsiTheme="majorBidi" w:cstheme="majorBidi"/>
          <w:b/>
          <w:bCs/>
          <w:sz w:val="24"/>
          <w:szCs w:val="24"/>
        </w:rPr>
        <w:t>Supplementary material</w:t>
      </w:r>
    </w:p>
    <w:p w14:paraId="3B49F56A" w14:textId="77777777" w:rsidR="008B62CC" w:rsidRDefault="008B62CC" w:rsidP="008B62CC"/>
    <w:p w14:paraId="2C253CD5" w14:textId="77777777" w:rsidR="008B62CC" w:rsidRDefault="008B62CC" w:rsidP="008B62CC"/>
    <w:p w14:paraId="3D8B6AA5" w14:textId="77777777" w:rsidR="0041068C" w:rsidRDefault="0041068C" w:rsidP="008B62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B62CC" w14:paraId="7C24C253" w14:textId="77777777" w:rsidTr="0041068C">
        <w:tc>
          <w:tcPr>
            <w:tcW w:w="9242" w:type="dxa"/>
          </w:tcPr>
          <w:p w14:paraId="3F9CC455" w14:textId="5D783287" w:rsidR="008B62CC" w:rsidRDefault="008B62CC" w:rsidP="008B62CC">
            <w:r>
              <w:rPr>
                <w:noProof/>
              </w:rPr>
              <w:lastRenderedPageBreak/>
              <w:drawing>
                <wp:inline distT="0" distB="0" distL="0" distR="0" wp14:anchorId="2ECC95EB" wp14:editId="3EF3C8CA">
                  <wp:extent cx="5724525" cy="1784350"/>
                  <wp:effectExtent l="0" t="0" r="0" b="0"/>
                  <wp:docPr id="94018218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CC" w14:paraId="10DB3BBE" w14:textId="77777777" w:rsidTr="0041068C">
        <w:tc>
          <w:tcPr>
            <w:tcW w:w="9242" w:type="dxa"/>
          </w:tcPr>
          <w:p w14:paraId="293FD500" w14:textId="5CEF86F3" w:rsidR="008B62CC" w:rsidRPr="008B62CC" w:rsidRDefault="008B62CC" w:rsidP="008B62CC">
            <w:pPr>
              <w:jc w:val="both"/>
              <w:rPr>
                <w:rFonts w:asciiTheme="majorBidi" w:hAnsiTheme="majorBidi" w:cstheme="majorBidi"/>
              </w:rPr>
            </w:pPr>
            <w:r w:rsidRPr="008B62CC">
              <w:rPr>
                <w:rFonts w:asciiTheme="majorBidi" w:hAnsiTheme="majorBidi" w:cstheme="majorBidi"/>
                <w:b/>
                <w:bCs/>
              </w:rPr>
              <w:t>Figure S2.</w:t>
            </w:r>
            <w:r w:rsidRPr="008B62CC">
              <w:rPr>
                <w:rFonts w:asciiTheme="majorBidi" w:hAnsiTheme="majorBidi" w:cstheme="majorBidi"/>
              </w:rPr>
              <w:t xml:space="preserve"> Validation loss curves for ConvLSTM2D and Pixel-LSTM (best seed per horizon). ConvLSTM2D exhibits erratic convergence behavior at H = 3, while several Pixel-LSTM runs failed to train beyond epoch 1, reflecting training instability when spatial context is removed.</w:t>
            </w:r>
          </w:p>
        </w:tc>
      </w:tr>
    </w:tbl>
    <w:p w14:paraId="54DD1DA2" w14:textId="77777777" w:rsidR="008B62CC" w:rsidRDefault="008B62CC" w:rsidP="008B62CC"/>
    <w:tbl>
      <w:tblPr>
        <w:tblStyle w:val="TableGrid"/>
        <w:tblpPr w:leftFromText="180" w:rightFromText="180" w:vertAnchor="text" w:horzAnchor="margin" w:tblpY="16"/>
        <w:tblW w:w="92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91"/>
      </w:tblGrid>
      <w:tr w:rsidR="0041068C" w:rsidRPr="00BE5345" w14:paraId="13A1C74C" w14:textId="77777777" w:rsidTr="0041068C">
        <w:tc>
          <w:tcPr>
            <w:tcW w:w="9291" w:type="dxa"/>
          </w:tcPr>
          <w:p w14:paraId="77A5184A" w14:textId="77777777" w:rsidR="0041068C" w:rsidRPr="00BE5345" w:rsidRDefault="0041068C" w:rsidP="004106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534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anchor distT="0" distB="0" distL="114300" distR="114300" simplePos="0" relativeHeight="251664896" behindDoc="0" locked="0" layoutInCell="1" allowOverlap="1" wp14:anchorId="72D4745C" wp14:editId="5B80E348">
                  <wp:simplePos x="0" y="0"/>
                  <wp:positionH relativeFrom="column">
                    <wp:posOffset>-647</wp:posOffset>
                  </wp:positionH>
                  <wp:positionV relativeFrom="paragraph">
                    <wp:posOffset>1546</wp:posOffset>
                  </wp:positionV>
                  <wp:extent cx="5731510" cy="1380227"/>
                  <wp:effectExtent l="0" t="0" r="2540" b="0"/>
                  <wp:wrapTopAndBottom/>
                  <wp:docPr id="73328536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8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380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068C" w:rsidRPr="00BE5345" w14:paraId="58953E63" w14:textId="77777777" w:rsidTr="0041068C">
        <w:tc>
          <w:tcPr>
            <w:tcW w:w="9291" w:type="dxa"/>
          </w:tcPr>
          <w:p w14:paraId="40675E30" w14:textId="77777777" w:rsidR="0041068C" w:rsidRPr="00BE5345" w:rsidRDefault="0041068C" w:rsidP="004106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E534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7A9C36B7" wp14:editId="55EC0A75">
                  <wp:extent cx="5731510" cy="1561382"/>
                  <wp:effectExtent l="0" t="0" r="2540" b="1270"/>
                  <wp:docPr id="152223423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4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561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68C" w:rsidRPr="00BE5345" w14:paraId="11750B7D" w14:textId="77777777" w:rsidTr="0041068C">
        <w:tc>
          <w:tcPr>
            <w:tcW w:w="9291" w:type="dxa"/>
          </w:tcPr>
          <w:p w14:paraId="70874BD5" w14:textId="77777777" w:rsidR="0041068C" w:rsidRPr="00BE5345" w:rsidRDefault="0041068C" w:rsidP="0041068C">
            <w:pPr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 w:rsidRPr="00BE5345"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 wp14:anchorId="5B5A0DA2" wp14:editId="28C9E59B">
                  <wp:extent cx="5731510" cy="1706880"/>
                  <wp:effectExtent l="0" t="0" r="2540" b="7620"/>
                  <wp:docPr id="103922897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068C" w:rsidRPr="00BE5345" w14:paraId="7548543C" w14:textId="77777777" w:rsidTr="0041068C">
        <w:tc>
          <w:tcPr>
            <w:tcW w:w="9291" w:type="dxa"/>
          </w:tcPr>
          <w:p w14:paraId="52467D78" w14:textId="77777777" w:rsidR="0041068C" w:rsidRPr="00BE5345" w:rsidRDefault="0041068C" w:rsidP="0041068C">
            <w:pPr>
              <w:pStyle w:val="Caption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41068C">
              <w:rPr>
                <w:rFonts w:asciiTheme="majorBidi" w:hAnsiTheme="majorBidi" w:cstheme="majorBidi"/>
                <w:b/>
                <w:bCs/>
                <w:i w:val="0"/>
                <w:iCs w:val="0"/>
                <w:color w:val="auto"/>
                <w:sz w:val="24"/>
                <w:szCs w:val="24"/>
              </w:rPr>
              <w:t>Figure S3.</w:t>
            </w:r>
            <w:r w:rsidRPr="00BE534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Pr="00C85761">
              <w:rPr>
                <w:rFonts w:asciiTheme="majorBidi" w:hAnsiTheme="majorBidi" w:cstheme="majorBidi"/>
                <w:i w:val="0"/>
                <w:iCs w:val="0"/>
                <w:color w:val="auto"/>
                <w:sz w:val="24"/>
                <w:szCs w:val="24"/>
              </w:rPr>
              <w:t xml:space="preserve">Case study: May 2019 drought event </w:t>
            </w:r>
            <w:r w:rsidRPr="00C85761">
              <w:rPr>
                <w:rFonts w:asciiTheme="majorBidi" w:hAnsiTheme="majorBidi" w:cstheme="majorBidi"/>
                <w:i w:val="0"/>
                <w:iCs w:val="0"/>
                <w:noProof/>
                <w:color w:val="auto"/>
                <w:sz w:val="24"/>
                <w:szCs w:val="24"/>
              </w:rPr>
              <w:t>(validation period, ROI-mean SPI-6 = -1.36, 63% area under moderate drought). (A) Continuous SPI-6 fields: observed (top row), damped-persistence predictions (middle row), and ConvGRU predictions (bottom row) at H = 1, 2, and 3. Per-panel metrics (RMSE, correlation, POD) are annotated. (B) Binary drought detection (SPI-6 &lt; -1.0): same layout, with per-panel POD and CSI annotated. The ConvGRU detects 90% of the drought area at H = 1 (POD = 0.90, CSI = 0.79), while damped persistence detects less than 2% at all lead times.</w:t>
            </w:r>
          </w:p>
        </w:tc>
      </w:tr>
    </w:tbl>
    <w:p w14:paraId="24D90B4C" w14:textId="77777777" w:rsidR="008B62CC" w:rsidRDefault="008B62CC" w:rsidP="008B62CC"/>
    <w:p w14:paraId="70811D85" w14:textId="77777777" w:rsidR="008B62CC" w:rsidRDefault="008B62CC" w:rsidP="008B62C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8B62CC" w14:paraId="51B9F288" w14:textId="77777777" w:rsidTr="0041068C">
        <w:tc>
          <w:tcPr>
            <w:tcW w:w="9242" w:type="dxa"/>
          </w:tcPr>
          <w:p w14:paraId="3531C75C" w14:textId="5600586E" w:rsidR="008B62CC" w:rsidRDefault="0041068C" w:rsidP="008B62CC">
            <w:r>
              <w:rPr>
                <w:noProof/>
              </w:rPr>
              <w:drawing>
                <wp:inline distT="0" distB="0" distL="0" distR="0" wp14:anchorId="1929EA0F" wp14:editId="618233F8">
                  <wp:extent cx="5731510" cy="3545840"/>
                  <wp:effectExtent l="0" t="0" r="0" b="0"/>
                  <wp:docPr id="61864990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5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9D63DBA" wp14:editId="0E9E146C">
                  <wp:extent cx="5731510" cy="3545840"/>
                  <wp:effectExtent l="0" t="0" r="0" b="0"/>
                  <wp:docPr id="1595285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54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62CC" w14:paraId="6662AA3F" w14:textId="77777777" w:rsidTr="0041068C">
        <w:tc>
          <w:tcPr>
            <w:tcW w:w="9242" w:type="dxa"/>
          </w:tcPr>
          <w:p w14:paraId="659A2AA3" w14:textId="194EA720" w:rsidR="008B62CC" w:rsidRPr="0041068C" w:rsidRDefault="0041068C" w:rsidP="0041068C">
            <w:pPr>
              <w:jc w:val="both"/>
              <w:rPr>
                <w:rFonts w:asciiTheme="majorBidi" w:hAnsiTheme="majorBidi" w:cstheme="majorBidi"/>
              </w:rPr>
            </w:pPr>
            <w:r w:rsidRPr="0041068C">
              <w:rPr>
                <w:rFonts w:asciiTheme="majorBidi" w:hAnsiTheme="majorBidi" w:cstheme="majorBidi"/>
                <w:b/>
                <w:bCs/>
              </w:rPr>
              <w:t>Figure S</w:t>
            </w:r>
            <w:r>
              <w:rPr>
                <w:rFonts w:asciiTheme="majorBidi" w:hAnsiTheme="majorBidi" w:cstheme="majorBidi"/>
                <w:b/>
                <w:bCs/>
              </w:rPr>
              <w:t>4</w:t>
            </w:r>
            <w:r w:rsidRPr="0041068C">
              <w:rPr>
                <w:rFonts w:asciiTheme="majorBidi" w:hAnsiTheme="majorBidi" w:cstheme="majorBidi"/>
                <w:b/>
                <w:bCs/>
              </w:rPr>
              <w:t>.</w:t>
            </w:r>
            <w:r w:rsidRPr="0041068C">
              <w:rPr>
                <w:rFonts w:asciiTheme="majorBidi" w:hAnsiTheme="majorBidi" w:cstheme="majorBidi"/>
              </w:rPr>
              <w:t xml:space="preserve"> Predicted versus observed SPI-6 time series at four representative pixels for H = 2 and H = 3. Black: observed; blue: ConvGRU; red dashed: damped persistence. Pink shading indicates observed drought periods (SPI-6 &lt; -1.0). Per-pixel RMSE and correlation are shown above each panel. Forecast skill degrades with increasing lead time, consistent with the predictability boundary established in the main text.</w:t>
            </w:r>
          </w:p>
        </w:tc>
      </w:tr>
    </w:tbl>
    <w:p w14:paraId="243007D9" w14:textId="7F321EF5" w:rsidR="00BF09F4" w:rsidRDefault="00BF09F4" w:rsidP="00C85761"/>
    <w:sectPr w:rsidR="00BF09F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5B"/>
    <w:rsid w:val="001B0706"/>
    <w:rsid w:val="001E2F5B"/>
    <w:rsid w:val="002758CA"/>
    <w:rsid w:val="0041068C"/>
    <w:rsid w:val="004B1CC3"/>
    <w:rsid w:val="005C19B7"/>
    <w:rsid w:val="00685755"/>
    <w:rsid w:val="008B62CC"/>
    <w:rsid w:val="00AD15E6"/>
    <w:rsid w:val="00BF09F4"/>
    <w:rsid w:val="00C079DF"/>
    <w:rsid w:val="00C85761"/>
    <w:rsid w:val="00DB1980"/>
    <w:rsid w:val="00DE0E43"/>
    <w:rsid w:val="00F4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133F6"/>
  <w15:chartTrackingRefBased/>
  <w15:docId w15:val="{7DCF4599-A5A5-4C9A-8E71-BD1F28EB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2F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2F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2F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2F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2F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2F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2F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2F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2F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2F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2F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2F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2F5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2F5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2F5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2F5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2F5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2F5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2F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2F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2F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2F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2F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2F5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2F5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2F5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2F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2F5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2F5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79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079DF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F369C-F9F5-468F-920D-88F311FD7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1703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NACER ADERDOUR</dc:creator>
  <cp:keywords/>
  <dc:description/>
  <cp:lastModifiedBy>NACER ADERDOUR</cp:lastModifiedBy>
  <cp:revision>2</cp:revision>
  <dcterms:created xsi:type="dcterms:W3CDTF">2026-04-06T02:15:00Z</dcterms:created>
  <dcterms:modified xsi:type="dcterms:W3CDTF">2026-04-06T02:15:00Z</dcterms:modified>
</cp:coreProperties>
</file>