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B44B" w14:textId="7A185133" w:rsidR="00444469" w:rsidRPr="00444469" w:rsidRDefault="00444469" w:rsidP="00444469">
      <w:pPr>
        <w:spacing w:line="480" w:lineRule="auto"/>
        <w:jc w:val="both"/>
        <w:rPr>
          <w:rFonts w:ascii="Times New Roman" w:hAnsi="Times New Roman" w:cs="Times New Roman"/>
          <w:b/>
          <w:bCs/>
          <w:sz w:val="24"/>
        </w:rPr>
      </w:pPr>
      <w:r w:rsidRPr="00444469">
        <w:rPr>
          <w:rFonts w:ascii="Times New Roman" w:hAnsi="Times New Roman" w:cs="Times New Roman"/>
          <w:b/>
          <w:bCs/>
          <w:sz w:val="24"/>
        </w:rPr>
        <w:t>Supplementary Material 1: Supplemental Table S1:</w:t>
      </w:r>
      <w:r w:rsidRPr="00444469">
        <w:rPr>
          <w:rFonts w:ascii="Times New Roman" w:hAnsi="Times New Roman" w:cs="Times New Roman"/>
          <w:sz w:val="24"/>
        </w:rPr>
        <w:t xml:space="preserve"> PTM gene list used for downstream analyses.</w:t>
      </w:r>
      <w:r>
        <w:rPr>
          <w:rFonts w:ascii="Times New Roman" w:hAnsi="Times New Roman" w:cs="Times New Roman" w:hint="eastAsia"/>
          <w:sz w:val="24"/>
        </w:rPr>
        <w:t xml:space="preserve"> </w:t>
      </w:r>
      <w:proofErr w:type="gramStart"/>
      <w:r w:rsidRPr="00444469">
        <w:rPr>
          <w:rFonts w:ascii="Times New Roman" w:hAnsi="Times New Roman" w:cs="Times New Roman"/>
          <w:b/>
          <w:bCs/>
          <w:sz w:val="24"/>
        </w:rPr>
        <w:t>Supplemental</w:t>
      </w:r>
      <w:proofErr w:type="gramEnd"/>
      <w:r w:rsidRPr="00444469">
        <w:rPr>
          <w:rFonts w:ascii="Times New Roman" w:hAnsi="Times New Roman" w:cs="Times New Roman"/>
          <w:b/>
          <w:bCs/>
          <w:sz w:val="24"/>
        </w:rPr>
        <w:t xml:space="preserve"> Table S2:</w:t>
      </w:r>
      <w:r w:rsidRPr="00444469">
        <w:rPr>
          <w:rFonts w:ascii="Times New Roman" w:hAnsi="Times New Roman" w:cs="Times New Roman"/>
          <w:sz w:val="24"/>
        </w:rPr>
        <w:t xml:space="preserve"> PTM-related differentially expressed genes in UC.</w:t>
      </w:r>
      <w:r>
        <w:rPr>
          <w:rFonts w:ascii="Times New Roman" w:hAnsi="Times New Roman" w:cs="Times New Roman" w:hint="eastAsia"/>
          <w:sz w:val="24"/>
        </w:rPr>
        <w:t xml:space="preserve"> </w:t>
      </w:r>
      <w:proofErr w:type="gramStart"/>
      <w:r w:rsidRPr="00444469">
        <w:rPr>
          <w:rFonts w:ascii="Times New Roman" w:hAnsi="Times New Roman" w:cs="Times New Roman"/>
          <w:b/>
          <w:bCs/>
          <w:sz w:val="24"/>
        </w:rPr>
        <w:t>Supplemental</w:t>
      </w:r>
      <w:proofErr w:type="gramEnd"/>
      <w:r w:rsidRPr="00444469">
        <w:rPr>
          <w:rFonts w:ascii="Times New Roman" w:hAnsi="Times New Roman" w:cs="Times New Roman"/>
          <w:b/>
          <w:bCs/>
          <w:sz w:val="24"/>
        </w:rPr>
        <w:t xml:space="preserve"> Table S3:</w:t>
      </w:r>
      <w:r w:rsidRPr="00444469">
        <w:rPr>
          <w:rFonts w:ascii="Times New Roman" w:hAnsi="Times New Roman" w:cs="Times New Roman"/>
          <w:sz w:val="24"/>
        </w:rPr>
        <w:t xml:space="preserve"> Activity-associated PTM-related differentially expressed genes.</w:t>
      </w:r>
    </w:p>
    <w:p w14:paraId="47DAFC36" w14:textId="0CAB1E86" w:rsidR="00444469" w:rsidRPr="00444469" w:rsidRDefault="00444469" w:rsidP="00444469">
      <w:pPr>
        <w:spacing w:line="480" w:lineRule="auto"/>
        <w:jc w:val="both"/>
        <w:rPr>
          <w:rFonts w:ascii="Times New Roman" w:hAnsi="Times New Roman" w:cs="Times New Roman"/>
          <w:b/>
          <w:bCs/>
          <w:sz w:val="24"/>
        </w:rPr>
      </w:pPr>
      <w:r w:rsidRPr="00444469">
        <w:rPr>
          <w:rFonts w:ascii="Times New Roman" w:hAnsi="Times New Roman" w:cs="Times New Roman"/>
          <w:b/>
          <w:bCs/>
          <w:sz w:val="24"/>
        </w:rPr>
        <w:t>Supplementary Material 2: Supplemental Fig. S2:</w:t>
      </w:r>
      <w:r w:rsidRPr="00444469">
        <w:rPr>
          <w:rFonts w:ascii="Times New Roman" w:hAnsi="Times New Roman" w:cs="Times New Roman"/>
          <w:sz w:val="24"/>
        </w:rPr>
        <w:t xml:space="preserve"> Consensus clustering results across different cluster numbers for PTM-associated molecular </w:t>
      </w:r>
      <w:proofErr w:type="gramStart"/>
      <w:r w:rsidRPr="00444469">
        <w:rPr>
          <w:rFonts w:ascii="Times New Roman" w:hAnsi="Times New Roman" w:cs="Times New Roman"/>
          <w:sz w:val="24"/>
        </w:rPr>
        <w:t>subtypes.(</w:t>
      </w:r>
      <w:proofErr w:type="gramEnd"/>
      <w:r w:rsidRPr="00444469">
        <w:rPr>
          <w:rFonts w:ascii="Times New Roman" w:hAnsi="Times New Roman" w:cs="Times New Roman"/>
          <w:sz w:val="24"/>
        </w:rPr>
        <w:t xml:space="preserve">A) Color scale legend for the consensus matrix. (B–E) Consensus matrices for k = 3, 4, 5, and </w:t>
      </w:r>
      <w:proofErr w:type="gramStart"/>
      <w:r w:rsidRPr="00444469">
        <w:rPr>
          <w:rFonts w:ascii="Times New Roman" w:hAnsi="Times New Roman" w:cs="Times New Roman"/>
          <w:sz w:val="24"/>
        </w:rPr>
        <w:t>6.</w:t>
      </w:r>
      <w:r w:rsidRPr="00444469">
        <w:rPr>
          <w:rFonts w:ascii="Times New Roman" w:hAnsi="Times New Roman" w:cs="Times New Roman"/>
          <w:b/>
          <w:bCs/>
          <w:sz w:val="24"/>
        </w:rPr>
        <w:t>Supplemental</w:t>
      </w:r>
      <w:proofErr w:type="gramEnd"/>
      <w:r w:rsidRPr="00444469">
        <w:rPr>
          <w:rFonts w:ascii="Times New Roman" w:hAnsi="Times New Roman" w:cs="Times New Roman"/>
          <w:b/>
          <w:bCs/>
          <w:sz w:val="24"/>
        </w:rPr>
        <w:t xml:space="preserve"> Table S4: </w:t>
      </w:r>
      <w:r w:rsidRPr="00444469">
        <w:rPr>
          <w:rFonts w:ascii="Times New Roman" w:hAnsi="Times New Roman" w:cs="Times New Roman"/>
          <w:sz w:val="24"/>
        </w:rPr>
        <w:t>Differentially expressed genes between Cluster 1 and Cluster 2.</w:t>
      </w:r>
    </w:p>
    <w:p w14:paraId="243A64C5" w14:textId="6BB93217" w:rsidR="00444469" w:rsidRPr="00444469" w:rsidRDefault="00444469" w:rsidP="00444469">
      <w:pPr>
        <w:spacing w:line="480" w:lineRule="auto"/>
        <w:jc w:val="both"/>
        <w:rPr>
          <w:rFonts w:ascii="Times New Roman" w:hAnsi="Times New Roman" w:cs="Times New Roman"/>
          <w:sz w:val="24"/>
        </w:rPr>
      </w:pPr>
      <w:r w:rsidRPr="00444469">
        <w:rPr>
          <w:rFonts w:ascii="Times New Roman" w:hAnsi="Times New Roman" w:cs="Times New Roman"/>
          <w:b/>
          <w:bCs/>
          <w:sz w:val="24"/>
        </w:rPr>
        <w:t xml:space="preserve">Supplementary Material </w:t>
      </w:r>
      <w:r w:rsidRPr="00444469">
        <w:rPr>
          <w:rFonts w:ascii="Times New Roman" w:hAnsi="Times New Roman" w:cs="Times New Roman"/>
          <w:b/>
          <w:bCs/>
          <w:sz w:val="24"/>
        </w:rPr>
        <w:t>3</w:t>
      </w:r>
      <w:r w:rsidRPr="00444469">
        <w:rPr>
          <w:rFonts w:ascii="Times New Roman" w:hAnsi="Times New Roman" w:cs="Times New Roman"/>
          <w:b/>
          <w:bCs/>
          <w:sz w:val="24"/>
        </w:rPr>
        <w:t>: Supplementary Material 3</w:t>
      </w:r>
      <w:r w:rsidRPr="00444469">
        <w:rPr>
          <w:rFonts w:ascii="Times New Roman" w:hAnsi="Times New Roman" w:cs="Times New Roman"/>
          <w:sz w:val="24"/>
        </w:rPr>
        <w:t>: </w:t>
      </w:r>
      <w:r w:rsidRPr="00444469">
        <w:rPr>
          <w:rFonts w:ascii="Times New Roman" w:hAnsi="Times New Roman" w:cs="Times New Roman"/>
          <w:b/>
          <w:bCs/>
          <w:sz w:val="24"/>
        </w:rPr>
        <w:t>Supplementary Table 3</w:t>
      </w:r>
      <w:r w:rsidRPr="00444469">
        <w:rPr>
          <w:rFonts w:ascii="Times New Roman" w:hAnsi="Times New Roman" w:cs="Times New Roman"/>
          <w:b/>
          <w:bCs/>
          <w:sz w:val="24"/>
        </w:rPr>
        <w:t>：</w:t>
      </w:r>
      <w:r w:rsidRPr="00444469">
        <w:rPr>
          <w:rFonts w:ascii="Times New Roman" w:hAnsi="Times New Roman" w:cs="Times New Roman"/>
          <w:sz w:val="24"/>
        </w:rPr>
        <w:t>Genes in the cyan module.</w:t>
      </w:r>
      <w:r>
        <w:rPr>
          <w:rFonts w:ascii="Times New Roman" w:hAnsi="Times New Roman" w:cs="Times New Roman" w:hint="eastAsia"/>
          <w:sz w:val="24"/>
        </w:rPr>
        <w:t xml:space="preserve"> </w:t>
      </w:r>
      <w:proofErr w:type="gramStart"/>
      <w:r w:rsidRPr="00444469">
        <w:rPr>
          <w:rFonts w:ascii="Times New Roman" w:hAnsi="Times New Roman" w:cs="Times New Roman"/>
          <w:sz w:val="24"/>
        </w:rPr>
        <w:t>Supplementary</w:t>
      </w:r>
      <w:proofErr w:type="gramEnd"/>
      <w:r w:rsidRPr="00444469">
        <w:rPr>
          <w:rFonts w:ascii="Times New Roman" w:hAnsi="Times New Roman" w:cs="Times New Roman"/>
          <w:sz w:val="24"/>
        </w:rPr>
        <w:t>.</w:t>
      </w:r>
      <w:r w:rsidRPr="00444469">
        <w:rPr>
          <w:rFonts w:ascii="Times New Roman" w:hAnsi="Times New Roman" w:cs="Times New Roman"/>
          <w:b/>
          <w:bCs/>
          <w:sz w:val="24"/>
        </w:rPr>
        <w:t xml:space="preserve"> Material 3</w:t>
      </w:r>
      <w:r w:rsidRPr="00444469">
        <w:rPr>
          <w:rFonts w:ascii="Times New Roman" w:hAnsi="Times New Roman" w:cs="Times New Roman"/>
          <w:sz w:val="24"/>
        </w:rPr>
        <w:t>: </w:t>
      </w:r>
      <w:r w:rsidRPr="00444469">
        <w:rPr>
          <w:rFonts w:ascii="Times New Roman" w:hAnsi="Times New Roman" w:cs="Times New Roman"/>
          <w:b/>
          <w:bCs/>
          <w:sz w:val="24"/>
        </w:rPr>
        <w:t>Supplementary Table 3</w:t>
      </w:r>
      <w:r w:rsidRPr="00444469">
        <w:rPr>
          <w:rFonts w:ascii="Times New Roman" w:hAnsi="Times New Roman" w:cs="Times New Roman"/>
          <w:b/>
          <w:bCs/>
          <w:sz w:val="24"/>
        </w:rPr>
        <w:t>：</w:t>
      </w:r>
      <w:r w:rsidRPr="00444469">
        <w:rPr>
          <w:rFonts w:ascii="Times New Roman" w:hAnsi="Times New Roman" w:cs="Times New Roman"/>
          <w:sz w:val="24"/>
        </w:rPr>
        <w:t xml:space="preserve">Genes in the </w:t>
      </w:r>
      <w:proofErr w:type="spellStart"/>
      <w:r w:rsidRPr="00444469">
        <w:rPr>
          <w:rFonts w:ascii="Times New Roman" w:hAnsi="Times New Roman" w:cs="Times New Roman"/>
          <w:sz w:val="24"/>
        </w:rPr>
        <w:t>greenyellow</w:t>
      </w:r>
      <w:proofErr w:type="spellEnd"/>
      <w:r w:rsidRPr="00444469">
        <w:rPr>
          <w:rFonts w:ascii="Times New Roman" w:hAnsi="Times New Roman" w:cs="Times New Roman"/>
          <w:sz w:val="24"/>
        </w:rPr>
        <w:t xml:space="preserve"> module.</w:t>
      </w:r>
    </w:p>
    <w:p w14:paraId="69E85866" w14:textId="77777777" w:rsidR="00444469" w:rsidRPr="00444469" w:rsidRDefault="00444469" w:rsidP="00444469">
      <w:pPr>
        <w:spacing w:line="480" w:lineRule="auto"/>
        <w:jc w:val="both"/>
        <w:rPr>
          <w:rFonts w:ascii="Times New Roman" w:hAnsi="Times New Roman" w:cs="Times New Roman"/>
          <w:sz w:val="24"/>
        </w:rPr>
      </w:pPr>
      <w:r w:rsidRPr="00444469">
        <w:rPr>
          <w:rFonts w:ascii="Times New Roman" w:hAnsi="Times New Roman" w:cs="Times New Roman"/>
          <w:b/>
          <w:bCs/>
          <w:sz w:val="24"/>
        </w:rPr>
        <w:t>Supplementary Material 4: Supplemental Fig. S4:</w:t>
      </w:r>
      <w:r w:rsidRPr="00444469">
        <w:rPr>
          <w:rFonts w:ascii="Times New Roman" w:hAnsi="Times New Roman" w:cs="Times New Roman"/>
          <w:sz w:val="24"/>
        </w:rPr>
        <w:t xml:space="preserve"> GO enrichment analysis of distinct biological programs between UC </w:t>
      </w:r>
      <w:proofErr w:type="gramStart"/>
      <w:r w:rsidRPr="00444469">
        <w:rPr>
          <w:rFonts w:ascii="Times New Roman" w:hAnsi="Times New Roman" w:cs="Times New Roman"/>
          <w:sz w:val="24"/>
        </w:rPr>
        <w:t>subtypes.(</w:t>
      </w:r>
      <w:proofErr w:type="gramEnd"/>
      <w:r w:rsidRPr="00444469">
        <w:rPr>
          <w:rFonts w:ascii="Times New Roman" w:hAnsi="Times New Roman" w:cs="Times New Roman"/>
          <w:sz w:val="24"/>
        </w:rPr>
        <w:t>A) GO-CC enrichment results between UC subtypes. (B) GO-MF enrichment results between UC subtypes. (C) GO-BP enrichment results between UC subtypes.</w:t>
      </w:r>
    </w:p>
    <w:p w14:paraId="26B6A3EA" w14:textId="449A3A3E" w:rsidR="00444469" w:rsidRPr="00444469" w:rsidRDefault="00444469" w:rsidP="00444469">
      <w:pPr>
        <w:spacing w:line="480" w:lineRule="auto"/>
        <w:jc w:val="both"/>
        <w:rPr>
          <w:rFonts w:ascii="Times New Roman" w:hAnsi="Times New Roman" w:cs="Times New Roman"/>
          <w:sz w:val="24"/>
        </w:rPr>
      </w:pPr>
      <w:r w:rsidRPr="00444469">
        <w:rPr>
          <w:rFonts w:ascii="Times New Roman" w:hAnsi="Times New Roman" w:cs="Times New Roman"/>
          <w:b/>
          <w:bCs/>
          <w:sz w:val="24"/>
        </w:rPr>
        <w:t>Supplementary Material 5: Supplemental Fig. S5:</w:t>
      </w:r>
      <w:r w:rsidRPr="00444469">
        <w:rPr>
          <w:rFonts w:ascii="Times New Roman" w:hAnsi="Times New Roman" w:cs="Times New Roman"/>
          <w:sz w:val="24"/>
        </w:rPr>
        <w:t xml:space="preserve"> Additional evaluation and interpretability of the seven-gene </w:t>
      </w:r>
      <w:proofErr w:type="gramStart"/>
      <w:r w:rsidRPr="00444469">
        <w:rPr>
          <w:rFonts w:ascii="Times New Roman" w:hAnsi="Times New Roman" w:cs="Times New Roman"/>
          <w:sz w:val="24"/>
        </w:rPr>
        <w:t>signature.(</w:t>
      </w:r>
      <w:proofErr w:type="gramEnd"/>
      <w:r w:rsidRPr="00444469">
        <w:rPr>
          <w:rFonts w:ascii="Times New Roman" w:hAnsi="Times New Roman" w:cs="Times New Roman"/>
          <w:sz w:val="24"/>
        </w:rPr>
        <w:t>A) ROC analysis of each gene in the seven-gene signature. (B) SHAP summary (</w:t>
      </w:r>
      <w:proofErr w:type="spellStart"/>
      <w:r w:rsidRPr="00444469">
        <w:rPr>
          <w:rFonts w:ascii="Times New Roman" w:hAnsi="Times New Roman" w:cs="Times New Roman"/>
          <w:sz w:val="24"/>
        </w:rPr>
        <w:t>beeswarm</w:t>
      </w:r>
      <w:proofErr w:type="spellEnd"/>
      <w:r w:rsidRPr="00444469">
        <w:rPr>
          <w:rFonts w:ascii="Times New Roman" w:hAnsi="Times New Roman" w:cs="Times New Roman"/>
          <w:sz w:val="24"/>
        </w:rPr>
        <w:t>) plot showing global feature contributions. (C) SHAP dependence plots illustrating feature effects on SHAP values.</w:t>
      </w:r>
      <w:r>
        <w:rPr>
          <w:rFonts w:ascii="Times New Roman" w:hAnsi="Times New Roman" w:cs="Times New Roman" w:hint="eastAsia"/>
          <w:sz w:val="24"/>
        </w:rPr>
        <w:t xml:space="preserve"> </w:t>
      </w:r>
      <w:proofErr w:type="gramStart"/>
      <w:r w:rsidRPr="00444469">
        <w:rPr>
          <w:rFonts w:ascii="Times New Roman" w:hAnsi="Times New Roman" w:cs="Times New Roman"/>
          <w:b/>
          <w:bCs/>
          <w:sz w:val="24"/>
        </w:rPr>
        <w:t>Supplementary</w:t>
      </w:r>
      <w:proofErr w:type="gramEnd"/>
      <w:r w:rsidRPr="00444469">
        <w:rPr>
          <w:rFonts w:ascii="Times New Roman" w:hAnsi="Times New Roman" w:cs="Times New Roman"/>
          <w:b/>
          <w:bCs/>
          <w:sz w:val="24"/>
        </w:rPr>
        <w:t xml:space="preserve"> Material 7: Supplemental Table 1:</w:t>
      </w:r>
      <w:r w:rsidRPr="00444469">
        <w:rPr>
          <w:rFonts w:ascii="Times New Roman" w:hAnsi="Times New Roman" w:cs="Times New Roman"/>
          <w:sz w:val="24"/>
        </w:rPr>
        <w:t xml:space="preserve"> Gene sets of all PTM types.</w:t>
      </w:r>
      <w:r>
        <w:rPr>
          <w:rFonts w:ascii="Times New Roman" w:hAnsi="Times New Roman" w:cs="Times New Roman" w:hint="eastAsia"/>
          <w:sz w:val="24"/>
        </w:rPr>
        <w:t xml:space="preserve"> </w:t>
      </w:r>
      <w:proofErr w:type="gramStart"/>
      <w:r w:rsidRPr="00444469">
        <w:rPr>
          <w:rFonts w:ascii="Times New Roman" w:hAnsi="Times New Roman" w:cs="Times New Roman"/>
          <w:b/>
          <w:bCs/>
          <w:sz w:val="24"/>
        </w:rPr>
        <w:lastRenderedPageBreak/>
        <w:t>Supplementary</w:t>
      </w:r>
      <w:proofErr w:type="gramEnd"/>
      <w:r w:rsidRPr="00444469">
        <w:rPr>
          <w:rFonts w:ascii="Times New Roman" w:hAnsi="Times New Roman" w:cs="Times New Roman"/>
          <w:b/>
          <w:bCs/>
          <w:sz w:val="24"/>
        </w:rPr>
        <w:t xml:space="preserve"> Material 8: Supplemental Table 2:</w:t>
      </w:r>
      <w:r w:rsidRPr="00444469">
        <w:rPr>
          <w:rFonts w:ascii="Times New Roman" w:hAnsi="Times New Roman" w:cs="Times New Roman"/>
          <w:sz w:val="24"/>
        </w:rPr>
        <w:t xml:space="preserve"> shRNA sequences.</w:t>
      </w:r>
      <w:r>
        <w:rPr>
          <w:rFonts w:ascii="Times New Roman" w:hAnsi="Times New Roman" w:cs="Times New Roman" w:hint="eastAsia"/>
          <w:sz w:val="24"/>
        </w:rPr>
        <w:t xml:space="preserve"> </w:t>
      </w:r>
      <w:r w:rsidRPr="00444469">
        <w:rPr>
          <w:rFonts w:ascii="Times New Roman" w:hAnsi="Times New Roman" w:cs="Times New Roman"/>
          <w:b/>
          <w:bCs/>
          <w:sz w:val="24"/>
        </w:rPr>
        <w:t>Supplementary Material 9: Supplemental Table 3:</w:t>
      </w:r>
      <w:r w:rsidRPr="00444469">
        <w:rPr>
          <w:rFonts w:ascii="Times New Roman" w:hAnsi="Times New Roman" w:cs="Times New Roman"/>
          <w:sz w:val="24"/>
        </w:rPr>
        <w:t xml:space="preserve"> PCR primer sequences.</w:t>
      </w:r>
      <w:r>
        <w:rPr>
          <w:rFonts w:ascii="Times New Roman" w:hAnsi="Times New Roman" w:cs="Times New Roman" w:hint="eastAsia"/>
          <w:sz w:val="24"/>
        </w:rPr>
        <w:t xml:space="preserve"> </w:t>
      </w:r>
      <w:proofErr w:type="gramStart"/>
      <w:r w:rsidRPr="00444469">
        <w:rPr>
          <w:rFonts w:ascii="Times New Roman" w:hAnsi="Times New Roman" w:cs="Times New Roman"/>
          <w:b/>
          <w:bCs/>
          <w:sz w:val="24"/>
        </w:rPr>
        <w:t>Supplementary</w:t>
      </w:r>
      <w:proofErr w:type="gramEnd"/>
      <w:r w:rsidRPr="00444469">
        <w:rPr>
          <w:rFonts w:ascii="Times New Roman" w:hAnsi="Times New Roman" w:cs="Times New Roman"/>
          <w:b/>
          <w:bCs/>
          <w:sz w:val="24"/>
        </w:rPr>
        <w:t xml:space="preserve"> Material 10: Supplemental Table 4:</w:t>
      </w:r>
      <w:r w:rsidRPr="00444469">
        <w:rPr>
          <w:rFonts w:ascii="Times New Roman" w:hAnsi="Times New Roman" w:cs="Times New Roman"/>
          <w:sz w:val="24"/>
        </w:rPr>
        <w:t xml:space="preserve"> Model genes.</w:t>
      </w:r>
    </w:p>
    <w:p w14:paraId="7C57D223" w14:textId="77777777" w:rsidR="00444469" w:rsidRPr="00444469" w:rsidRDefault="00444469" w:rsidP="00444469">
      <w:pPr>
        <w:spacing w:line="480" w:lineRule="auto"/>
        <w:jc w:val="both"/>
        <w:rPr>
          <w:rFonts w:ascii="Times New Roman" w:hAnsi="Times New Roman" w:cs="Times New Roman"/>
          <w:sz w:val="24"/>
        </w:rPr>
      </w:pPr>
      <w:r w:rsidRPr="00444469">
        <w:rPr>
          <w:rFonts w:ascii="Times New Roman" w:hAnsi="Times New Roman" w:cs="Times New Roman"/>
          <w:b/>
          <w:bCs/>
          <w:sz w:val="24"/>
        </w:rPr>
        <w:t>Supplementary Material 6: Supplemental Fig. S6.</w:t>
      </w:r>
      <w:r w:rsidRPr="00444469">
        <w:rPr>
          <w:rFonts w:ascii="Times New Roman" w:hAnsi="Times New Roman" w:cs="Times New Roman"/>
          <w:sz w:val="24"/>
        </w:rPr>
        <w:t xml:space="preserve"> Additional gene–immune cell correlation analyses in UC subtypes. (A) Scatter plots </w:t>
      </w:r>
      <w:proofErr w:type="gramStart"/>
      <w:r w:rsidRPr="00444469">
        <w:rPr>
          <w:rFonts w:ascii="Times New Roman" w:hAnsi="Times New Roman" w:cs="Times New Roman"/>
          <w:sz w:val="24"/>
        </w:rPr>
        <w:t>showing</w:t>
      </w:r>
      <w:proofErr w:type="gramEnd"/>
      <w:r w:rsidRPr="00444469">
        <w:rPr>
          <w:rFonts w:ascii="Times New Roman" w:hAnsi="Times New Roman" w:cs="Times New Roman"/>
          <w:sz w:val="24"/>
        </w:rPr>
        <w:t xml:space="preserve"> representative correlations between key genes and inferred immune-cell fractions, with linear regression lines and correlation statistics. (B) Heatmap summarizing gene–immune cell correlations across immune cell types.</w:t>
      </w:r>
    </w:p>
    <w:p w14:paraId="76461FFC" w14:textId="445D818D" w:rsidR="0024345B" w:rsidRPr="00444469" w:rsidRDefault="00444469" w:rsidP="00444469">
      <w:pPr>
        <w:spacing w:line="480" w:lineRule="auto"/>
        <w:jc w:val="both"/>
        <w:rPr>
          <w:rFonts w:ascii="Times New Roman" w:hAnsi="Times New Roman" w:cs="Times New Roman"/>
          <w:sz w:val="24"/>
        </w:rPr>
      </w:pPr>
      <w:r w:rsidRPr="00444469">
        <w:rPr>
          <w:rFonts w:ascii="Times New Roman" w:hAnsi="Times New Roman" w:cs="Times New Roman"/>
          <w:b/>
          <w:bCs/>
          <w:sz w:val="24"/>
        </w:rPr>
        <w:t>Supplementary Material 7: Supplemental Fig. S</w:t>
      </w:r>
      <w:r w:rsidRPr="00444469">
        <w:rPr>
          <w:rFonts w:ascii="Times New Roman" w:hAnsi="Times New Roman" w:cs="Times New Roman"/>
          <w:b/>
          <w:bCs/>
          <w:sz w:val="24"/>
        </w:rPr>
        <w:t>7</w:t>
      </w:r>
      <w:r w:rsidRPr="00444469">
        <w:rPr>
          <w:rFonts w:ascii="Times New Roman" w:hAnsi="Times New Roman" w:cs="Times New Roman"/>
          <w:b/>
          <w:bCs/>
          <w:sz w:val="24"/>
        </w:rPr>
        <w:t>:</w:t>
      </w:r>
      <w:r w:rsidRPr="00444469">
        <w:rPr>
          <w:rFonts w:ascii="Times New Roman" w:hAnsi="Times New Roman" w:cs="Times New Roman"/>
          <w:sz w:val="24"/>
        </w:rPr>
        <w:t xml:space="preserve"> Supporting plots for single-cell </w:t>
      </w:r>
      <w:proofErr w:type="gramStart"/>
      <w:r w:rsidRPr="00444469">
        <w:rPr>
          <w:rFonts w:ascii="Times New Roman" w:hAnsi="Times New Roman" w:cs="Times New Roman"/>
          <w:sz w:val="24"/>
        </w:rPr>
        <w:t>analysis.(</w:t>
      </w:r>
      <w:proofErr w:type="gramEnd"/>
      <w:r w:rsidRPr="00444469">
        <w:rPr>
          <w:rFonts w:ascii="Times New Roman" w:hAnsi="Times New Roman" w:cs="Times New Roman"/>
          <w:sz w:val="24"/>
        </w:rPr>
        <w:t>A) PCA plot colored by sample identity (</w:t>
      </w:r>
      <w:proofErr w:type="spellStart"/>
      <w:proofErr w:type="gramStart"/>
      <w:r w:rsidRPr="00444469">
        <w:rPr>
          <w:rFonts w:ascii="Times New Roman" w:hAnsi="Times New Roman" w:cs="Times New Roman"/>
          <w:i/>
          <w:iCs/>
          <w:sz w:val="24"/>
        </w:rPr>
        <w:t>orig.ident</w:t>
      </w:r>
      <w:proofErr w:type="spellEnd"/>
      <w:proofErr w:type="gramEnd"/>
      <w:r w:rsidRPr="00444469">
        <w:rPr>
          <w:rFonts w:ascii="Times New Roman" w:hAnsi="Times New Roman" w:cs="Times New Roman"/>
          <w:sz w:val="24"/>
        </w:rPr>
        <w:t>). (B) Elbow plot showing the standard deviation of principal components. (C) Identification of highly variable genes based on the mean–variance relationship, with representative genes labeled. (D) Scatter plots showing relationships among QC metrics (</w:t>
      </w:r>
      <w:proofErr w:type="spellStart"/>
      <w:r w:rsidRPr="00444469">
        <w:rPr>
          <w:rFonts w:ascii="Times New Roman" w:hAnsi="Times New Roman" w:cs="Times New Roman"/>
          <w:i/>
          <w:iCs/>
          <w:sz w:val="24"/>
        </w:rPr>
        <w:t>nCount_RNA</w:t>
      </w:r>
      <w:proofErr w:type="spellEnd"/>
      <w:r w:rsidRPr="00444469">
        <w:rPr>
          <w:rFonts w:ascii="Times New Roman" w:hAnsi="Times New Roman" w:cs="Times New Roman"/>
          <w:sz w:val="24"/>
        </w:rPr>
        <w:t xml:space="preserve">, </w:t>
      </w:r>
      <w:proofErr w:type="spellStart"/>
      <w:r w:rsidRPr="00444469">
        <w:rPr>
          <w:rFonts w:ascii="Times New Roman" w:hAnsi="Times New Roman" w:cs="Times New Roman"/>
          <w:i/>
          <w:iCs/>
          <w:sz w:val="24"/>
        </w:rPr>
        <w:t>nFeature_RNA</w:t>
      </w:r>
      <w:proofErr w:type="spellEnd"/>
      <w:r w:rsidRPr="00444469">
        <w:rPr>
          <w:rFonts w:ascii="Times New Roman" w:hAnsi="Times New Roman" w:cs="Times New Roman"/>
          <w:sz w:val="24"/>
        </w:rPr>
        <w:t xml:space="preserve">, </w:t>
      </w:r>
      <w:r w:rsidRPr="00444469">
        <w:rPr>
          <w:rFonts w:ascii="Times New Roman" w:hAnsi="Times New Roman" w:cs="Times New Roman"/>
          <w:i/>
          <w:iCs/>
          <w:sz w:val="24"/>
        </w:rPr>
        <w:t>percent.mt</w:t>
      </w:r>
      <w:r w:rsidRPr="00444469">
        <w:rPr>
          <w:rFonts w:ascii="Times New Roman" w:hAnsi="Times New Roman" w:cs="Times New Roman"/>
          <w:sz w:val="24"/>
        </w:rPr>
        <w:t xml:space="preserve">, and </w:t>
      </w:r>
      <w:proofErr w:type="spellStart"/>
      <w:proofErr w:type="gramStart"/>
      <w:r w:rsidRPr="00444469">
        <w:rPr>
          <w:rFonts w:ascii="Times New Roman" w:hAnsi="Times New Roman" w:cs="Times New Roman"/>
          <w:i/>
          <w:iCs/>
          <w:sz w:val="24"/>
        </w:rPr>
        <w:t>percent.HB</w:t>
      </w:r>
      <w:proofErr w:type="spellEnd"/>
      <w:proofErr w:type="gramEnd"/>
      <w:r w:rsidRPr="00444469">
        <w:rPr>
          <w:rFonts w:ascii="Times New Roman" w:hAnsi="Times New Roman" w:cs="Times New Roman"/>
          <w:sz w:val="24"/>
        </w:rPr>
        <w:t>). (E) Violin plots summarizing the distributions of QC metrics across cells.</w:t>
      </w:r>
    </w:p>
    <w:sectPr w:rsidR="0024345B" w:rsidRPr="004444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D9ADF" w14:textId="77777777" w:rsidR="00B27A5C" w:rsidRDefault="00B27A5C" w:rsidP="00444469">
      <w:pPr>
        <w:spacing w:after="0" w:line="240" w:lineRule="auto"/>
        <w:rPr>
          <w:rFonts w:hint="eastAsia"/>
        </w:rPr>
      </w:pPr>
      <w:r>
        <w:separator/>
      </w:r>
    </w:p>
  </w:endnote>
  <w:endnote w:type="continuationSeparator" w:id="0">
    <w:p w14:paraId="4E1D8193" w14:textId="77777777" w:rsidR="00B27A5C" w:rsidRDefault="00B27A5C" w:rsidP="0044446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A112" w14:textId="77777777" w:rsidR="00B27A5C" w:rsidRDefault="00B27A5C" w:rsidP="00444469">
      <w:pPr>
        <w:spacing w:after="0" w:line="240" w:lineRule="auto"/>
        <w:rPr>
          <w:rFonts w:hint="eastAsia"/>
        </w:rPr>
      </w:pPr>
      <w:r>
        <w:separator/>
      </w:r>
    </w:p>
  </w:footnote>
  <w:footnote w:type="continuationSeparator" w:id="0">
    <w:p w14:paraId="310123B8" w14:textId="77777777" w:rsidR="00B27A5C" w:rsidRDefault="00B27A5C" w:rsidP="00444469">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5B"/>
    <w:rsid w:val="0024345B"/>
    <w:rsid w:val="00444469"/>
    <w:rsid w:val="00B27A5C"/>
    <w:rsid w:val="00F22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D4460"/>
  <w15:chartTrackingRefBased/>
  <w15:docId w15:val="{272249F5-3393-4D32-9B88-E83AD659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469"/>
    <w:pPr>
      <w:widowControl w:val="0"/>
    </w:pPr>
  </w:style>
  <w:style w:type="paragraph" w:styleId="1">
    <w:name w:val="heading 1"/>
    <w:basedOn w:val="a"/>
    <w:next w:val="a"/>
    <w:link w:val="10"/>
    <w:uiPriority w:val="9"/>
    <w:qFormat/>
    <w:rsid w:val="0024345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4345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4345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4345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4345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4345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434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34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34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345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4345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4345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4345B"/>
    <w:rPr>
      <w:rFonts w:cstheme="majorBidi"/>
      <w:color w:val="0F4761" w:themeColor="accent1" w:themeShade="BF"/>
      <w:sz w:val="28"/>
      <w:szCs w:val="28"/>
    </w:rPr>
  </w:style>
  <w:style w:type="character" w:customStyle="1" w:styleId="50">
    <w:name w:val="标题 5 字符"/>
    <w:basedOn w:val="a0"/>
    <w:link w:val="5"/>
    <w:uiPriority w:val="9"/>
    <w:semiHidden/>
    <w:rsid w:val="0024345B"/>
    <w:rPr>
      <w:rFonts w:cstheme="majorBidi"/>
      <w:color w:val="0F4761" w:themeColor="accent1" w:themeShade="BF"/>
      <w:sz w:val="24"/>
    </w:rPr>
  </w:style>
  <w:style w:type="character" w:customStyle="1" w:styleId="60">
    <w:name w:val="标题 6 字符"/>
    <w:basedOn w:val="a0"/>
    <w:link w:val="6"/>
    <w:uiPriority w:val="9"/>
    <w:semiHidden/>
    <w:rsid w:val="0024345B"/>
    <w:rPr>
      <w:rFonts w:cstheme="majorBidi"/>
      <w:b/>
      <w:bCs/>
      <w:color w:val="0F4761" w:themeColor="accent1" w:themeShade="BF"/>
    </w:rPr>
  </w:style>
  <w:style w:type="character" w:customStyle="1" w:styleId="70">
    <w:name w:val="标题 7 字符"/>
    <w:basedOn w:val="a0"/>
    <w:link w:val="7"/>
    <w:uiPriority w:val="9"/>
    <w:semiHidden/>
    <w:rsid w:val="0024345B"/>
    <w:rPr>
      <w:rFonts w:cstheme="majorBidi"/>
      <w:b/>
      <w:bCs/>
      <w:color w:val="595959" w:themeColor="text1" w:themeTint="A6"/>
    </w:rPr>
  </w:style>
  <w:style w:type="character" w:customStyle="1" w:styleId="80">
    <w:name w:val="标题 8 字符"/>
    <w:basedOn w:val="a0"/>
    <w:link w:val="8"/>
    <w:uiPriority w:val="9"/>
    <w:semiHidden/>
    <w:rsid w:val="0024345B"/>
    <w:rPr>
      <w:rFonts w:cstheme="majorBidi"/>
      <w:color w:val="595959" w:themeColor="text1" w:themeTint="A6"/>
    </w:rPr>
  </w:style>
  <w:style w:type="character" w:customStyle="1" w:styleId="90">
    <w:name w:val="标题 9 字符"/>
    <w:basedOn w:val="a0"/>
    <w:link w:val="9"/>
    <w:uiPriority w:val="9"/>
    <w:semiHidden/>
    <w:rsid w:val="0024345B"/>
    <w:rPr>
      <w:rFonts w:eastAsiaTheme="majorEastAsia" w:cstheme="majorBidi"/>
      <w:color w:val="595959" w:themeColor="text1" w:themeTint="A6"/>
    </w:rPr>
  </w:style>
  <w:style w:type="paragraph" w:styleId="a3">
    <w:name w:val="Title"/>
    <w:basedOn w:val="a"/>
    <w:next w:val="a"/>
    <w:link w:val="a4"/>
    <w:uiPriority w:val="10"/>
    <w:qFormat/>
    <w:rsid w:val="002434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34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34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34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345B"/>
    <w:pPr>
      <w:spacing w:before="160"/>
      <w:jc w:val="center"/>
    </w:pPr>
    <w:rPr>
      <w:i/>
      <w:iCs/>
      <w:color w:val="404040" w:themeColor="text1" w:themeTint="BF"/>
    </w:rPr>
  </w:style>
  <w:style w:type="character" w:customStyle="1" w:styleId="a8">
    <w:name w:val="引用 字符"/>
    <w:basedOn w:val="a0"/>
    <w:link w:val="a7"/>
    <w:uiPriority w:val="29"/>
    <w:rsid w:val="0024345B"/>
    <w:rPr>
      <w:i/>
      <w:iCs/>
      <w:color w:val="404040" w:themeColor="text1" w:themeTint="BF"/>
    </w:rPr>
  </w:style>
  <w:style w:type="paragraph" w:styleId="a9">
    <w:name w:val="List Paragraph"/>
    <w:basedOn w:val="a"/>
    <w:uiPriority w:val="34"/>
    <w:qFormat/>
    <w:rsid w:val="0024345B"/>
    <w:pPr>
      <w:ind w:left="720"/>
      <w:contextualSpacing/>
    </w:pPr>
  </w:style>
  <w:style w:type="character" w:styleId="aa">
    <w:name w:val="Intense Emphasis"/>
    <w:basedOn w:val="a0"/>
    <w:uiPriority w:val="21"/>
    <w:qFormat/>
    <w:rsid w:val="0024345B"/>
    <w:rPr>
      <w:i/>
      <w:iCs/>
      <w:color w:val="0F4761" w:themeColor="accent1" w:themeShade="BF"/>
    </w:rPr>
  </w:style>
  <w:style w:type="paragraph" w:styleId="ab">
    <w:name w:val="Intense Quote"/>
    <w:basedOn w:val="a"/>
    <w:next w:val="a"/>
    <w:link w:val="ac"/>
    <w:uiPriority w:val="30"/>
    <w:qFormat/>
    <w:rsid w:val="00243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4345B"/>
    <w:rPr>
      <w:i/>
      <w:iCs/>
      <w:color w:val="0F4761" w:themeColor="accent1" w:themeShade="BF"/>
    </w:rPr>
  </w:style>
  <w:style w:type="character" w:styleId="ad">
    <w:name w:val="Intense Reference"/>
    <w:basedOn w:val="a0"/>
    <w:uiPriority w:val="32"/>
    <w:qFormat/>
    <w:rsid w:val="0024345B"/>
    <w:rPr>
      <w:b/>
      <w:bCs/>
      <w:smallCaps/>
      <w:color w:val="0F4761" w:themeColor="accent1" w:themeShade="BF"/>
      <w:spacing w:val="5"/>
    </w:rPr>
  </w:style>
  <w:style w:type="paragraph" w:styleId="ae">
    <w:name w:val="header"/>
    <w:basedOn w:val="a"/>
    <w:link w:val="af"/>
    <w:uiPriority w:val="99"/>
    <w:unhideWhenUsed/>
    <w:rsid w:val="0044446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44469"/>
    <w:rPr>
      <w:sz w:val="18"/>
      <w:szCs w:val="18"/>
    </w:rPr>
  </w:style>
  <w:style w:type="paragraph" w:styleId="af0">
    <w:name w:val="footer"/>
    <w:basedOn w:val="a"/>
    <w:link w:val="af1"/>
    <w:uiPriority w:val="99"/>
    <w:unhideWhenUsed/>
    <w:rsid w:val="0044446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444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326</Words>
  <Characters>2188</Characters>
  <Application>Microsoft Office Word</Application>
  <DocSecurity>0</DocSecurity>
  <Lines>33</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a84947</dc:creator>
  <cp:keywords/>
  <dc:description/>
  <cp:lastModifiedBy>a84947</cp:lastModifiedBy>
  <cp:revision>2</cp:revision>
  <dcterms:created xsi:type="dcterms:W3CDTF">2026-01-28T20:04:00Z</dcterms:created>
  <dcterms:modified xsi:type="dcterms:W3CDTF">2026-01-28T20:11:00Z</dcterms:modified>
</cp:coreProperties>
</file>