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A12C5" w14:textId="77777777" w:rsidR="003D0482" w:rsidRPr="00662C7E" w:rsidRDefault="00000000">
      <w:pPr>
        <w:spacing w:after="100"/>
        <w:rPr>
          <w:rFonts w:ascii="Times New Roman" w:hAnsi="Times New Roman" w:cs="Times New Roman"/>
          <w:sz w:val="28"/>
          <w:szCs w:val="28"/>
        </w:rPr>
      </w:pPr>
      <w:r w:rsidRPr="00662C7E">
        <w:rPr>
          <w:rFonts w:ascii="Times New Roman" w:eastAsia="Arial" w:hAnsi="Times New Roman" w:cs="Times New Roman"/>
          <w:b/>
          <w:bCs/>
          <w:sz w:val="28"/>
          <w:szCs w:val="28"/>
        </w:rPr>
        <w:t>STROBE Statement — Checklist for Observational Studies</w:t>
      </w:r>
    </w:p>
    <w:p w14:paraId="7F3BBA6F" w14:textId="77777777" w:rsidR="00662C7E" w:rsidRDefault="00662C7E">
      <w:pPr>
        <w:spacing w:after="200"/>
        <w:rPr>
          <w:rFonts w:ascii="Times New Roman" w:hAnsi="Times New Roman" w:cs="Times New Roman"/>
          <w:sz w:val="22"/>
          <w:szCs w:val="22"/>
        </w:rPr>
      </w:pPr>
    </w:p>
    <w:p w14:paraId="52CEC01E" w14:textId="69691446" w:rsidR="003D0482" w:rsidRPr="00662C7E" w:rsidRDefault="00000000">
      <w:pPr>
        <w:spacing w:after="200"/>
        <w:rPr>
          <w:rFonts w:ascii="Times New Roman" w:hAnsi="Times New Roman" w:cs="Times New Roman"/>
          <w:sz w:val="22"/>
          <w:szCs w:val="22"/>
        </w:rPr>
      </w:pPr>
      <w:r w:rsidRPr="00662C7E">
        <w:rPr>
          <w:rFonts w:ascii="Times New Roman" w:eastAsia="Arial" w:hAnsi="Times New Roman" w:cs="Times New Roman"/>
          <w:sz w:val="22"/>
          <w:szCs w:val="22"/>
        </w:rPr>
        <w:t>Persistent Emergency Department Burden for High-Specificity Head Injury Phenotypes in Children Younger Than 2 Years Despite Rapid Birth-Cohort Contraction: A Nationwide Population-Based Trend Study in South Korea, 2016–2023</w:t>
      </w:r>
    </w:p>
    <w:p w14:paraId="212A79B8" w14:textId="77777777" w:rsidR="00662C7E" w:rsidRDefault="00662C7E">
      <w:pPr>
        <w:spacing w:after="300"/>
        <w:rPr>
          <w:rFonts w:ascii="Times New Roman" w:hAnsi="Times New Roman" w:cs="Times New Roman"/>
          <w:sz w:val="22"/>
          <w:szCs w:val="22"/>
        </w:rPr>
      </w:pPr>
    </w:p>
    <w:p w14:paraId="60AD33B6" w14:textId="316C41F1" w:rsidR="003D0482" w:rsidRPr="00662C7E" w:rsidRDefault="00000000">
      <w:pPr>
        <w:spacing w:after="300"/>
        <w:rPr>
          <w:rFonts w:ascii="Times New Roman" w:hAnsi="Times New Roman" w:cs="Times New Roman"/>
          <w:sz w:val="22"/>
          <w:szCs w:val="22"/>
        </w:rPr>
      </w:pPr>
      <w:r w:rsidRPr="00662C7E">
        <w:rPr>
          <w:rFonts w:ascii="Times New Roman" w:eastAsia="Arial" w:hAnsi="Times New Roman" w:cs="Times New Roman"/>
          <w:sz w:val="22"/>
          <w:szCs w:val="22"/>
        </w:rPr>
        <w:t>Study design: Nationwide population-based observational study (time-series analysis with descriptive epidemiology as primary analysis and interrupted time-series as secondary analysis).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677"/>
        <w:gridCol w:w="3963"/>
        <w:gridCol w:w="2614"/>
      </w:tblGrid>
      <w:tr w:rsidR="003D0482" w14:paraId="07512831" w14:textId="77777777" w:rsidTr="00662C7E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A5ADC6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086AE8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FA285C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Recommendation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EB48B5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Page / Location in manuscript</w:t>
            </w:r>
          </w:p>
        </w:tc>
      </w:tr>
      <w:tr w:rsidR="003D0482" w14:paraId="6AF18B98" w14:textId="77777777" w:rsidTr="00662C7E">
        <w:tc>
          <w:tcPr>
            <w:tcW w:w="9360" w:type="dxa"/>
            <w:gridSpan w:val="4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7F8A82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Title and abstract</w:t>
            </w:r>
          </w:p>
        </w:tc>
      </w:tr>
      <w:tr w:rsidR="003D0482" w14:paraId="6E59481B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853569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Title and abstract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5EEC43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1(a)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9AAE7E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Indicate the study's design with a commonly used term in the title or the abstract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24DDAF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Title ("Nationwide Population-Based Trend Study"); Abstract Methods</w:t>
            </w:r>
          </w:p>
        </w:tc>
      </w:tr>
      <w:tr w:rsidR="003D0482" w14:paraId="2D5241BD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302339" w14:textId="77777777" w:rsidR="003D0482" w:rsidRDefault="003D0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C445CE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1(b)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B6D2AA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Provide in the abstract an informative and balanced summary of what was done and what was found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BCB400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Abstract (structured: Background, Methods, Results, Conclusions)</w:t>
            </w:r>
          </w:p>
        </w:tc>
      </w:tr>
      <w:tr w:rsidR="003D0482" w14:paraId="5FC557FF" w14:textId="77777777" w:rsidTr="00662C7E">
        <w:tc>
          <w:tcPr>
            <w:tcW w:w="9360" w:type="dxa"/>
            <w:gridSpan w:val="4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B0AC0D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Introduction</w:t>
            </w:r>
          </w:p>
        </w:tc>
      </w:tr>
      <w:tr w:rsidR="003D0482" w14:paraId="0C73B90C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CDB358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Background/rationale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660B69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D0B030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Explain the scientific background and rationale for the investigation being reported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03CA46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Background, paragraphs 1–3</w:t>
            </w:r>
          </w:p>
        </w:tc>
      </w:tr>
      <w:tr w:rsidR="003D0482" w14:paraId="79405D29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8EBE20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Objectives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20B760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7D156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State specific objectives, including any prespecified hypotheses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96CCED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Background, final paragraph</w:t>
            </w:r>
          </w:p>
        </w:tc>
      </w:tr>
      <w:tr w:rsidR="003D0482" w14:paraId="63EBA472" w14:textId="77777777" w:rsidTr="00662C7E">
        <w:tc>
          <w:tcPr>
            <w:tcW w:w="9360" w:type="dxa"/>
            <w:gridSpan w:val="4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42EF85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Methods</w:t>
            </w:r>
          </w:p>
        </w:tc>
      </w:tr>
      <w:tr w:rsidR="003D0482" w14:paraId="13246170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108F2A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Study design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5131B9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ED5C86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Present key elements of study design early in the paper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03641B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Methods — Study design and setting</w:t>
            </w:r>
          </w:p>
        </w:tc>
      </w:tr>
      <w:tr w:rsidR="003D0482" w14:paraId="1AFA8587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BAC274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Setting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C2C1E5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953B72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16424E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Methods — Study design and setting (NEDIS, South Korea, Jan 2016–Dec 2023; 96 months)</w:t>
            </w:r>
          </w:p>
        </w:tc>
      </w:tr>
      <w:tr w:rsidR="003D0482" w14:paraId="1E025944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E158B3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Participants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147789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6(a)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3A9891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Cross-sectional study — Give the eligibility criteria, and the sources and methods of selection of participants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FBA554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Methods — Study population (ICD-10 S06.4–S06.6 and/or S02.0–S02.1, S02.8–S02.9 in children aged &lt;24 months)</w:t>
            </w:r>
          </w:p>
        </w:tc>
      </w:tr>
      <w:tr w:rsidR="003D0482" w14:paraId="20C4B05B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273FB2" w14:textId="77777777" w:rsidR="003D0482" w:rsidRDefault="003D0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C38023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6(b)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17647A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Not applicable (no matching)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768B24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N/A</w:t>
            </w:r>
          </w:p>
        </w:tc>
      </w:tr>
      <w:tr w:rsidR="003D0482" w14:paraId="3F650D7F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AE6974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Variables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104B2D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20D47D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84A2C5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Methods — Phenotype selection rationale; Outcome measures</w:t>
            </w:r>
          </w:p>
        </w:tc>
      </w:tr>
      <w:tr w:rsidR="003D0482" w14:paraId="16D5531D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C3A83D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lastRenderedPageBreak/>
              <w:t>Data sources / measurement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1A039A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0903CF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For each variable of interest, give sources of data and details of methods of assessment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E40660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Methods — Study design (NEDIS); Outcome measures (KOSIS for denominators)</w:t>
            </w:r>
          </w:p>
        </w:tc>
      </w:tr>
      <w:tr w:rsidR="003D0482" w14:paraId="24DBD0E5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E248E5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Bias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1325FF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A5994D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Describe any efforts to address potential sources of bias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F70DDE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Methods — Statistical analysis (coding practice assessment; age-based comparator; sensitivity analyses including single-breakpoint and negative binomial specifications)</w:t>
            </w:r>
          </w:p>
        </w:tc>
      </w:tr>
      <w:tr w:rsidR="003D0482" w14:paraId="3FF13FF6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E9B377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Study size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96A0A3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9D8733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Explain how the study size was arrived at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587E47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Results — Study population (all eligible visits in NEDIS during study period; no sample size calculation required given population-based design)</w:t>
            </w:r>
          </w:p>
        </w:tc>
      </w:tr>
      <w:tr w:rsidR="003D0482" w14:paraId="7BEBBB90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2F95DD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Quantitative variables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94FC6E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A4C3D4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Explain how quantitative variables were handled in the </w:t>
            </w:r>
            <w:proofErr w:type="gramStart"/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analyses</w:t>
            </w:r>
            <w:proofErr w:type="gramEnd"/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. If applicable, describe which groupings were chosen and why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F97AE1" w14:textId="0B9B28A6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Methods — Study population (5-interval age stratification); Outcome measures (monthly population-based rate per 100</w:t>
            </w:r>
            <w:r w:rsidR="002E0130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,</w:t>
            </w: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000)</w:t>
            </w:r>
          </w:p>
        </w:tc>
      </w:tr>
      <w:tr w:rsidR="003D0482" w14:paraId="0F2C84BA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877B80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Statistical methods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999E76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12(a)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610137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Describe all statistical methods, including those used to control for confounding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7867A1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Methods — Statistical analysis (primary descriptive trends; secondary ITS with Newey-West HAC SE)</w:t>
            </w:r>
          </w:p>
        </w:tc>
      </w:tr>
      <w:tr w:rsidR="003D0482" w14:paraId="4398A44F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EC8327" w14:textId="77777777" w:rsidR="003D0482" w:rsidRDefault="003D0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702FC2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12(b)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E4EEFC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Describe any methods used to examine subgroups and interactions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B0F44A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Methods — Age-based comparator (age × COVID interaction)</w:t>
            </w:r>
          </w:p>
        </w:tc>
      </w:tr>
      <w:tr w:rsidR="003D0482" w14:paraId="674AB42E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E4340E" w14:textId="77777777" w:rsidR="003D0482" w:rsidRDefault="003D0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ADD042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12(c)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1B3F48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Explain how missing data were addressed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5775AF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Administrative </w:t>
            </w:r>
            <w:proofErr w:type="gramStart"/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data;</w:t>
            </w:r>
            <w:proofErr w:type="gramEnd"/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no imputation applied. Not explicitly addressed — administrative data are population-level aggregate</w:t>
            </w:r>
          </w:p>
        </w:tc>
      </w:tr>
      <w:tr w:rsidR="003D0482" w14:paraId="75D00377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EF4159" w14:textId="77777777" w:rsidR="003D0482" w:rsidRDefault="003D0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AAB7BD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12(d)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57C7A4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Not applicable (cross-sectional/trend, no follow-up loss)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92D3B1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N/A</w:t>
            </w:r>
          </w:p>
        </w:tc>
      </w:tr>
      <w:tr w:rsidR="003D0482" w14:paraId="5A62831E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21E816" w14:textId="77777777" w:rsidR="003D0482" w:rsidRDefault="003D0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D17792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12(e)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E5053E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Describe any sensitivity analyses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06CFE7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Methods — Sensitivity analyses (single-breakpoint model; negative binomial regression with population offset); eTable 1</w:t>
            </w:r>
          </w:p>
        </w:tc>
      </w:tr>
      <w:tr w:rsidR="003D0482" w14:paraId="769B2009" w14:textId="77777777" w:rsidTr="00662C7E">
        <w:tc>
          <w:tcPr>
            <w:tcW w:w="9360" w:type="dxa"/>
            <w:gridSpan w:val="4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4D0A91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Results</w:t>
            </w:r>
          </w:p>
        </w:tc>
      </w:tr>
      <w:tr w:rsidR="003D0482" w14:paraId="679095AE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28DE6C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lastRenderedPageBreak/>
              <w:t>Participants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E9B778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13(a)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302F17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Report numbers of individuals at each stage of study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8B5D8B" w14:textId="0C8D7E60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Results — Study population (622</w:t>
            </w:r>
            <w:r w:rsidR="002E0130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,</w:t>
            </w: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672 injury visits; 11</w:t>
            </w:r>
            <w:r w:rsidR="002E0130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,</w:t>
            </w: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316 phenotype cases)</w:t>
            </w:r>
          </w:p>
        </w:tc>
      </w:tr>
      <w:tr w:rsidR="003D0482" w14:paraId="51FC509A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CB1B8A" w14:textId="77777777" w:rsidR="003D0482" w:rsidRDefault="003D0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EC431D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13(b)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D7A266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Give reasons for non-participation at each stage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7E0E6D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N/A (administrative data; all eligible visits included)</w:t>
            </w:r>
          </w:p>
        </w:tc>
      </w:tr>
      <w:tr w:rsidR="003D0482" w14:paraId="4C8B6EC0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ACF817" w14:textId="77777777" w:rsidR="003D0482" w:rsidRDefault="003D0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B66386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13(c)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14C4FF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Consider use of a flow diagram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D6691D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Not included (administrative data; case selection by ICD codes)</w:t>
            </w:r>
          </w:p>
        </w:tc>
      </w:tr>
      <w:tr w:rsidR="003D0482" w14:paraId="0E67E3B1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24A733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Descriptive data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2F1523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14(a)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4AAFBD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Give characteristics of study participants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44BF33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Results — Study population (Table 1); age, sex, KTAS, ICU/death, off-hours, transfer)</w:t>
            </w:r>
          </w:p>
        </w:tc>
      </w:tr>
      <w:tr w:rsidR="003D0482" w14:paraId="4D4EBB21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96C0D0" w14:textId="77777777" w:rsidR="003D0482" w:rsidRDefault="003D0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6FB84A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14(b)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FDC8B9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Indicate number of participants with missing data for each variable of interest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0A32E1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Complete-case</w:t>
            </w:r>
            <w:proofErr w:type="gramEnd"/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analysis on administrative data aggregated to monthly counts; missing data not separately quantified given aggregate structure</w:t>
            </w:r>
          </w:p>
        </w:tc>
      </w:tr>
      <w:tr w:rsidR="003D0482" w14:paraId="21387B53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6DAF36" w14:textId="77777777" w:rsidR="003D0482" w:rsidRDefault="003D0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E79CBB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14(c)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74A446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Cohort study — Summarise follow-up time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CEF276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N/A (cross-sectional/trend design)</w:t>
            </w:r>
          </w:p>
        </w:tc>
      </w:tr>
      <w:tr w:rsidR="003D0482" w14:paraId="04D120D1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DFEC8E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Outcome data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82CF6A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5BE875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Report numbers of outcome events or summary measures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F186E8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Results — Table 1 (annual cases, rates, proportions); Figure 1 (monthly counts and rates)</w:t>
            </w:r>
          </w:p>
        </w:tc>
      </w:tr>
      <w:tr w:rsidR="003D0482" w14:paraId="2C3521C8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E49DAF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Main results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821F6A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16(a)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FBDB02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Give unadjusted estimates and, if applicable, confounder-adjusted estimates and their precision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0DA9BA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Results — Table 2 (ITS coefficients with 95% CI); Temporal trends section</w:t>
            </w:r>
          </w:p>
        </w:tc>
      </w:tr>
      <w:tr w:rsidR="003D0482" w14:paraId="5B35FB00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5DCE00" w14:textId="77777777" w:rsidR="003D0482" w:rsidRDefault="003D0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B48F65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16(b)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EDF4C7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Report category boundaries when continuous variables were categorized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D43D07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Methods — age categories 0–5, 6–11, 12–23, 24–47, 48–119 months</w:t>
            </w:r>
          </w:p>
        </w:tc>
      </w:tr>
      <w:tr w:rsidR="003D0482" w14:paraId="6BA9142D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EB1773" w14:textId="77777777" w:rsidR="003D0482" w:rsidRDefault="003D0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EF7890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16(c)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F0E15D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Not applicable (not translating relative to absolute risk)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027757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N/A</w:t>
            </w:r>
          </w:p>
        </w:tc>
      </w:tr>
      <w:tr w:rsidR="003D0482" w14:paraId="23575E91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77FECE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Other analyses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76F370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65D7EB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Report other analyses done — e.g. analyses of subgroups and interactions, and sensitivity analyses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19301C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Results — Sensitivity analyses; Supplement (eTables 1–3)</w:t>
            </w:r>
          </w:p>
        </w:tc>
      </w:tr>
      <w:tr w:rsidR="003D0482" w14:paraId="77379332" w14:textId="77777777" w:rsidTr="00662C7E">
        <w:tc>
          <w:tcPr>
            <w:tcW w:w="9360" w:type="dxa"/>
            <w:gridSpan w:val="4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D3A396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Discussion</w:t>
            </w:r>
          </w:p>
        </w:tc>
      </w:tr>
      <w:tr w:rsidR="003D0482" w14:paraId="041E2014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16DFF9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Key results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9B2235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7C216C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Summarise key results with reference to study objectives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1B01BB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Discussion — first paragraph</w:t>
            </w:r>
          </w:p>
        </w:tc>
      </w:tr>
      <w:tr w:rsidR="003D0482" w14:paraId="7E83F7E9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C15B23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Limitations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D211B6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FE2BF7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Discuss limitations of the study, </w:t>
            </w:r>
            <w:proofErr w:type="gramStart"/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taking into account</w:t>
            </w:r>
            <w:proofErr w:type="gramEnd"/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sources of potential bias or imprecision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E9A5A1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Discussion — Strengths and limitations</w:t>
            </w:r>
          </w:p>
        </w:tc>
      </w:tr>
      <w:tr w:rsidR="003D0482" w14:paraId="2F1B0A89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CAB176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lastRenderedPageBreak/>
              <w:t>Interpretation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06D39C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F0D60B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50640D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Discussion — paragraphs 2–6</w:t>
            </w:r>
          </w:p>
        </w:tc>
      </w:tr>
      <w:tr w:rsidR="003D0482" w14:paraId="71D203D2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6FEC02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Generalisability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BDD215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3142CD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Discuss the generalisability (external validity) of the study results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DC7DC7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Discussion — final paragraph of Strengths and limitations</w:t>
            </w:r>
          </w:p>
        </w:tc>
      </w:tr>
      <w:tr w:rsidR="003D0482" w14:paraId="3A35B1E7" w14:textId="77777777" w:rsidTr="00662C7E">
        <w:tc>
          <w:tcPr>
            <w:tcW w:w="9360" w:type="dxa"/>
            <w:gridSpan w:val="4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E988E6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Other information</w:t>
            </w:r>
          </w:p>
        </w:tc>
      </w:tr>
      <w:tr w:rsidR="003D0482" w14:paraId="14F2A0DE" w14:textId="77777777"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F6B64C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Funding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BC511B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806E4C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sz w:val="22"/>
                <w:szCs w:val="22"/>
              </w:rPr>
              <w:t>Give the source of funding and the role of the funders</w:t>
            </w:r>
          </w:p>
        </w:tc>
        <w:tc>
          <w:tcPr>
            <w:tcW w:w="2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142C42" w14:textId="77777777" w:rsidR="003D048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C7E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Funding section (KHIDI RS-2022-KH130266, Ministry of Health &amp; Welfare, Republic of Korea)</w:t>
            </w:r>
          </w:p>
        </w:tc>
      </w:tr>
    </w:tbl>
    <w:p w14:paraId="3B1223AA" w14:textId="6F1DE863" w:rsidR="003D0482" w:rsidRPr="00662C7E" w:rsidRDefault="003D0482" w:rsidP="00662C7E">
      <w:pPr>
        <w:spacing w:before="400" w:after="100"/>
        <w:rPr>
          <w:rFonts w:ascii="Times New Roman" w:hAnsi="Times New Roman" w:cs="Times New Roman"/>
          <w:sz w:val="22"/>
          <w:szCs w:val="22"/>
        </w:rPr>
      </w:pPr>
    </w:p>
    <w:sectPr w:rsidR="003D0482" w:rsidRPr="00662C7E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B22C0" w14:textId="77777777" w:rsidR="00B15AAD" w:rsidRDefault="00B15AAD" w:rsidP="00662C7E">
      <w:r>
        <w:separator/>
      </w:r>
    </w:p>
  </w:endnote>
  <w:endnote w:type="continuationSeparator" w:id="0">
    <w:p w14:paraId="5E83C851" w14:textId="77777777" w:rsidR="00B15AAD" w:rsidRDefault="00B15AAD" w:rsidP="00662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DA760" w14:textId="77777777" w:rsidR="00B15AAD" w:rsidRDefault="00B15AAD" w:rsidP="00662C7E">
      <w:r>
        <w:separator/>
      </w:r>
    </w:p>
  </w:footnote>
  <w:footnote w:type="continuationSeparator" w:id="0">
    <w:p w14:paraId="6B9A2511" w14:textId="77777777" w:rsidR="00B15AAD" w:rsidRDefault="00B15AAD" w:rsidP="00662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isplayBackgroundShape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0482"/>
    <w:rsid w:val="002E0130"/>
    <w:rsid w:val="003D0482"/>
    <w:rsid w:val="00490F67"/>
    <w:rsid w:val="00662C7E"/>
    <w:rsid w:val="00B15AAD"/>
    <w:rsid w:val="00C5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401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맑은 고딕" w:hAnsi="Arial" w:cs="Arial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662C7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662C7E"/>
  </w:style>
  <w:style w:type="paragraph" w:styleId="ab">
    <w:name w:val="footer"/>
    <w:basedOn w:val="a"/>
    <w:link w:val="Char2"/>
    <w:uiPriority w:val="99"/>
    <w:unhideWhenUsed/>
    <w:rsid w:val="00662C7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662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895</Words>
  <Characters>5105</Characters>
  <Application>Microsoft Office Word</Application>
  <DocSecurity>0</DocSecurity>
  <Lines>42</Lines>
  <Paragraphs>11</Paragraphs>
  <ScaleCrop>false</ScaleCrop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2026-04-20T14:52:00Z</dcterms:created>
  <dcterms:modified xsi:type="dcterms:W3CDTF">2026-04-20T15:24:00Z</dcterms:modified>
  <cp:version>1200.0100.01</cp:version>
</cp:coreProperties>
</file>