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AFBCA" w14:textId="77777777" w:rsidR="004B35DC" w:rsidRPr="00112898" w:rsidRDefault="00000000">
      <w:pPr>
        <w:spacing w:before="240" w:after="180" w:line="360" w:lineRule="auto"/>
      </w:pPr>
      <w:r w:rsidRPr="00112898">
        <w:rPr>
          <w:rFonts w:eastAsia="Times New Roman"/>
          <w:b/>
          <w:bCs/>
        </w:rPr>
        <w:t>Supplementary Material</w:t>
      </w:r>
    </w:p>
    <w:p w14:paraId="01AA34FA" w14:textId="77777777" w:rsidR="004B35DC" w:rsidRPr="00112898" w:rsidRDefault="00000000">
      <w:pPr>
        <w:spacing w:after="240" w:line="360" w:lineRule="auto"/>
      </w:pPr>
      <w:r w:rsidRPr="00112898">
        <w:rPr>
          <w:rFonts w:eastAsia="Times New Roman"/>
        </w:rPr>
        <w:t>Persistent Emergency Department Burden for High-Specificity Head Injury Phenotypes in Children Younger Than 2 Years Despite Rapid Birth-Cohort Contraction: A Nationwide Population-Based Trend Study in South Korea, 2016–2023</w:t>
      </w:r>
    </w:p>
    <w:p w14:paraId="79BEFDF5" w14:textId="77777777" w:rsidR="004B35DC" w:rsidRPr="00112898" w:rsidRDefault="00000000">
      <w:pPr>
        <w:spacing w:before="240" w:after="180" w:line="360" w:lineRule="auto"/>
      </w:pPr>
      <w:r w:rsidRPr="00112898">
        <w:rPr>
          <w:rFonts w:eastAsia="Times New Roman"/>
          <w:b/>
          <w:bCs/>
        </w:rPr>
        <w:t>Contents</w:t>
      </w:r>
    </w:p>
    <w:p w14:paraId="2F21A77A" w14:textId="77777777" w:rsidR="004B35DC" w:rsidRPr="00112898" w:rsidRDefault="00000000">
      <w:pPr>
        <w:spacing w:after="120" w:line="360" w:lineRule="auto"/>
      </w:pPr>
      <w:proofErr w:type="spellStart"/>
      <w:r w:rsidRPr="00112898">
        <w:rPr>
          <w:rFonts w:eastAsia="Times New Roman"/>
        </w:rPr>
        <w:t>eTable</w:t>
      </w:r>
      <w:proofErr w:type="spellEnd"/>
      <w:r w:rsidRPr="00112898">
        <w:rPr>
          <w:rFonts w:eastAsia="Times New Roman"/>
        </w:rPr>
        <w:t xml:space="preserve"> 1. Sensitivity of Interrupted Time-Series Results Across Model Specifications</w:t>
      </w:r>
    </w:p>
    <w:p w14:paraId="3922C1EC" w14:textId="77777777" w:rsidR="004B35DC" w:rsidRPr="00112898" w:rsidRDefault="00000000">
      <w:pPr>
        <w:spacing w:after="120" w:line="360" w:lineRule="auto"/>
      </w:pPr>
      <w:proofErr w:type="spellStart"/>
      <w:r w:rsidRPr="00112898">
        <w:rPr>
          <w:rFonts w:eastAsia="Times New Roman"/>
        </w:rPr>
        <w:t>eTable</w:t>
      </w:r>
      <w:proofErr w:type="spellEnd"/>
      <w:r w:rsidRPr="00112898">
        <w:rPr>
          <w:rFonts w:eastAsia="Times New Roman"/>
        </w:rPr>
        <w:t xml:space="preserve"> 2. Interrupted Time-Series Results by Age Subgroup, With Interaction Tests</w:t>
      </w:r>
    </w:p>
    <w:p w14:paraId="057642F8" w14:textId="77777777" w:rsidR="004B35DC" w:rsidRPr="00112898" w:rsidRDefault="00000000">
      <w:pPr>
        <w:spacing w:after="120" w:line="360" w:lineRule="auto"/>
      </w:pPr>
      <w:proofErr w:type="spellStart"/>
      <w:r w:rsidRPr="00112898">
        <w:rPr>
          <w:rFonts w:eastAsia="Times New Roman"/>
        </w:rPr>
        <w:t>eTable</w:t>
      </w:r>
      <w:proofErr w:type="spellEnd"/>
      <w:r w:rsidRPr="00112898">
        <w:rPr>
          <w:rFonts w:eastAsia="Times New Roman"/>
        </w:rPr>
        <w:t xml:space="preserve"> 3. Assessment of Temporal Changes in Diagnostic Coding Practice</w:t>
      </w:r>
    </w:p>
    <w:p w14:paraId="24F3DB78" w14:textId="77777777" w:rsidR="004B35DC" w:rsidRPr="00112898" w:rsidRDefault="00000000">
      <w:pPr>
        <w:spacing w:after="120" w:line="360" w:lineRule="auto"/>
      </w:pPr>
      <w:r w:rsidRPr="00112898">
        <w:rPr>
          <w:rFonts w:eastAsia="Times New Roman"/>
        </w:rPr>
        <w:t>STROBE Checklist for Observational Studies (provided as a separate file)</w:t>
      </w:r>
    </w:p>
    <w:p w14:paraId="3A3746FD" w14:textId="77777777" w:rsidR="004B35DC" w:rsidRPr="00112898" w:rsidRDefault="00000000">
      <w:r w:rsidRPr="00112898">
        <w:br w:type="page"/>
      </w:r>
    </w:p>
    <w:p w14:paraId="75AB1AD1" w14:textId="77777777" w:rsidR="004B35DC" w:rsidRPr="00112898" w:rsidRDefault="00000000">
      <w:pPr>
        <w:spacing w:before="360" w:after="180" w:line="360" w:lineRule="auto"/>
      </w:pPr>
      <w:proofErr w:type="spellStart"/>
      <w:r w:rsidRPr="00112898">
        <w:rPr>
          <w:rFonts w:eastAsia="Times New Roman"/>
          <w:b/>
          <w:bCs/>
        </w:rPr>
        <w:lastRenderedPageBreak/>
        <w:t>eTable</w:t>
      </w:r>
      <w:proofErr w:type="spellEnd"/>
      <w:r w:rsidRPr="00112898">
        <w:rPr>
          <w:rFonts w:eastAsia="Times New Roman"/>
          <w:b/>
          <w:bCs/>
        </w:rPr>
        <w:t xml:space="preserve"> 1. Sensitivity of Interrupted Time-Series Results Across Model Specifications</w:t>
      </w:r>
    </w:p>
    <w:p w14:paraId="4030CBFF" w14:textId="11A61835" w:rsidR="004B35DC" w:rsidRPr="00112898" w:rsidRDefault="00000000">
      <w:pPr>
        <w:spacing w:after="180" w:line="360" w:lineRule="auto"/>
      </w:pPr>
      <w:r w:rsidRPr="00112898">
        <w:rPr>
          <w:rFonts w:eastAsia="Times New Roman"/>
        </w:rPr>
        <w:t>Outcome: monthly population-based rate of emergency department contacts for high-specificity head injury phenotypes (intracranial hemorrhage with or without skull fracture) per 100</w:t>
      </w:r>
      <w:r w:rsidR="00732243">
        <w:rPr>
          <w:rFonts w:hint="eastAsia"/>
        </w:rPr>
        <w:t>,</w:t>
      </w:r>
      <w:r w:rsidRPr="00112898">
        <w:rPr>
          <w:rFonts w:eastAsia="Times New Roman"/>
        </w:rPr>
        <w:t>000 children aged &lt;24 months. Three model specifications are presented: the primary model, a single-breakpoint model, and a negative binomial model with a population offset.</w:t>
      </w:r>
    </w:p>
    <w:tbl>
      <w:tblPr>
        <w:tblW w:w="936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320"/>
        <w:gridCol w:w="2320"/>
        <w:gridCol w:w="2320"/>
      </w:tblGrid>
      <w:tr w:rsidR="004B35DC" w:rsidRPr="00112898" w14:paraId="7BEC1499" w14:textId="77777777" w:rsidTr="00112898">
        <w:trPr>
          <w:cantSplit/>
        </w:trPr>
        <w:tc>
          <w:tcPr>
            <w:tcW w:w="2400" w:type="dxa"/>
            <w:tcBorders>
              <w:bottom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0ECA15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  <w:b/>
                <w:bCs/>
              </w:rPr>
              <w:t>Parameter</w:t>
            </w:r>
          </w:p>
        </w:tc>
        <w:tc>
          <w:tcPr>
            <w:tcW w:w="2320" w:type="dxa"/>
            <w:tcBorders>
              <w:bottom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6B564D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  <w:b/>
                <w:bCs/>
              </w:rPr>
              <w:t>Primary model: OLS with Newey–West SE, two breakpoints</w:t>
            </w:r>
          </w:p>
        </w:tc>
        <w:tc>
          <w:tcPr>
            <w:tcW w:w="2320" w:type="dxa"/>
            <w:tcBorders>
              <w:bottom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DABD89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  <w:b/>
                <w:bCs/>
              </w:rPr>
              <w:t>Single-breakpoint model: OLS with Newey–West SE, COVID only</w:t>
            </w:r>
          </w:p>
        </w:tc>
        <w:tc>
          <w:tcPr>
            <w:tcW w:w="2320" w:type="dxa"/>
            <w:tcBorders>
              <w:bottom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A60A76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  <w:b/>
                <w:bCs/>
              </w:rPr>
              <w:t>Negative binomial model, two breakpoints, population offset</w:t>
            </w:r>
          </w:p>
        </w:tc>
      </w:tr>
      <w:tr w:rsidR="004B35DC" w:rsidRPr="00112898" w14:paraId="17D7A160" w14:textId="77777777" w:rsidTr="00112898">
        <w:trPr>
          <w:cantSplit/>
        </w:trPr>
        <w:tc>
          <w:tcPr>
            <w:tcW w:w="2400" w:type="dxa"/>
            <w:tcBorders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DF3994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Secular trend</w:t>
            </w:r>
          </w:p>
        </w:tc>
        <w:tc>
          <w:tcPr>
            <w:tcW w:w="2320" w:type="dxa"/>
            <w:tcBorders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B0B051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β=+0.128 (95% CI 0.095 to 0.161); p&lt;0.001</w:t>
            </w:r>
          </w:p>
        </w:tc>
        <w:tc>
          <w:tcPr>
            <w:tcW w:w="2320" w:type="dxa"/>
            <w:tcBorders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68ED31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β=+0.127 (95% CI 0.094 to 0.161); p&lt;0.001</w:t>
            </w:r>
          </w:p>
        </w:tc>
        <w:tc>
          <w:tcPr>
            <w:tcW w:w="2320" w:type="dxa"/>
            <w:tcBorders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603B81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IRR=1.008 (95% CI 1.006 to 1.010); p&lt;0.001</w:t>
            </w:r>
          </w:p>
        </w:tc>
      </w:tr>
      <w:tr w:rsidR="004B35DC" w:rsidRPr="00112898" w14:paraId="07B3F311" w14:textId="77777777" w:rsidTr="00112898">
        <w:trPr>
          <w:cantSplit/>
        </w:trPr>
        <w:tc>
          <w:tcPr>
            <w:tcW w:w="24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56ADBA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COVID-19 level change (March 2020)</w:t>
            </w:r>
          </w:p>
        </w:tc>
        <w:tc>
          <w:tcPr>
            <w:tcW w:w="232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387D9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β=−3.215 (95% CI −6.885 to 0.456); p=0.086</w:t>
            </w:r>
          </w:p>
        </w:tc>
        <w:tc>
          <w:tcPr>
            <w:tcW w:w="232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8F4A0D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β=−1.610 (95% CI −2.922 to −0.299); p=0.016</w:t>
            </w:r>
          </w:p>
        </w:tc>
        <w:tc>
          <w:tcPr>
            <w:tcW w:w="232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18B3BC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IRR=0.826 (95% CI 0.668 to 1.020); p=0.076</w:t>
            </w:r>
          </w:p>
        </w:tc>
      </w:tr>
      <w:tr w:rsidR="004B35DC" w:rsidRPr="00112898" w14:paraId="1E78DEF8" w14:textId="77777777" w:rsidTr="00112898">
        <w:trPr>
          <w:cantSplit/>
        </w:trPr>
        <w:tc>
          <w:tcPr>
            <w:tcW w:w="24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807665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COVID-19 slope change</w:t>
            </w:r>
          </w:p>
        </w:tc>
        <w:tc>
          <w:tcPr>
            <w:tcW w:w="232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4AC267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β=+0.349 (95% CI −0.405 to 1.103); p=0.365</w:t>
            </w:r>
          </w:p>
        </w:tc>
        <w:tc>
          <w:tcPr>
            <w:tcW w:w="232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10CEB9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β=−0.030 (95% CI −0.080 to 0.020); p=0.240</w:t>
            </w:r>
          </w:p>
        </w:tc>
        <w:tc>
          <w:tcPr>
            <w:tcW w:w="232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D758DC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IRR=1.019 (95% CI 0.974 to 1.065); p=0.419</w:t>
            </w:r>
          </w:p>
        </w:tc>
      </w:tr>
      <w:tr w:rsidR="004B35DC" w:rsidRPr="00112898" w14:paraId="75EFE90D" w14:textId="77777777" w:rsidTr="00112898">
        <w:trPr>
          <w:cantSplit/>
        </w:trPr>
        <w:tc>
          <w:tcPr>
            <w:tcW w:w="24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0E8AEA" w14:textId="77777777" w:rsidR="004B35DC" w:rsidRPr="00112898" w:rsidRDefault="00000000">
            <w:pPr>
              <w:spacing w:line="300" w:lineRule="auto"/>
            </w:pPr>
            <w:proofErr w:type="gramStart"/>
            <w:r w:rsidRPr="00112898">
              <w:rPr>
                <w:rFonts w:eastAsia="Times New Roman"/>
              </w:rPr>
              <w:t>Investigation</w:t>
            </w:r>
            <w:proofErr w:type="gramEnd"/>
            <w:r w:rsidRPr="00112898">
              <w:rPr>
                <w:rFonts w:eastAsia="Times New Roman"/>
              </w:rPr>
              <w:t xml:space="preserve"> restructuring level change (October 2020)</w:t>
            </w:r>
          </w:p>
        </w:tc>
        <w:tc>
          <w:tcPr>
            <w:tcW w:w="232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F3FD0A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β=−0.969 (95% CI −3.436 to 1.499); p=0.442</w:t>
            </w:r>
          </w:p>
        </w:tc>
        <w:tc>
          <w:tcPr>
            <w:tcW w:w="232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3F2DCA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Not included in this model</w:t>
            </w:r>
          </w:p>
        </w:tc>
        <w:tc>
          <w:tcPr>
            <w:tcW w:w="232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CC9152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IRR=0.961 (95% CI 0.806 to 1.145); p=0.655</w:t>
            </w:r>
          </w:p>
        </w:tc>
      </w:tr>
      <w:tr w:rsidR="004B35DC" w:rsidRPr="00112898" w14:paraId="0A3D898F" w14:textId="77777777" w:rsidTr="00112898">
        <w:trPr>
          <w:cantSplit/>
        </w:trPr>
        <w:tc>
          <w:tcPr>
            <w:tcW w:w="24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CC9801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Investigation restructuring slope change</w:t>
            </w:r>
          </w:p>
        </w:tc>
        <w:tc>
          <w:tcPr>
            <w:tcW w:w="232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F010A4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β=−0.383 (95% CI −1.139 to 0.374); p=0.321</w:t>
            </w:r>
          </w:p>
        </w:tc>
        <w:tc>
          <w:tcPr>
            <w:tcW w:w="232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BB38D9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Not included in this model</w:t>
            </w:r>
          </w:p>
        </w:tc>
        <w:tc>
          <w:tcPr>
            <w:tcW w:w="232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80AB6E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IRR=0.978 (95% CI 0.936 to 1.023); p=0.339</w:t>
            </w:r>
          </w:p>
        </w:tc>
      </w:tr>
      <w:tr w:rsidR="004B35DC" w:rsidRPr="00112898" w14:paraId="1D90DBCF" w14:textId="77777777" w:rsidTr="00112898">
        <w:trPr>
          <w:cantSplit/>
        </w:trPr>
        <w:tc>
          <w:tcPr>
            <w:tcW w:w="2400" w:type="dxa"/>
            <w:tcBorders>
              <w:top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D2EA51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Model fit</w:t>
            </w:r>
          </w:p>
        </w:tc>
        <w:tc>
          <w:tcPr>
            <w:tcW w:w="2320" w:type="dxa"/>
            <w:tcBorders>
              <w:top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742E8C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R²=0.611; Durbin–Watson=1.952</w:t>
            </w:r>
          </w:p>
        </w:tc>
        <w:tc>
          <w:tcPr>
            <w:tcW w:w="2320" w:type="dxa"/>
            <w:tcBorders>
              <w:top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2A73EB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R²=0.608; Durbin–Watson=1.967</w:t>
            </w:r>
          </w:p>
        </w:tc>
        <w:tc>
          <w:tcPr>
            <w:tcW w:w="2320" w:type="dxa"/>
            <w:tcBorders>
              <w:top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ADEE04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Dispersion α=0.004</w:t>
            </w:r>
          </w:p>
        </w:tc>
      </w:tr>
    </w:tbl>
    <w:p w14:paraId="594D4B32" w14:textId="754A5F55" w:rsidR="004B35DC" w:rsidRPr="00112898" w:rsidRDefault="00000000">
      <w:pPr>
        <w:spacing w:before="60" w:after="60" w:line="300" w:lineRule="auto"/>
      </w:pPr>
      <w:r w:rsidRPr="00112898">
        <w:rPr>
          <w:rFonts w:eastAsia="Times New Roman"/>
        </w:rPr>
        <w:t>All three models included harmonic seasonal terms (sin and cos with a 12-month period). Units for β: secular trend in per 100</w:t>
      </w:r>
      <w:r w:rsidR="00732243">
        <w:rPr>
          <w:rFonts w:hint="eastAsia"/>
        </w:rPr>
        <w:t>,</w:t>
      </w:r>
      <w:r w:rsidRPr="00112898">
        <w:rPr>
          <w:rFonts w:eastAsia="Times New Roman"/>
        </w:rPr>
        <w:t>000 per month; level changes in per 100</w:t>
      </w:r>
      <w:r w:rsidR="00732243">
        <w:rPr>
          <w:rFonts w:hint="eastAsia"/>
        </w:rPr>
        <w:t>,</w:t>
      </w:r>
      <w:r w:rsidRPr="00112898">
        <w:rPr>
          <w:rFonts w:eastAsia="Times New Roman"/>
        </w:rPr>
        <w:t>000; slope changes in per 100</w:t>
      </w:r>
      <w:r w:rsidR="00732243">
        <w:rPr>
          <w:rFonts w:hint="eastAsia"/>
        </w:rPr>
        <w:t>,</w:t>
      </w:r>
      <w:r w:rsidRPr="00112898">
        <w:rPr>
          <w:rFonts w:eastAsia="Times New Roman"/>
        </w:rPr>
        <w:t>000 per month. For the negative binomial model, estimates are reported as incidence rate ratios (IRR).</w:t>
      </w:r>
    </w:p>
    <w:p w14:paraId="054AA372" w14:textId="77777777" w:rsidR="004B35DC" w:rsidRPr="00112898" w:rsidRDefault="00000000">
      <w:pPr>
        <w:spacing w:before="60" w:after="60" w:line="300" w:lineRule="auto"/>
      </w:pPr>
      <w:r w:rsidRPr="00112898">
        <w:rPr>
          <w:rFonts w:eastAsia="Times New Roman"/>
        </w:rPr>
        <w:t>Primary model: ordinary least squares regression with Newey–West heteroskedasticity and autocorrelation consistent standard errors (lag=3), two breakpoints (COVID-19 onset, March 2020; child abuse investigation restructuring, October 2020).</w:t>
      </w:r>
    </w:p>
    <w:p w14:paraId="1B6CFD92" w14:textId="77777777" w:rsidR="004B35DC" w:rsidRPr="00112898" w:rsidRDefault="00000000">
      <w:pPr>
        <w:spacing w:before="60" w:after="60" w:line="300" w:lineRule="auto"/>
      </w:pPr>
      <w:r w:rsidRPr="00112898">
        <w:rPr>
          <w:rFonts w:eastAsia="Times New Roman"/>
        </w:rPr>
        <w:t xml:space="preserve">Single-breakpoint model: same specification as the primary model but including only the March 2020 breakpoint. When the October 2020 breakpoint is omitted, the post-2020 effect is absorbed into the </w:t>
      </w:r>
      <w:r w:rsidRPr="00112898">
        <w:rPr>
          <w:rFonts w:eastAsia="Times New Roman"/>
        </w:rPr>
        <w:lastRenderedPageBreak/>
        <w:t>single-breakpoint estimate, which explains the smaller but statistically significant level change.</w:t>
      </w:r>
    </w:p>
    <w:p w14:paraId="3F488382" w14:textId="77777777" w:rsidR="004B35DC" w:rsidRPr="00112898" w:rsidRDefault="00000000">
      <w:pPr>
        <w:spacing w:before="60" w:after="60" w:line="300" w:lineRule="auto"/>
      </w:pPr>
      <w:r w:rsidRPr="00112898">
        <w:rPr>
          <w:rFonts w:eastAsia="Times New Roman"/>
        </w:rPr>
        <w:t xml:space="preserve">Negative binomial model: monthly case counts modeled with a log link and </w:t>
      </w:r>
      <w:proofErr w:type="gramStart"/>
      <w:r w:rsidRPr="00112898">
        <w:rPr>
          <w:rFonts w:eastAsia="Times New Roman"/>
        </w:rPr>
        <w:t>log(</w:t>
      </w:r>
      <w:proofErr w:type="gramEnd"/>
      <w:r w:rsidRPr="00112898">
        <w:rPr>
          <w:rFonts w:eastAsia="Times New Roman"/>
        </w:rPr>
        <w:t>population aged &lt;24 months) as an offset; two breakpoints as in the primary model. Fitted by maximum likelihood. A Poisson fit yielded IRR estimates of similar magnitude but indicated overdispersion (Pearson χ²/</w:t>
      </w:r>
      <w:proofErr w:type="spellStart"/>
      <w:r w:rsidRPr="00112898">
        <w:rPr>
          <w:rFonts w:eastAsia="Times New Roman"/>
        </w:rPr>
        <w:t>df</w:t>
      </w:r>
      <w:proofErr w:type="spellEnd"/>
      <w:r w:rsidRPr="00112898">
        <w:rPr>
          <w:rFonts w:eastAsia="Times New Roman"/>
        </w:rPr>
        <w:t>=1.63), supporting the negative binomial as the preferred specification.</w:t>
      </w:r>
    </w:p>
    <w:p w14:paraId="5BE9F847" w14:textId="77777777" w:rsidR="004B35DC" w:rsidRPr="00112898" w:rsidRDefault="00000000">
      <w:pPr>
        <w:spacing w:before="60" w:after="60" w:line="300" w:lineRule="auto"/>
      </w:pPr>
      <w:r w:rsidRPr="00112898">
        <w:rPr>
          <w:rFonts w:eastAsia="Times New Roman"/>
        </w:rPr>
        <w:t>IRR = incidence rate ratio; CI = confidence interval; SE = standard error.</w:t>
      </w:r>
    </w:p>
    <w:p w14:paraId="39E6A4C5" w14:textId="77777777" w:rsidR="004B35DC" w:rsidRPr="00112898" w:rsidRDefault="00000000">
      <w:r w:rsidRPr="00112898">
        <w:br w:type="page"/>
      </w:r>
    </w:p>
    <w:p w14:paraId="604BDF66" w14:textId="77777777" w:rsidR="004B35DC" w:rsidRPr="00112898" w:rsidRDefault="00000000">
      <w:pPr>
        <w:spacing w:before="360" w:after="180" w:line="360" w:lineRule="auto"/>
      </w:pPr>
      <w:proofErr w:type="spellStart"/>
      <w:r w:rsidRPr="00112898">
        <w:rPr>
          <w:rFonts w:eastAsia="Times New Roman"/>
          <w:b/>
          <w:bCs/>
        </w:rPr>
        <w:lastRenderedPageBreak/>
        <w:t>eTable</w:t>
      </w:r>
      <w:proofErr w:type="spellEnd"/>
      <w:r w:rsidRPr="00112898">
        <w:rPr>
          <w:rFonts w:eastAsia="Times New Roman"/>
          <w:b/>
          <w:bCs/>
        </w:rPr>
        <w:t xml:space="preserve"> 2. Interrupted Time-Series Results by Age Subgroup, With Interaction Tests</w:t>
      </w:r>
    </w:p>
    <w:p w14:paraId="59C630FB" w14:textId="25EDF827" w:rsidR="004B35DC" w:rsidRPr="00112898" w:rsidRDefault="00000000">
      <w:pPr>
        <w:spacing w:after="180" w:line="360" w:lineRule="auto"/>
      </w:pPr>
      <w:r w:rsidRPr="00112898">
        <w:rPr>
          <w:rFonts w:eastAsia="Times New Roman"/>
        </w:rPr>
        <w:t>Same interrupted time-series specification as the primary model (OLS with Newey–West standard errors, lag=3; two breakpoints; harmonic seasonal terms). Outcomes are monthly population-based rates per 100</w:t>
      </w:r>
      <w:r w:rsidR="00732243">
        <w:rPr>
          <w:rFonts w:hint="eastAsia"/>
        </w:rPr>
        <w:t>,</w:t>
      </w:r>
      <w:r w:rsidRPr="00112898">
        <w:rPr>
          <w:rFonts w:eastAsia="Times New Roman"/>
        </w:rPr>
        <w:t>000 in each age stratum. Age × COVID-19 interaction tests compared the two age strata in a pooled model.</w:t>
      </w:r>
    </w:p>
    <w:tbl>
      <w:tblPr>
        <w:tblW w:w="936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2000"/>
        <w:gridCol w:w="2000"/>
        <w:gridCol w:w="2000"/>
      </w:tblGrid>
      <w:tr w:rsidR="004B35DC" w:rsidRPr="00112898" w14:paraId="3F65E42A" w14:textId="77777777" w:rsidTr="00112898">
        <w:trPr>
          <w:cantSplit/>
        </w:trPr>
        <w:tc>
          <w:tcPr>
            <w:tcW w:w="3360" w:type="dxa"/>
            <w:tcBorders>
              <w:bottom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5200BA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  <w:b/>
                <w:bCs/>
              </w:rPr>
              <w:t>Parameter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F2967F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  <w:b/>
                <w:bCs/>
              </w:rPr>
              <w:t>Children aged &lt;24 months (primary cohort)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843F15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  <w:b/>
                <w:bCs/>
              </w:rPr>
              <w:t>Children aged 2 to &lt;10 years (age-based comparator)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74E445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  <w:b/>
                <w:bCs/>
              </w:rPr>
              <w:t>Interaction test (p value)</w:t>
            </w:r>
          </w:p>
        </w:tc>
      </w:tr>
      <w:tr w:rsidR="004B35DC" w:rsidRPr="00112898" w14:paraId="2188A9AC" w14:textId="77777777" w:rsidTr="00112898">
        <w:trPr>
          <w:cantSplit/>
        </w:trPr>
        <w:tc>
          <w:tcPr>
            <w:tcW w:w="3360" w:type="dxa"/>
            <w:tcBorders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EEE278" w14:textId="5FCB1381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Secular trend (β per 100</w:t>
            </w:r>
            <w:r w:rsidR="00732243">
              <w:rPr>
                <w:rFonts w:hint="eastAsia"/>
              </w:rPr>
              <w:t>,</w:t>
            </w:r>
            <w:r w:rsidRPr="00112898">
              <w:rPr>
                <w:rFonts w:eastAsia="Times New Roman"/>
              </w:rPr>
              <w:t>000 per month)</w:t>
            </w:r>
          </w:p>
        </w:tc>
        <w:tc>
          <w:tcPr>
            <w:tcW w:w="2000" w:type="dxa"/>
            <w:tcBorders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72ECCF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+0.128 (95% CI 0.095 to 0.161); p&lt;0.001</w:t>
            </w:r>
          </w:p>
        </w:tc>
        <w:tc>
          <w:tcPr>
            <w:tcW w:w="2000" w:type="dxa"/>
            <w:tcBorders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F3AB87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−0.003 (95% CI −0.010 to 0.005); p=0.533</w:t>
            </w:r>
          </w:p>
        </w:tc>
        <w:tc>
          <w:tcPr>
            <w:tcW w:w="2000" w:type="dxa"/>
            <w:tcBorders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0803DA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—</w:t>
            </w:r>
          </w:p>
        </w:tc>
      </w:tr>
      <w:tr w:rsidR="004B35DC" w:rsidRPr="00112898" w14:paraId="11DD84AD" w14:textId="77777777" w:rsidTr="00112898">
        <w:trPr>
          <w:cantSplit/>
        </w:trPr>
        <w:tc>
          <w:tcPr>
            <w:tcW w:w="336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E1FF7B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COVID-19 level change (March 2020)</w:t>
            </w:r>
          </w:p>
        </w:tc>
        <w:tc>
          <w:tcPr>
            <w:tcW w:w="20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12DCEA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β=−3.215 (95% CI −6.885 to 0.456); p=0.086</w:t>
            </w:r>
          </w:p>
        </w:tc>
        <w:tc>
          <w:tcPr>
            <w:tcW w:w="20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B1BE93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β=+0.87 (95% CI 0.22 to 1.52); p=0.009</w:t>
            </w:r>
          </w:p>
        </w:tc>
        <w:tc>
          <w:tcPr>
            <w:tcW w:w="20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E8BE69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0.701 (level only)</w:t>
            </w:r>
          </w:p>
        </w:tc>
      </w:tr>
      <w:tr w:rsidR="004B35DC" w:rsidRPr="00112898" w14:paraId="105016F2" w14:textId="77777777" w:rsidTr="00112898">
        <w:trPr>
          <w:cantSplit/>
        </w:trPr>
        <w:tc>
          <w:tcPr>
            <w:tcW w:w="336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379076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COVID-19 slope change</w:t>
            </w:r>
          </w:p>
        </w:tc>
        <w:tc>
          <w:tcPr>
            <w:tcW w:w="20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ADFC7C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β=+0.349 (95% CI −0.405 to 1.103); p=0.365</w:t>
            </w:r>
          </w:p>
        </w:tc>
        <w:tc>
          <w:tcPr>
            <w:tcW w:w="20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BBFBC8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β=−0.18 (95% CI −0.32 to −0.03); p=0.016</w:t>
            </w:r>
          </w:p>
        </w:tc>
        <w:tc>
          <w:tcPr>
            <w:tcW w:w="20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B72695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—</w:t>
            </w:r>
          </w:p>
        </w:tc>
      </w:tr>
      <w:tr w:rsidR="004B35DC" w:rsidRPr="00112898" w14:paraId="2D16D9CF" w14:textId="77777777" w:rsidTr="00112898">
        <w:trPr>
          <w:cantSplit/>
        </w:trPr>
        <w:tc>
          <w:tcPr>
            <w:tcW w:w="336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8CFC35" w14:textId="77777777" w:rsidR="004B35DC" w:rsidRPr="00112898" w:rsidRDefault="00000000">
            <w:pPr>
              <w:spacing w:line="300" w:lineRule="auto"/>
            </w:pPr>
            <w:proofErr w:type="gramStart"/>
            <w:r w:rsidRPr="00112898">
              <w:rPr>
                <w:rFonts w:eastAsia="Times New Roman"/>
              </w:rPr>
              <w:t>Investigation</w:t>
            </w:r>
            <w:proofErr w:type="gramEnd"/>
            <w:r w:rsidRPr="00112898">
              <w:rPr>
                <w:rFonts w:eastAsia="Times New Roman"/>
              </w:rPr>
              <w:t xml:space="preserve"> restructuring level change (October 2020)</w:t>
            </w:r>
          </w:p>
        </w:tc>
        <w:tc>
          <w:tcPr>
            <w:tcW w:w="20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B4633C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β=−0.969 (95% CI −3.436 to 1.499); p=0.442</w:t>
            </w:r>
          </w:p>
        </w:tc>
        <w:tc>
          <w:tcPr>
            <w:tcW w:w="20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4FB085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β=+0.15 (95% CI −0.50 to 0.79); p=0.655</w:t>
            </w:r>
          </w:p>
        </w:tc>
        <w:tc>
          <w:tcPr>
            <w:tcW w:w="20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3388E1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—</w:t>
            </w:r>
          </w:p>
        </w:tc>
      </w:tr>
      <w:tr w:rsidR="004B35DC" w:rsidRPr="00112898" w14:paraId="4822E2B0" w14:textId="77777777" w:rsidTr="00112898">
        <w:trPr>
          <w:cantSplit/>
        </w:trPr>
        <w:tc>
          <w:tcPr>
            <w:tcW w:w="336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AEAB45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Investigation restructuring slope change</w:t>
            </w:r>
          </w:p>
        </w:tc>
        <w:tc>
          <w:tcPr>
            <w:tcW w:w="20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ED6470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β=−0.383 (95% CI −1.139 to 0.374); p=0.321</w:t>
            </w:r>
          </w:p>
        </w:tc>
        <w:tc>
          <w:tcPr>
            <w:tcW w:w="20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32E584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β=+0.18 (95% CI 0.03 to 0.32); p=0.016</w:t>
            </w:r>
          </w:p>
        </w:tc>
        <w:tc>
          <w:tcPr>
            <w:tcW w:w="20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9BE813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—</w:t>
            </w:r>
          </w:p>
        </w:tc>
      </w:tr>
      <w:tr w:rsidR="004B35DC" w:rsidRPr="00112898" w14:paraId="38CBB9F0" w14:textId="77777777" w:rsidTr="00112898">
        <w:trPr>
          <w:cantSplit/>
        </w:trPr>
        <w:tc>
          <w:tcPr>
            <w:tcW w:w="336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5F6635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Joint age × COVID-19 interaction</w:t>
            </w:r>
          </w:p>
        </w:tc>
        <w:tc>
          <w:tcPr>
            <w:tcW w:w="20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E0EB26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—</w:t>
            </w:r>
          </w:p>
        </w:tc>
        <w:tc>
          <w:tcPr>
            <w:tcW w:w="20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AA003A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—</w:t>
            </w:r>
          </w:p>
        </w:tc>
        <w:tc>
          <w:tcPr>
            <w:tcW w:w="2000" w:type="dxa"/>
            <w:tcBorders>
              <w:top w:val="nil"/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D7685E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p=0.015</w:t>
            </w:r>
          </w:p>
        </w:tc>
      </w:tr>
      <w:tr w:rsidR="004B35DC" w:rsidRPr="00112898" w14:paraId="01DAFBDD" w14:textId="77777777" w:rsidTr="00112898">
        <w:trPr>
          <w:cantSplit/>
        </w:trPr>
        <w:tc>
          <w:tcPr>
            <w:tcW w:w="3360" w:type="dxa"/>
            <w:tcBorders>
              <w:top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A90A38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Model fit</w:t>
            </w:r>
          </w:p>
        </w:tc>
        <w:tc>
          <w:tcPr>
            <w:tcW w:w="2000" w:type="dxa"/>
            <w:tcBorders>
              <w:top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FA04F9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R²=0.611; Durbin–Watson=1.952</w:t>
            </w:r>
          </w:p>
        </w:tc>
        <w:tc>
          <w:tcPr>
            <w:tcW w:w="2000" w:type="dxa"/>
            <w:tcBorders>
              <w:top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9D9D66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R²=0.577; Durbin–Watson=1.605</w:t>
            </w:r>
          </w:p>
        </w:tc>
        <w:tc>
          <w:tcPr>
            <w:tcW w:w="2000" w:type="dxa"/>
            <w:tcBorders>
              <w:top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AC1CD5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—</w:t>
            </w:r>
          </w:p>
        </w:tc>
      </w:tr>
    </w:tbl>
    <w:p w14:paraId="48FCF0A7" w14:textId="77777777" w:rsidR="004B35DC" w:rsidRPr="00112898" w:rsidRDefault="00000000">
      <w:pPr>
        <w:spacing w:before="60" w:after="60" w:line="300" w:lineRule="auto"/>
      </w:pPr>
      <w:r w:rsidRPr="00112898">
        <w:rPr>
          <w:rFonts w:eastAsia="Times New Roman"/>
        </w:rPr>
        <w:t>The primary cohort and age-based comparator used the same ICD-10 phenotype definition (intracranial hemorrhage, S06.4–S06.6, with or without skull fracture, S02.0–S02.1 or S02.8–S02.9) and the same model specification. Age × COVID-19 interaction tests were conducted in a pooled model that included the age stratum indicator and its interactions with the time and breakpoint terms.</w:t>
      </w:r>
    </w:p>
    <w:p w14:paraId="2AA90652" w14:textId="77777777" w:rsidR="004B35DC" w:rsidRPr="00112898" w:rsidRDefault="00000000">
      <w:pPr>
        <w:spacing w:before="60" w:after="60" w:line="300" w:lineRule="auto"/>
      </w:pPr>
      <w:r w:rsidRPr="00112898">
        <w:rPr>
          <w:rFonts w:eastAsia="Times New Roman"/>
        </w:rPr>
        <w:t xml:space="preserve">At COVID-19 onset, the two age strata showed directionally different associations (children &lt;24 months: marginal decrease; children 2 to &lt;10 years: significant increase). The joint interaction test considering all COVID-related terms (level and slope) was significant (p=0.015). The level-only interaction test was not significant (p=0.701), indicating that the age-specific difference lay primarily in post-COVID trajectories </w:t>
      </w:r>
      <w:r w:rsidRPr="00112898">
        <w:rPr>
          <w:rFonts w:eastAsia="Times New Roman"/>
        </w:rPr>
        <w:lastRenderedPageBreak/>
        <w:t>rather than in immediate level changes.</w:t>
      </w:r>
    </w:p>
    <w:p w14:paraId="3164457E" w14:textId="77777777" w:rsidR="004B35DC" w:rsidRPr="00112898" w:rsidRDefault="00000000">
      <w:pPr>
        <w:spacing w:before="60" w:after="60" w:line="300" w:lineRule="auto"/>
      </w:pPr>
      <w:r w:rsidRPr="00112898">
        <w:rPr>
          <w:rFonts w:eastAsia="Times New Roman"/>
        </w:rPr>
        <w:t>CI = confidence interval.</w:t>
      </w:r>
    </w:p>
    <w:p w14:paraId="6ECAB41C" w14:textId="77777777" w:rsidR="004B35DC" w:rsidRPr="00112898" w:rsidRDefault="00000000">
      <w:r w:rsidRPr="00112898">
        <w:br w:type="page"/>
      </w:r>
    </w:p>
    <w:p w14:paraId="716C7EFE" w14:textId="77777777" w:rsidR="004B35DC" w:rsidRPr="00112898" w:rsidRDefault="00000000">
      <w:pPr>
        <w:spacing w:before="360" w:after="180" w:line="360" w:lineRule="auto"/>
      </w:pPr>
      <w:proofErr w:type="spellStart"/>
      <w:r w:rsidRPr="00112898">
        <w:rPr>
          <w:rFonts w:eastAsia="Times New Roman"/>
          <w:b/>
          <w:bCs/>
        </w:rPr>
        <w:lastRenderedPageBreak/>
        <w:t>eTable</w:t>
      </w:r>
      <w:proofErr w:type="spellEnd"/>
      <w:r w:rsidRPr="00112898">
        <w:rPr>
          <w:rFonts w:eastAsia="Times New Roman"/>
          <w:b/>
          <w:bCs/>
        </w:rPr>
        <w:t xml:space="preserve"> 3. Assessment of Temporal Changes in Diagnostic Coding Practice</w:t>
      </w:r>
    </w:p>
    <w:p w14:paraId="6A50DAF8" w14:textId="77777777" w:rsidR="004B35DC" w:rsidRPr="00112898" w:rsidRDefault="00000000">
      <w:pPr>
        <w:spacing w:after="180" w:line="360" w:lineRule="auto"/>
      </w:pPr>
      <w:r w:rsidRPr="00112898">
        <w:rPr>
          <w:rFonts w:eastAsia="Times New Roman"/>
        </w:rPr>
        <w:t>Two tests were conducted to assess whether changes in diagnostic coding practice could account for the observed secular increase in the population-based rate: a test for a secular trend in the mean number of diagnosis codes per case (a proxy for coding intensity over time), and a test for a discontinuity at the Korean Standard Classification of Diseases (KCD) 7-to-8 transition that took effect in January 2021.</w:t>
      </w:r>
    </w:p>
    <w:tbl>
      <w:tblPr>
        <w:tblW w:w="936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2880"/>
        <w:gridCol w:w="2880"/>
      </w:tblGrid>
      <w:tr w:rsidR="004B35DC" w:rsidRPr="00112898" w14:paraId="7FDD48A3" w14:textId="77777777" w:rsidTr="00112898">
        <w:trPr>
          <w:cantSplit/>
        </w:trPr>
        <w:tc>
          <w:tcPr>
            <w:tcW w:w="3600" w:type="dxa"/>
            <w:tcBorders>
              <w:bottom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ED504F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  <w:b/>
                <w:bCs/>
              </w:rPr>
              <w:t>Test</w:t>
            </w:r>
          </w:p>
        </w:tc>
        <w:tc>
          <w:tcPr>
            <w:tcW w:w="2880" w:type="dxa"/>
            <w:tcBorders>
              <w:bottom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2EB5F9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  <w:b/>
                <w:bCs/>
              </w:rPr>
              <w:t>Estimate</w:t>
            </w:r>
          </w:p>
        </w:tc>
        <w:tc>
          <w:tcPr>
            <w:tcW w:w="2880" w:type="dxa"/>
            <w:tcBorders>
              <w:bottom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07F20A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  <w:b/>
                <w:bCs/>
              </w:rPr>
              <w:t>p value</w:t>
            </w:r>
          </w:p>
        </w:tc>
      </w:tr>
      <w:tr w:rsidR="004B35DC" w:rsidRPr="00112898" w14:paraId="455E89D6" w14:textId="77777777" w:rsidTr="00112898">
        <w:trPr>
          <w:cantSplit/>
        </w:trPr>
        <w:tc>
          <w:tcPr>
            <w:tcW w:w="3600" w:type="dxa"/>
            <w:tcBorders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38A1B4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Secular trend in mean diagnosis codes per case</w:t>
            </w:r>
          </w:p>
        </w:tc>
        <w:tc>
          <w:tcPr>
            <w:tcW w:w="2880" w:type="dxa"/>
            <w:tcBorders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A0666A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β=−0.0004 per month (95% CI −0.0025 to +0.0017)</w:t>
            </w:r>
          </w:p>
        </w:tc>
        <w:tc>
          <w:tcPr>
            <w:tcW w:w="2880" w:type="dxa"/>
            <w:tcBorders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8592D3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0.718</w:t>
            </w:r>
          </w:p>
        </w:tc>
      </w:tr>
      <w:tr w:rsidR="004B35DC" w:rsidRPr="00112898" w14:paraId="25D429FA" w14:textId="77777777" w:rsidTr="00112898">
        <w:trPr>
          <w:cantSplit/>
        </w:trPr>
        <w:tc>
          <w:tcPr>
            <w:tcW w:w="3600" w:type="dxa"/>
            <w:tcBorders>
              <w:top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DAB7C6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Discontinuity at the KCD-7 to KCD-8 classification transition (January 2021)</w:t>
            </w:r>
          </w:p>
        </w:tc>
        <w:tc>
          <w:tcPr>
            <w:tcW w:w="2880" w:type="dxa"/>
            <w:tcBorders>
              <w:top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C90963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β=+0.0796 codes per case (95% CI −0.0434 to +0.2027)</w:t>
            </w:r>
          </w:p>
        </w:tc>
        <w:tc>
          <w:tcPr>
            <w:tcW w:w="2880" w:type="dxa"/>
            <w:tcBorders>
              <w:top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79E85D" w14:textId="77777777" w:rsidR="004B35DC" w:rsidRPr="00112898" w:rsidRDefault="00000000">
            <w:pPr>
              <w:spacing w:line="300" w:lineRule="auto"/>
            </w:pPr>
            <w:r w:rsidRPr="00112898">
              <w:rPr>
                <w:rFonts w:eastAsia="Times New Roman"/>
              </w:rPr>
              <w:t>0.205</w:t>
            </w:r>
          </w:p>
        </w:tc>
      </w:tr>
    </w:tbl>
    <w:p w14:paraId="575B2EC4" w14:textId="77777777" w:rsidR="004B35DC" w:rsidRPr="00112898" w:rsidRDefault="00000000">
      <w:pPr>
        <w:spacing w:before="60" w:after="60" w:line="300" w:lineRule="auto"/>
      </w:pPr>
      <w:r w:rsidRPr="00112898">
        <w:rPr>
          <w:rFonts w:eastAsia="Times New Roman"/>
        </w:rPr>
        <w:t xml:space="preserve">Mean diagnosis codes per case: arithmetic mean of the number of ICD-10 diagnosis codes entered per emergency department visit for the defined phenotype, aggregated monthly. Discontinuity test: segmented linear regression with a step term </w:t>
      </w:r>
      <w:proofErr w:type="gramStart"/>
      <w:r w:rsidRPr="00112898">
        <w:rPr>
          <w:rFonts w:eastAsia="Times New Roman"/>
        </w:rPr>
        <w:t>at</w:t>
      </w:r>
      <w:proofErr w:type="gramEnd"/>
      <w:r w:rsidRPr="00112898">
        <w:rPr>
          <w:rFonts w:eastAsia="Times New Roman"/>
        </w:rPr>
        <w:t xml:space="preserve"> January 2021 (KCD-7 to KCD-8 transition); the coefficient represents the immediate change in the mean number of codes per case at the transition.</w:t>
      </w:r>
    </w:p>
    <w:p w14:paraId="601DF1F6" w14:textId="77777777" w:rsidR="004B35DC" w:rsidRPr="00112898" w:rsidRDefault="00000000">
      <w:pPr>
        <w:spacing w:before="60" w:after="60" w:line="300" w:lineRule="auto"/>
      </w:pPr>
      <w:r w:rsidRPr="00112898">
        <w:rPr>
          <w:rFonts w:eastAsia="Times New Roman"/>
        </w:rPr>
        <w:t>Neither test provided support for coding enhancement as a substantive explanation for the observed rise in the population-based rate.</w:t>
      </w:r>
    </w:p>
    <w:p w14:paraId="77D8659F" w14:textId="77777777" w:rsidR="004B35DC" w:rsidRPr="00112898" w:rsidRDefault="00000000">
      <w:pPr>
        <w:spacing w:before="60" w:after="60" w:line="300" w:lineRule="auto"/>
      </w:pPr>
      <w:r w:rsidRPr="00112898">
        <w:rPr>
          <w:rFonts w:eastAsia="Times New Roman"/>
        </w:rPr>
        <w:t>KCD = Korean Standard Classification of Diseases (a national adaptation of ICD-10).</w:t>
      </w:r>
    </w:p>
    <w:p w14:paraId="196760AF" w14:textId="77777777" w:rsidR="00112898" w:rsidRDefault="00112898">
      <w:pPr>
        <w:spacing w:before="360" w:after="180" w:line="360" w:lineRule="auto"/>
        <w:rPr>
          <w:b/>
          <w:bCs/>
        </w:rPr>
      </w:pPr>
    </w:p>
    <w:p w14:paraId="43BF7D3F" w14:textId="5D441F08" w:rsidR="004B35DC" w:rsidRPr="00112898" w:rsidRDefault="00000000">
      <w:pPr>
        <w:spacing w:before="360" w:after="180" w:line="360" w:lineRule="auto"/>
      </w:pPr>
      <w:r w:rsidRPr="00112898">
        <w:rPr>
          <w:rFonts w:eastAsia="Times New Roman"/>
          <w:b/>
          <w:bCs/>
        </w:rPr>
        <w:t>STROBE Checklist</w:t>
      </w:r>
    </w:p>
    <w:p w14:paraId="2434B6BA" w14:textId="77777777" w:rsidR="004B35DC" w:rsidRPr="00112898" w:rsidRDefault="00000000">
      <w:pPr>
        <w:spacing w:after="120" w:line="360" w:lineRule="auto"/>
      </w:pPr>
      <w:r w:rsidRPr="00112898">
        <w:rPr>
          <w:rFonts w:eastAsia="Times New Roman"/>
        </w:rPr>
        <w:t>The completed Strengthening the Reporting of Observational Studies in Epidemiology (STROBE) checklist for observational studies is provided as a separate file accompanying this submission (PaperA_STROBE_checklist.docx).</w:t>
      </w:r>
    </w:p>
    <w:sectPr w:rsidR="004B35DC" w:rsidRPr="00112898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B7142" w14:textId="77777777" w:rsidR="00A87BFA" w:rsidRDefault="00A87BFA" w:rsidP="0025598E">
      <w:r>
        <w:separator/>
      </w:r>
    </w:p>
  </w:endnote>
  <w:endnote w:type="continuationSeparator" w:id="0">
    <w:p w14:paraId="7FAC9B44" w14:textId="77777777" w:rsidR="00A87BFA" w:rsidRDefault="00A87BFA" w:rsidP="0025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B6DF6" w14:textId="77777777" w:rsidR="00A87BFA" w:rsidRDefault="00A87BFA" w:rsidP="0025598E">
      <w:r>
        <w:separator/>
      </w:r>
    </w:p>
  </w:footnote>
  <w:footnote w:type="continuationSeparator" w:id="0">
    <w:p w14:paraId="65C49E3C" w14:textId="77777777" w:rsidR="00A87BFA" w:rsidRDefault="00A87BFA" w:rsidP="00255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A586C"/>
    <w:multiLevelType w:val="hybridMultilevel"/>
    <w:tmpl w:val="F3467830"/>
    <w:lvl w:ilvl="0" w:tplc="47121148">
      <w:start w:val="1"/>
      <w:numFmt w:val="bullet"/>
      <w:lvlText w:val="●"/>
      <w:lvlJc w:val="left"/>
      <w:pPr>
        <w:ind w:left="720" w:hanging="360"/>
      </w:pPr>
    </w:lvl>
    <w:lvl w:ilvl="1" w:tplc="43C09BE0">
      <w:start w:val="1"/>
      <w:numFmt w:val="bullet"/>
      <w:lvlText w:val="○"/>
      <w:lvlJc w:val="left"/>
      <w:pPr>
        <w:ind w:left="1440" w:hanging="360"/>
      </w:pPr>
    </w:lvl>
    <w:lvl w:ilvl="2" w:tplc="8FA67390">
      <w:start w:val="1"/>
      <w:numFmt w:val="bullet"/>
      <w:lvlText w:val="■"/>
      <w:lvlJc w:val="left"/>
      <w:pPr>
        <w:ind w:left="2160" w:hanging="360"/>
      </w:pPr>
    </w:lvl>
    <w:lvl w:ilvl="3" w:tplc="BAA4A752">
      <w:start w:val="1"/>
      <w:numFmt w:val="bullet"/>
      <w:lvlText w:val="●"/>
      <w:lvlJc w:val="left"/>
      <w:pPr>
        <w:ind w:left="2880" w:hanging="360"/>
      </w:pPr>
    </w:lvl>
    <w:lvl w:ilvl="4" w:tplc="7E0CF128">
      <w:start w:val="1"/>
      <w:numFmt w:val="bullet"/>
      <w:lvlText w:val="○"/>
      <w:lvlJc w:val="left"/>
      <w:pPr>
        <w:ind w:left="3600" w:hanging="360"/>
      </w:pPr>
    </w:lvl>
    <w:lvl w:ilvl="5" w:tplc="1DF0D8F2">
      <w:start w:val="1"/>
      <w:numFmt w:val="bullet"/>
      <w:lvlText w:val="■"/>
      <w:lvlJc w:val="left"/>
      <w:pPr>
        <w:ind w:left="4320" w:hanging="360"/>
      </w:pPr>
    </w:lvl>
    <w:lvl w:ilvl="6" w:tplc="3ACE5D6A">
      <w:start w:val="1"/>
      <w:numFmt w:val="bullet"/>
      <w:lvlText w:val="●"/>
      <w:lvlJc w:val="left"/>
      <w:pPr>
        <w:ind w:left="5040" w:hanging="360"/>
      </w:pPr>
    </w:lvl>
    <w:lvl w:ilvl="7" w:tplc="3AE81EB2">
      <w:start w:val="1"/>
      <w:numFmt w:val="bullet"/>
      <w:lvlText w:val="●"/>
      <w:lvlJc w:val="left"/>
      <w:pPr>
        <w:ind w:left="5760" w:hanging="360"/>
      </w:pPr>
    </w:lvl>
    <w:lvl w:ilvl="8" w:tplc="FE6ACBC4">
      <w:start w:val="1"/>
      <w:numFmt w:val="bullet"/>
      <w:lvlText w:val="●"/>
      <w:lvlJc w:val="left"/>
      <w:pPr>
        <w:ind w:left="6480" w:hanging="360"/>
      </w:pPr>
    </w:lvl>
  </w:abstractNum>
  <w:num w:numId="1" w16cid:durableId="21319697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5DC"/>
    <w:rsid w:val="00112898"/>
    <w:rsid w:val="0025598E"/>
    <w:rsid w:val="00490F67"/>
    <w:rsid w:val="004B35DC"/>
    <w:rsid w:val="006A3900"/>
    <w:rsid w:val="00732243"/>
    <w:rsid w:val="00A8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C864F"/>
  <w15:docId w15:val="{F6F6B094-1128-4222-9D02-35C295B3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25598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25598E"/>
  </w:style>
  <w:style w:type="paragraph" w:styleId="ab">
    <w:name w:val="footer"/>
    <w:basedOn w:val="a"/>
    <w:link w:val="Char2"/>
    <w:uiPriority w:val="99"/>
    <w:unhideWhenUsed/>
    <w:rsid w:val="0025598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255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1058</Words>
  <Characters>6036</Characters>
  <Application>Microsoft Office Word</Application>
  <DocSecurity>0</DocSecurity>
  <Lines>50</Lines>
  <Paragraphs>14</Paragraphs>
  <ScaleCrop>false</ScaleCrop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A Supplementary Material</dc:title>
  <dc:creator>Author</dc:creator>
  <cp:lastModifiedBy>한지호</cp:lastModifiedBy>
  <cp:revision>3</cp:revision>
  <dcterms:created xsi:type="dcterms:W3CDTF">2026-04-20T14:54:00Z</dcterms:created>
  <dcterms:modified xsi:type="dcterms:W3CDTF">2026-04-20T15:25:00Z</dcterms:modified>
</cp:coreProperties>
</file>