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848C81" w14:textId="0425F6B0" w:rsidR="006E4F97" w:rsidRPr="00FE32E9" w:rsidRDefault="0052760B" w:rsidP="006047BB">
      <w:pPr>
        <w:pStyle w:val="Heading1"/>
        <w:jc w:val="center"/>
        <w:rPr>
          <w:rFonts w:eastAsiaTheme="majorEastAsia"/>
          <w:sz w:val="24"/>
          <w:szCs w:val="24"/>
        </w:rPr>
      </w:pPr>
      <w:r w:rsidRPr="00FE32E9">
        <w:rPr>
          <w:rFonts w:eastAsiaTheme="majorEastAsia"/>
          <w:sz w:val="24"/>
          <w:szCs w:val="24"/>
        </w:rPr>
        <w:t>Supplementary Material</w:t>
      </w:r>
    </w:p>
    <w:p w14:paraId="2663D506" w14:textId="3F75698C" w:rsidR="006047BB" w:rsidRPr="00FE32E9" w:rsidRDefault="006047BB" w:rsidP="006047BB">
      <w:pPr>
        <w:pStyle w:val="Heading2"/>
        <w:rPr>
          <w:sz w:val="22"/>
          <w:szCs w:val="22"/>
        </w:rPr>
      </w:pPr>
      <w:proofErr w:type="spellStart"/>
      <w:r w:rsidRPr="00FE32E9">
        <w:rPr>
          <w:rFonts w:eastAsiaTheme="majorEastAsia"/>
          <w:sz w:val="22"/>
          <w:szCs w:val="22"/>
        </w:rPr>
        <w:t>GliaMimic</w:t>
      </w:r>
      <w:proofErr w:type="spellEnd"/>
      <w:r w:rsidRPr="00FE32E9">
        <w:rPr>
          <w:rFonts w:eastAsiaTheme="majorEastAsia"/>
          <w:sz w:val="22"/>
          <w:szCs w:val="22"/>
        </w:rPr>
        <w:t xml:space="preserve">: a longitudinal, multimodal </w:t>
      </w:r>
      <w:r w:rsidRPr="00FE32E9">
        <w:rPr>
          <w:rFonts w:eastAsiaTheme="majorEastAsia"/>
          <w:i/>
          <w:sz w:val="22"/>
          <w:szCs w:val="22"/>
        </w:rPr>
        <w:t>in vitro</w:t>
      </w:r>
      <w:r w:rsidRPr="00FE32E9">
        <w:rPr>
          <w:rFonts w:eastAsiaTheme="majorEastAsia"/>
          <w:sz w:val="22"/>
          <w:szCs w:val="22"/>
        </w:rPr>
        <w:t xml:space="preserve"> platform for assessing Glioblastoma treatment response and relapse in patient-derived organoids and spheroids</w:t>
      </w:r>
    </w:p>
    <w:p w14:paraId="5EF0146E" w14:textId="165EEEC3" w:rsidR="006047BB" w:rsidRPr="00FE32E9" w:rsidRDefault="006047BB" w:rsidP="006047BB">
      <w:pPr>
        <w:spacing w:line="360" w:lineRule="auto"/>
        <w:jc w:val="left"/>
        <w:rPr>
          <w:sz w:val="20"/>
          <w:szCs w:val="20"/>
          <w:lang w:val="de-CH"/>
        </w:rPr>
      </w:pPr>
      <w:r w:rsidRPr="00FE32E9">
        <w:rPr>
          <w:sz w:val="20"/>
          <w:szCs w:val="20"/>
          <w:lang w:val="de-CH"/>
        </w:rPr>
        <w:t>Selina Camenisch</w:t>
      </w:r>
      <w:r w:rsidRPr="00FE32E9">
        <w:rPr>
          <w:sz w:val="20"/>
          <w:szCs w:val="20"/>
          <w:vertAlign w:val="superscript"/>
          <w:lang w:val="de-CH"/>
        </w:rPr>
        <w:t>1</w:t>
      </w:r>
      <w:r w:rsidRPr="00FE32E9">
        <w:rPr>
          <w:sz w:val="20"/>
          <w:szCs w:val="20"/>
          <w:lang w:val="de-CH"/>
        </w:rPr>
        <w:t>, Luisa Bell</w:t>
      </w:r>
      <w:r w:rsidRPr="00FE32E9">
        <w:rPr>
          <w:sz w:val="20"/>
          <w:szCs w:val="20"/>
          <w:vertAlign w:val="superscript"/>
          <w:lang w:val="de-CH"/>
        </w:rPr>
        <w:t>2</w:t>
      </w:r>
      <w:r w:rsidRPr="00FE32E9">
        <w:rPr>
          <w:sz w:val="20"/>
          <w:szCs w:val="20"/>
          <w:lang w:val="de-CH"/>
        </w:rPr>
        <w:t>, Nadine Stokar-Regenscheit</w:t>
      </w:r>
      <w:r w:rsidRPr="00FE32E9">
        <w:rPr>
          <w:sz w:val="20"/>
          <w:szCs w:val="20"/>
          <w:vertAlign w:val="superscript"/>
          <w:lang w:val="de-CH"/>
        </w:rPr>
        <w:t>2</w:t>
      </w:r>
      <w:r w:rsidRPr="00FE32E9">
        <w:rPr>
          <w:sz w:val="20"/>
          <w:szCs w:val="20"/>
          <w:lang w:val="de-CH"/>
        </w:rPr>
        <w:t>, Natalia Vélez Char</w:t>
      </w:r>
      <w:r w:rsidRPr="00FE32E9">
        <w:rPr>
          <w:sz w:val="20"/>
          <w:szCs w:val="20"/>
          <w:vertAlign w:val="superscript"/>
          <w:lang w:val="de-CH"/>
        </w:rPr>
        <w:t>3</w:t>
      </w:r>
      <w:r w:rsidRPr="00FE32E9">
        <w:rPr>
          <w:sz w:val="20"/>
          <w:szCs w:val="20"/>
          <w:lang w:val="de-CH"/>
        </w:rPr>
        <w:t>, Wolfram Jochum</w:t>
      </w:r>
      <w:r w:rsidRPr="00FE32E9">
        <w:rPr>
          <w:sz w:val="20"/>
          <w:szCs w:val="20"/>
          <w:vertAlign w:val="superscript"/>
          <w:lang w:val="de-CH"/>
        </w:rPr>
        <w:t>3</w:t>
      </w:r>
      <w:r w:rsidRPr="00FE32E9">
        <w:rPr>
          <w:sz w:val="20"/>
          <w:szCs w:val="20"/>
          <w:lang w:val="de-CH"/>
        </w:rPr>
        <w:t>, Simon Heinze</w:t>
      </w:r>
      <w:r w:rsidRPr="00FE32E9">
        <w:rPr>
          <w:sz w:val="20"/>
          <w:szCs w:val="20"/>
          <w:vertAlign w:val="superscript"/>
          <w:lang w:val="de-CH"/>
        </w:rPr>
        <w:t>4</w:t>
      </w:r>
      <w:r w:rsidRPr="00FE32E9">
        <w:rPr>
          <w:sz w:val="20"/>
          <w:szCs w:val="20"/>
          <w:lang w:val="de-CH"/>
        </w:rPr>
        <w:t>, Anna Maria Zeitlberger</w:t>
      </w:r>
      <w:r w:rsidRPr="00FE32E9">
        <w:rPr>
          <w:sz w:val="20"/>
          <w:szCs w:val="20"/>
          <w:vertAlign w:val="superscript"/>
          <w:lang w:val="de-CH"/>
        </w:rPr>
        <w:t>5</w:t>
      </w:r>
      <w:r w:rsidRPr="00FE32E9">
        <w:rPr>
          <w:sz w:val="20"/>
          <w:szCs w:val="20"/>
          <w:lang w:val="de-CH"/>
        </w:rPr>
        <w:t>, Thomas Hundsberger</w:t>
      </w:r>
      <w:r w:rsidRPr="00FE32E9">
        <w:rPr>
          <w:sz w:val="20"/>
          <w:szCs w:val="20"/>
          <w:vertAlign w:val="superscript"/>
          <w:lang w:val="de-CH"/>
        </w:rPr>
        <w:t>6</w:t>
      </w:r>
      <w:r w:rsidRPr="00FE32E9">
        <w:rPr>
          <w:sz w:val="20"/>
          <w:szCs w:val="20"/>
          <w:lang w:val="de-CH"/>
        </w:rPr>
        <w:t>, Marian Neidert</w:t>
      </w:r>
      <w:r w:rsidRPr="00FE32E9">
        <w:rPr>
          <w:sz w:val="20"/>
          <w:szCs w:val="20"/>
          <w:vertAlign w:val="superscript"/>
          <w:lang w:val="de-CH"/>
        </w:rPr>
        <w:t>5</w:t>
      </w:r>
      <w:r w:rsidRPr="00FE32E9">
        <w:rPr>
          <w:sz w:val="20"/>
          <w:szCs w:val="20"/>
          <w:lang w:val="de-CH"/>
        </w:rPr>
        <w:t>, Peter Wick</w:t>
      </w:r>
      <w:r w:rsidRPr="00FE32E9">
        <w:rPr>
          <w:sz w:val="20"/>
          <w:szCs w:val="20"/>
          <w:vertAlign w:val="superscript"/>
          <w:lang w:val="de-CH"/>
        </w:rPr>
        <w:t>1*</w:t>
      </w:r>
      <w:r w:rsidRPr="00FE32E9">
        <w:rPr>
          <w:sz w:val="20"/>
          <w:szCs w:val="20"/>
          <w:lang w:val="de-CH"/>
        </w:rPr>
        <w:t>, Vanesa Ayala-Nunez</w:t>
      </w:r>
      <w:r w:rsidRPr="00FE32E9">
        <w:rPr>
          <w:sz w:val="20"/>
          <w:szCs w:val="20"/>
          <w:vertAlign w:val="superscript"/>
          <w:lang w:val="de-CH"/>
        </w:rPr>
        <w:t>1*</w:t>
      </w:r>
    </w:p>
    <w:p w14:paraId="5D3F2E1D" w14:textId="77777777" w:rsidR="006047BB" w:rsidRPr="00FE32E9" w:rsidRDefault="006047BB" w:rsidP="00F12F19">
      <w:pPr>
        <w:rPr>
          <w:rFonts w:asciiTheme="majorHAnsi" w:eastAsiaTheme="majorEastAsia" w:hAnsiTheme="majorHAnsi" w:cstheme="majorBidi"/>
          <w:b/>
          <w:bCs/>
          <w:spacing w:val="-7"/>
          <w:sz w:val="20"/>
          <w:szCs w:val="20"/>
          <w:lang w:val="de-CH"/>
        </w:rPr>
      </w:pPr>
    </w:p>
    <w:p w14:paraId="43BEB227"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6F600830"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1873A650"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2CA627F1"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7190594F"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7D98C600"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56CB9B61"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35222A58"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4FED70C7"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7ECC1A9C"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43D66B61"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5E6E685A"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280F95C1"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234957B4"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3B057A4D"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4C0A28A2"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3B32D470"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788A740E"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5D5FDA35"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19B22437"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63F0A6A0"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1CB7EEA9" w14:textId="77777777" w:rsidR="000C0636" w:rsidRPr="00FE32E9" w:rsidRDefault="000C0636" w:rsidP="00F12F19">
      <w:pPr>
        <w:rPr>
          <w:rFonts w:asciiTheme="majorHAnsi" w:eastAsiaTheme="majorEastAsia" w:hAnsiTheme="majorHAnsi" w:cstheme="majorBidi"/>
          <w:b/>
          <w:bCs/>
          <w:spacing w:val="-7"/>
          <w:sz w:val="20"/>
          <w:szCs w:val="20"/>
          <w:lang w:val="de-CH"/>
        </w:rPr>
      </w:pPr>
    </w:p>
    <w:p w14:paraId="49FD5A7A" w14:textId="6B0AA0A2" w:rsidR="003C03F1" w:rsidRPr="00FE32E9" w:rsidRDefault="003C03F1" w:rsidP="00F12F19">
      <w:pPr>
        <w:rPr>
          <w:rFonts w:asciiTheme="majorHAnsi" w:eastAsiaTheme="majorEastAsia" w:hAnsiTheme="majorHAnsi" w:cstheme="majorBidi"/>
          <w:b/>
          <w:bCs/>
          <w:spacing w:val="-7"/>
          <w:sz w:val="20"/>
          <w:szCs w:val="20"/>
          <w:lang w:val="de-CH"/>
        </w:rPr>
      </w:pPr>
    </w:p>
    <w:p w14:paraId="71D5385C" w14:textId="69200E16" w:rsidR="000C0636" w:rsidRPr="00FE32E9" w:rsidRDefault="00FE32E9" w:rsidP="00F12F19">
      <w:pPr>
        <w:rPr>
          <w:sz w:val="20"/>
          <w:szCs w:val="20"/>
          <w:lang w:val="en-US"/>
        </w:rPr>
      </w:pPr>
      <w:r w:rsidRPr="00FE32E9">
        <w:rPr>
          <w:rFonts w:asciiTheme="majorHAnsi" w:eastAsiaTheme="majorEastAsia" w:hAnsiTheme="majorHAnsi" w:cstheme="majorBidi"/>
          <w:b/>
          <w:bCs/>
          <w:noProof/>
          <w:spacing w:val="-7"/>
          <w:sz w:val="20"/>
          <w:szCs w:val="20"/>
          <w:lang w:val="de-CH"/>
        </w:rPr>
        <w:lastRenderedPageBreak/>
        <w:drawing>
          <wp:anchor distT="0" distB="0" distL="114300" distR="114300" simplePos="0" relativeHeight="251659264" behindDoc="0" locked="0" layoutInCell="1" allowOverlap="1" wp14:anchorId="06BA08F5" wp14:editId="6391D9E8">
            <wp:simplePos x="0" y="0"/>
            <wp:positionH relativeFrom="margin">
              <wp:posOffset>-612050</wp:posOffset>
            </wp:positionH>
            <wp:positionV relativeFrom="paragraph">
              <wp:posOffset>108107</wp:posOffset>
            </wp:positionV>
            <wp:extent cx="4747260" cy="8015605"/>
            <wp:effectExtent l="0" t="0" r="0" b="4445"/>
            <wp:wrapThrough wrapText="bothSides">
              <wp:wrapPolygon edited="0">
                <wp:start x="0" y="0"/>
                <wp:lineTo x="0" y="21561"/>
                <wp:lineTo x="21496" y="21561"/>
                <wp:lineTo x="21496" y="0"/>
                <wp:lineTo x="0" y="0"/>
              </wp:wrapPolygon>
            </wp:wrapThrough>
            <wp:docPr id="705027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6733"/>
                    <a:stretch>
                      <a:fillRect/>
                    </a:stretch>
                  </pic:blipFill>
                  <pic:spPr bwMode="auto">
                    <a:xfrm>
                      <a:off x="0" y="0"/>
                      <a:ext cx="4747260" cy="801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0636" w:rsidRPr="00FE32E9">
        <w:rPr>
          <w:b/>
          <w:bCs/>
          <w:i/>
          <w:iCs/>
          <w:sz w:val="20"/>
          <w:szCs w:val="20"/>
          <w:lang w:val="en-US"/>
        </w:rPr>
        <w:t xml:space="preserve">Supplementary Figure S1. </w:t>
      </w:r>
      <w:r w:rsidR="00CD3E6C" w:rsidRPr="00FE32E9">
        <w:rPr>
          <w:b/>
          <w:bCs/>
          <w:sz w:val="20"/>
          <w:szCs w:val="20"/>
          <w:lang w:val="en-US"/>
        </w:rPr>
        <w:t xml:space="preserve">Comparative treatment schematics of the clinical Stupp regimen and </w:t>
      </w:r>
      <w:r w:rsidR="00CD3E6C" w:rsidRPr="00FE32E9">
        <w:rPr>
          <w:b/>
          <w:bCs/>
          <w:i/>
          <w:iCs/>
          <w:sz w:val="20"/>
          <w:szCs w:val="20"/>
          <w:lang w:val="en-US"/>
        </w:rPr>
        <w:t>in vitro</w:t>
      </w:r>
      <w:r w:rsidR="00CD3E6C" w:rsidRPr="00FE32E9">
        <w:rPr>
          <w:b/>
          <w:bCs/>
          <w:sz w:val="20"/>
          <w:szCs w:val="20"/>
          <w:lang w:val="en-US"/>
        </w:rPr>
        <w:t xml:space="preserve"> </w:t>
      </w:r>
      <w:proofErr w:type="spellStart"/>
      <w:r w:rsidR="00CD3E6C" w:rsidRPr="00FE32E9">
        <w:rPr>
          <w:b/>
          <w:bCs/>
          <w:sz w:val="20"/>
          <w:szCs w:val="20"/>
          <w:lang w:val="en-US"/>
        </w:rPr>
        <w:t>GliaMimic</w:t>
      </w:r>
      <w:proofErr w:type="spellEnd"/>
      <w:r w:rsidR="00CD3E6C" w:rsidRPr="00FE32E9">
        <w:rPr>
          <w:b/>
          <w:bCs/>
          <w:sz w:val="20"/>
          <w:szCs w:val="20"/>
          <w:lang w:val="en-US"/>
        </w:rPr>
        <w:t xml:space="preserve"> protocol</w:t>
      </w:r>
      <w:r w:rsidR="000C0636" w:rsidRPr="00FE32E9">
        <w:rPr>
          <w:b/>
          <w:bCs/>
          <w:sz w:val="20"/>
          <w:szCs w:val="20"/>
          <w:lang w:val="en-US"/>
        </w:rPr>
        <w:t>.</w:t>
      </w:r>
      <w:r w:rsidR="000C0636" w:rsidRPr="00FE32E9">
        <w:rPr>
          <w:b/>
          <w:bCs/>
          <w:i/>
          <w:iCs/>
          <w:sz w:val="20"/>
          <w:szCs w:val="20"/>
          <w:lang w:val="en-US"/>
        </w:rPr>
        <w:t xml:space="preserve"> </w:t>
      </w:r>
      <w:r w:rsidR="000C0636" w:rsidRPr="00FE32E9">
        <w:rPr>
          <w:sz w:val="20"/>
          <w:szCs w:val="20"/>
          <w:lang w:val="en-US"/>
        </w:rPr>
        <w:t xml:space="preserve">A) </w:t>
      </w:r>
      <w:r w:rsidR="003C03F1" w:rsidRPr="00FE32E9">
        <w:rPr>
          <w:sz w:val="20"/>
          <w:szCs w:val="20"/>
          <w:lang w:val="en-US"/>
        </w:rPr>
        <w:t xml:space="preserve">The clinical Stupp regimen is shown at the top, beginning with surgical resection followed by a 28-day healing period. The concurrent phase consists of 6 weeks of daily temozolomide (TMZ, 75 mg/m², dark violet) alongside radiotherapy (2Gy, 5x/week, light rose). After a treatment break, the adjuvant phase comprises six 28-day cycles, with continuous TMZ administered at escalating doses (150 – 200 mg/m²) on the first 5 days of each cycle. Post-treatment, patients typically remain tumor-free for 6 – 8 months before relapse. A timeline of the Stupp regimen is displayed in the middle, with the corresponding 1/14 down-scaled phase durations calculated for the </w:t>
      </w:r>
      <w:proofErr w:type="spellStart"/>
      <w:r w:rsidR="003C03F1" w:rsidRPr="00FE32E9">
        <w:rPr>
          <w:sz w:val="20"/>
          <w:szCs w:val="20"/>
          <w:lang w:val="en-US"/>
        </w:rPr>
        <w:t>GliaMimic</w:t>
      </w:r>
      <w:proofErr w:type="spellEnd"/>
      <w:r w:rsidR="003C03F1" w:rsidRPr="00FE32E9">
        <w:rPr>
          <w:sz w:val="20"/>
          <w:szCs w:val="20"/>
          <w:lang w:val="en-US"/>
        </w:rPr>
        <w:t xml:space="preserve"> model in days and hours (depicted in turquoise), preserving the same sequence and relative duration of treatment phases. Below, the </w:t>
      </w:r>
      <w:proofErr w:type="spellStart"/>
      <w:r w:rsidR="003C03F1" w:rsidRPr="00FE32E9">
        <w:rPr>
          <w:sz w:val="20"/>
          <w:szCs w:val="20"/>
          <w:lang w:val="en-US"/>
        </w:rPr>
        <w:t>GliaMimic</w:t>
      </w:r>
      <w:proofErr w:type="spellEnd"/>
      <w:r w:rsidR="003C03F1" w:rsidRPr="00FE32E9">
        <w:rPr>
          <w:sz w:val="20"/>
          <w:szCs w:val="20"/>
          <w:lang w:val="en-US"/>
        </w:rPr>
        <w:t xml:space="preserve"> treatment protocol is visualized. Following surgery, organoids are grown from the tumor biopsy, after which a 72-hour continuous treatment phase is initiated, comprising continuous TMZ and a single 4Gy irradiation exposure (logistically reduced from fractionated dosing). After a break, six cycles of 8.5 hours of TMZ followed by 39.5-hour breaks simulate the clinical adjuvant phase. Post-treatment tumor progression is evaluated </w:t>
      </w:r>
      <w:proofErr w:type="gramStart"/>
      <w:r w:rsidR="003C03F1" w:rsidRPr="00FE32E9">
        <w:rPr>
          <w:sz w:val="20"/>
          <w:szCs w:val="20"/>
          <w:lang w:val="en-US"/>
        </w:rPr>
        <w:t>at</w:t>
      </w:r>
      <w:proofErr w:type="gramEnd"/>
      <w:r w:rsidR="003C03F1" w:rsidRPr="00FE32E9">
        <w:rPr>
          <w:sz w:val="20"/>
          <w:szCs w:val="20"/>
          <w:lang w:val="en-US"/>
        </w:rPr>
        <w:t xml:space="preserve"> 14 days.</w:t>
      </w:r>
      <w:r w:rsidR="00A5408F" w:rsidRPr="00A5408F">
        <w:rPr>
          <w:lang w:val="en-US"/>
        </w:rPr>
        <w:t xml:space="preserve"> </w:t>
      </w:r>
      <w:r w:rsidR="00A5408F" w:rsidRPr="00A5408F">
        <w:rPr>
          <w:sz w:val="20"/>
          <w:szCs w:val="20"/>
          <w:lang w:val="en-US"/>
        </w:rPr>
        <w:t xml:space="preserve">Created in </w:t>
      </w:r>
      <w:proofErr w:type="spellStart"/>
      <w:r w:rsidR="00A5408F" w:rsidRPr="00A5408F">
        <w:rPr>
          <w:sz w:val="20"/>
          <w:szCs w:val="20"/>
          <w:lang w:val="en-US"/>
        </w:rPr>
        <w:t>BioRender</w:t>
      </w:r>
      <w:proofErr w:type="spellEnd"/>
      <w:r w:rsidR="00A5408F" w:rsidRPr="00A5408F">
        <w:rPr>
          <w:sz w:val="20"/>
          <w:szCs w:val="20"/>
          <w:lang w:val="en-US"/>
        </w:rPr>
        <w:t>. C, S. (2026) https://BioRender.com/m2elf5q</w:t>
      </w:r>
    </w:p>
    <w:p w14:paraId="6EA80E2A" w14:textId="77777777" w:rsidR="00FE32E9" w:rsidRPr="00FE32E9" w:rsidRDefault="00FE32E9" w:rsidP="00F12F19">
      <w:pPr>
        <w:rPr>
          <w:sz w:val="20"/>
          <w:szCs w:val="20"/>
          <w:lang w:val="en-US"/>
        </w:rPr>
      </w:pPr>
    </w:p>
    <w:p w14:paraId="621C8440" w14:textId="2E1BDA4A" w:rsidR="00FE32E9" w:rsidRPr="00FE32E9" w:rsidRDefault="00FE32E9" w:rsidP="00F12F19">
      <w:pPr>
        <w:rPr>
          <w:sz w:val="20"/>
          <w:szCs w:val="20"/>
          <w:lang w:val="en-US"/>
        </w:rPr>
      </w:pPr>
      <w:r w:rsidRPr="00FE32E9">
        <w:rPr>
          <w:noProof/>
          <w:sz w:val="20"/>
          <w:szCs w:val="20"/>
          <w:lang w:val="en-US"/>
        </w:rPr>
        <w:lastRenderedPageBreak/>
        <w:drawing>
          <wp:inline distT="0" distB="0" distL="0" distR="0" wp14:anchorId="71567199" wp14:editId="4EA5E5F0">
            <wp:extent cx="4839195" cy="5148520"/>
            <wp:effectExtent l="0" t="0" r="0" b="0"/>
            <wp:docPr id="7083084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44961" cy="5154655"/>
                    </a:xfrm>
                    <a:prstGeom prst="rect">
                      <a:avLst/>
                    </a:prstGeom>
                    <a:noFill/>
                    <a:ln>
                      <a:noFill/>
                    </a:ln>
                  </pic:spPr>
                </pic:pic>
              </a:graphicData>
            </a:graphic>
          </wp:inline>
        </w:drawing>
      </w:r>
    </w:p>
    <w:p w14:paraId="791F07F0" w14:textId="66065ADE" w:rsidR="00FE32E9" w:rsidRPr="00FE32E9" w:rsidRDefault="00FE32E9" w:rsidP="00F12F19">
      <w:pPr>
        <w:rPr>
          <w:sz w:val="20"/>
          <w:szCs w:val="20"/>
          <w:lang w:val="en-US"/>
        </w:rPr>
      </w:pPr>
      <w:r w:rsidRPr="00FE32E9">
        <w:rPr>
          <w:b/>
          <w:bCs/>
          <w:i/>
          <w:iCs/>
          <w:sz w:val="20"/>
          <w:szCs w:val="20"/>
          <w:lang w:val="en-US"/>
        </w:rPr>
        <w:t xml:space="preserve">Supplementary Figure S2. </w:t>
      </w:r>
      <w:r w:rsidRPr="00FE32E9">
        <w:rPr>
          <w:b/>
          <w:bCs/>
          <w:sz w:val="20"/>
          <w:szCs w:val="20"/>
          <w:lang w:val="en-US"/>
        </w:rPr>
        <w:t>Automated morphometric detection of apoptotic tumor cells in H&amp;E</w:t>
      </w:r>
      <w:r w:rsidRPr="00FE32E9">
        <w:rPr>
          <w:b/>
          <w:bCs/>
          <w:sz w:val="20"/>
          <w:szCs w:val="20"/>
          <w:lang w:val="en-US"/>
        </w:rPr>
        <w:noBreakHyphen/>
        <w:t>stained tissue sections.</w:t>
      </w:r>
      <w:r w:rsidRPr="00FE32E9">
        <w:rPr>
          <w:b/>
          <w:bCs/>
          <w:i/>
          <w:iCs/>
          <w:sz w:val="20"/>
          <w:szCs w:val="20"/>
          <w:lang w:val="en-US"/>
        </w:rPr>
        <w:t xml:space="preserve"> </w:t>
      </w:r>
      <w:r w:rsidRPr="00FE32E9">
        <w:rPr>
          <w:sz w:val="20"/>
          <w:szCs w:val="20"/>
          <w:lang w:val="en-US"/>
        </w:rPr>
        <w:t>A) H&amp;E</w:t>
      </w:r>
      <w:r w:rsidRPr="00FE32E9">
        <w:rPr>
          <w:sz w:val="20"/>
          <w:szCs w:val="20"/>
          <w:lang w:val="en-US"/>
        </w:rPr>
        <w:noBreakHyphen/>
        <w:t>stained sections (left) were subjected to analysis using a previously developed and validated morphometric algorithm</w:t>
      </w:r>
      <w:sdt>
        <w:sdtPr>
          <w:rPr>
            <w:rFonts w:ascii="Segoe UI" w:hAnsi="Segoe UI" w:cs="Segoe UI"/>
            <w:color w:val="000000"/>
            <w:sz w:val="20"/>
            <w:szCs w:val="20"/>
            <w:lang w:val="en-US"/>
          </w:rPr>
          <w:tag w:val="MENDELEY_CITATION_v3_eyJjaXRhdGlvbklEIjoiTUVOREVMRVlfQ0lUQVRJT05fOTZkYTM3MjgtODRlZi00Y2MyLWIzZDctMjFmMWMyYjI5YmQzIiwicHJvcGVydGllcyI6eyJub3RlSW5kZXgiOjB9LCJpc0VkaXRlZCI6ZmFsc2UsIm1hbnVhbE92ZXJyaWRlIjp7ImlzTWFudWFsbHlPdmVycmlkZGVuIjpmYWxzZSwiY2l0ZXByb2NUZXh0IjoiKEJlbGwgZXQgYWwuLCAyMDI1KSIsIm1hbnVhbE92ZXJyaWRlVGV4dCI6IiJ9LCJjaXRhdGlvbkl0ZW1zIjpbeyJpZCI6IjgxMjkwODA0LTczZDItMzM4OS1iMzBhLWY4NjM4YzNiODE1NiIsIml0ZW1EYXRhIjp7InR5cGUiOiJhcnRpY2xlLWpvdXJuYWwiLCJpZCI6IjgxMjkwODA0LTczZDItMzM4OS1iMzBhLWY4NjM4YzNiODE1NiIsInRpdGxlIjoiQWR2YW5jZWQgdGlzc3VlIHRlY2hub2xvZ2llcyBvZiBibG9vZC1icmFpbiBiYXJyaWVyIG9yZ2Fub2lkcyBhcyBoaWdoIHRocm91Z2hwdXQgdG94aWNpdHkgcmVhZG91dHMgaW4gZHJ1ZyBkZXZlbG9wbWVudCIsImF1dGhvciI6W3siZmFtaWx5IjoiQmVsbCIsImdpdmVuIjoiTHVpc2EiLCJwYXJzZS1uYW1lcyI6ZmFsc2UsImRyb3BwaW5nLXBhcnRpY2xlIjoiIiwibm9uLWRyb3BwaW5nLXBhcnRpY2xlIjoiIn0seyJmYW1pbHkiOiJTaW1vbm5lYXUiLCJnaXZlbiI6IkNsYWlyZSIsInBhcnNlLW5hbWVzIjpmYWxzZSwiZHJvcHBpbmctcGFydGljbGUiOiIiLCJub24tZHJvcHBpbmctcGFydGljbGUiOiIifSx7ImZhbWlseSI6IlphbmluaSIsImdpdmVuIjoiQ2hpYXJhIiwicGFyc2UtbmFtZXMiOmZhbHNlLCJkcm9wcGluZy1wYXJ0aWNsZSI6IiIsIm5vbi1kcm9wcGluZy1wYXJ0aWNsZSI6IiJ9LHsiZmFtaWx5IjoiS2Fzc2lhbmlkb3UiLCJnaXZlbiI6IkVsZW5hIiwicGFyc2UtbmFtZXMiOmZhbHNlLCJkcm9wcGluZy1wYXJ0aWNsZSI6IiIsIm5vbi1kcm9wcGluZy1wYXJ0aWNsZSI6IiJ9LHsiZmFtaWx5IjoiWnVuZGVsIiwiZ2l2ZW4iOiJDaHJpc3RlbGxlIiwicGFyc2UtbmFtZXMiOmZhbHNlLCJkcm9wcGluZy1wYXJ0aWNsZSI6IiIsIm5vbi1kcm9wcGluZy1wYXJ0aWNsZSI6IiJ9LHsiZmFtaWx5IjoiTmVmZiIsImdpdmVuIjoiUmFjaGVsIiwicGFyc2UtbmFtZXMiOmZhbHNlLCJkcm9wcGluZy1wYXJ0aWNsZSI6IiIsIm5vbi1kcm9wcGluZy1wYXJ0aWNsZSI6IiJ9LHsiZmFtaWx5IjoiU3RlaW5odWJlciIsImdpdmVuIjoiQmVybmQiLCJwYXJzZS1uYW1lcyI6ZmFsc2UsImRyb3BwaW5nLXBhcnRpY2xlIjoiIiwibm9uLWRyb3BwaW5nLXBhcnRpY2xlIjoiIn0seyJmYW1pbHkiOiJUZWNpbGxhIiwiZ2l2ZW4iOiJNYXJjbyIsInBhcnNlLW5hbWVzIjpmYWxzZSwiZHJvcHBpbmctcGFydGljbGUiOiIiLCJub24tZHJvcHBpbmctcGFydGljbGUiOiIifSx7ImZhbWlseSI6Ik9kZXJtYXR0IiwiZ2l2ZW4iOiJBbGV4IiwicGFyc2UtbmFtZXMiOmZhbHNlLCJkcm9wcGluZy1wYXJ0aWNsZSI6IiIsIm5vbi1kcm9wcGluZy1wYXJ0aWNsZSI6IiJ9LHsiZmFtaWx5IjoiVmlsbGFzZcOxb3IiLCJnaXZlbiI6IlJvYmVydG8iLCJwYXJzZS1uYW1lcyI6ZmFsc2UsImRyb3BwaW5nLXBhcnRpY2xlIjoiIiwibm9uLWRyb3BwaW5nLXBhcnRpY2xlIjoiIn0seyJmYW1pbHkiOiJTdG9rYXItUmVnZW5zY2hlaXQiLCJnaXZlbiI6Ik5hZGluZSIsInBhcnNlLW5hbWVzIjpmYWxzZSwiZHJvcHBpbmctcGFydGljbGUiOiIiLCJub24tZHJvcHBpbmctcGFydGljbGUiOiIifV0sImNvbnRhaW5lci10aXRsZSI6IkhlbGl5b24iLCJjb250YWluZXItdGl0bGUtc2hvcnQiOiJIZWxpeW9uIiwiYWNjZXNzZWQiOnsiZGF0ZS1wYXJ0cyI6W1syMDI1LDcsMjVdXX0sIkRPSSI6IjEwLjEwMTYvSi5IRUxJWU9OLjIwMjQuRTQwODEzIiwiSVNTTiI6IjI0MDUtODQ0MCIsIlVSTCI6Imh0dHBzOi8vd3d3LnNjaWVuY2VkaXJlY3QuY29tL3NjaWVuY2UvYXJ0aWNsZS9waWkvUzI0MDU4NDQwMjQxNjg0NDIiLCJpc3N1ZWQiOnsiZGF0ZS1wYXJ0cyI6W1syMDI1LDEsMTVdXX0sInBhZ2UiOiJlNDA4MTMiLCJhYnN0cmFjdCI6IlJlY2VudCBhZHZhbmNlbWVudHMgaW4gZW5naW5lZXJpbmcgQ29tcGxleCBpbiB2aXRybyBtb2RlbHMgKENJVk1zKSBzdWNoIGFzIEJsb29kLWJyYWluIGJhcnJpZXIgKEJCQikgb3JnYW5vaWRzIG9mZmVyIHByb21pc2luZyBwbGF0Zm9ybXMgZm9yIHByZWNsaW5pY2FsIGRydWcgdGVzdGluZy4gSG93ZXZlciwgdGhlaXIgYXBwbGljYXRpb24gaW4gZHJ1ZyBkZXZlbG9wbWVudCwgYW5kIGVzcGVjaWFsbHkgZm9yIHRoZSByZWd1bGF0b3J5IHB1cnBvc2VzIG9mIHRveGljaXR5IGFzc2Vzc21lbnQsIHJlcXVpcmVzIHJvYnVzdCBhbmQgcmVwcm9kdWNpYmxlIHRlY2huaXF1ZXMuIEhlcmUsIHdlIGRldmVsb3BlZCBhbiBhZGFwdGVkIHNldCBvZiBvcnRob2dvbmFsIGltYWdlLWJhc2VkIHRpc3N1ZSBtZXRob2RzIGluY2x1ZGluZyBoZW1hdG94eWxpbiBhbmQgZW9zaW4gc3RhaW5pbmcgKEhFKSwgaW1tdW5vaGlzdG9jaGVtaXN0cnkgKElIQyksIG11bHRpcGxleCBpbW11bm9mbHVvcmVzY2VuY2UgKG1JRiksIGFuZCBNYXRyaXggQXNzaXN0ZWQgTGFzZXIgRGVzb3JwdGlvbi9Jb25pemF0aW9uIE1hc3MgU3BlY3Ryb21ldHJ5IEltYWdpbmcgKE1BTERJLU1TSSkgdG8gdmFsaWRhdGUgQ0lWTXMgZm9yIGRydWcgdG94aWNpdHkgYXNzZXNzbWVudHMuIFdlIGRldmVsb3BlZCBhbiBhcnRpZmljaWFsIGludGVsbGlnZW5jZSAoQUkpIGFsZ29yaXRobSB0byBpbmNyZWFzZSB0aGUgdGhyb3VnaHB1dCBhbmQgdGhlIHJlbGlhYmlsaXR5IG9mIGhpc3RvbW9ycGhvbG9naWMgZXZhbHVhdGlvbnMgb2YgYXBvcHRvc2lzIGZvciBpbiB2aXRybyB0b3hpY2l0eSBzdHVkaWVzLiBPdXIgZGF0YSBoaWdobGlnaHQgdGhlIHBvdGVudGlhbCB0byBpbnRlZ3JhdGUgYWR2YW5jZWQgbW9ycGhvbG9neS1iYXNlZCByZWFkb3V0cyBzdWNoIGFzIGhpc3RvbG9naWNhbCB0ZWNobmlxdWVzIGFuZCBkaWdpdGFsIHBhdGhvbG9neSBhbGdvcml0aG1zIGZvciB1c2Ugb24gQ0lWTXMsIGFzIHBhcnQgb2YgYSBzdGFuZGFyZCBwcmVjbGluaWNhbCBkcnVnIGRldmVsb3BtZW50IGFzc2Vzc21lbnQuIiwicHVibGlzaGVyIjoiRWxzZXZpZXIiLCJpc3N1ZSI6IjEiLCJ2b2x1bWUiOiIxMSJ9LCJpc1RlbXBvcmFyeSI6ZmFsc2V9XX0="/>
          <w:id w:val="2050875386"/>
          <w:placeholder>
            <w:docPart w:val="DefaultPlaceholder_-1854013440"/>
          </w:placeholder>
        </w:sdtPr>
        <w:sdtContent>
          <w:r w:rsidR="00963E2F" w:rsidRPr="00963E2F">
            <w:rPr>
              <w:rFonts w:ascii="Segoe UI" w:hAnsi="Segoe UI" w:cs="Segoe UI"/>
              <w:color w:val="000000"/>
              <w:sz w:val="20"/>
              <w:szCs w:val="20"/>
              <w:lang w:val="en-US"/>
            </w:rPr>
            <w:t>(Bell et al., 2025)</w:t>
          </w:r>
        </w:sdtContent>
      </w:sdt>
      <w:r w:rsidRPr="00FE32E9">
        <w:rPr>
          <w:sz w:val="20"/>
          <w:szCs w:val="20"/>
          <w:lang w:val="en-US"/>
        </w:rPr>
        <w:t xml:space="preserve"> (</w:t>
      </w:r>
      <w:proofErr w:type="spellStart"/>
      <w:r w:rsidRPr="00FE32E9">
        <w:rPr>
          <w:sz w:val="20"/>
          <w:szCs w:val="20"/>
          <w:lang w:val="en-US"/>
        </w:rPr>
        <w:t>Visiopharm</w:t>
      </w:r>
      <w:proofErr w:type="spellEnd"/>
      <w:r w:rsidRPr="00FE32E9">
        <w:rPr>
          <w:sz w:val="20"/>
          <w:szCs w:val="20"/>
          <w:lang w:val="en-US"/>
        </w:rPr>
        <w:t>), designed to detect single</w:t>
      </w:r>
      <w:r w:rsidRPr="00FE32E9">
        <w:rPr>
          <w:sz w:val="20"/>
          <w:szCs w:val="20"/>
          <w:lang w:val="en-US"/>
        </w:rPr>
        <w:noBreakHyphen/>
        <w:t>cell apoptotic events. The output mask (right) shows all detected nuclei in gray, with apoptotic nuclei segmented in white.</w:t>
      </w:r>
    </w:p>
    <w:p w14:paraId="4830B30F" w14:textId="65E7651D" w:rsidR="0010356A" w:rsidRPr="00FE32E9" w:rsidRDefault="005F4AC0" w:rsidP="00F12F19">
      <w:pPr>
        <w:rPr>
          <w:sz w:val="20"/>
          <w:szCs w:val="20"/>
          <w:lang w:val="en-US"/>
        </w:rPr>
      </w:pPr>
      <w:r w:rsidRPr="00FE32E9">
        <w:rPr>
          <w:noProof/>
          <w:sz w:val="20"/>
          <w:szCs w:val="20"/>
        </w:rPr>
        <w:lastRenderedPageBreak/>
        <w:drawing>
          <wp:anchor distT="0" distB="0" distL="114300" distR="114300" simplePos="0" relativeHeight="251660288" behindDoc="1" locked="0" layoutInCell="1" allowOverlap="1" wp14:anchorId="716E2305" wp14:editId="411B23FC">
            <wp:simplePos x="0" y="0"/>
            <wp:positionH relativeFrom="page">
              <wp:align>center</wp:align>
            </wp:positionH>
            <wp:positionV relativeFrom="paragraph">
              <wp:posOffset>262890</wp:posOffset>
            </wp:positionV>
            <wp:extent cx="6115050" cy="3381375"/>
            <wp:effectExtent l="0" t="0" r="0" b="9525"/>
            <wp:wrapTight wrapText="bothSides">
              <wp:wrapPolygon edited="0">
                <wp:start x="0" y="0"/>
                <wp:lineTo x="0" y="21539"/>
                <wp:lineTo x="21533" y="21539"/>
                <wp:lineTo x="21533" y="0"/>
                <wp:lineTo x="0" y="0"/>
              </wp:wrapPolygon>
            </wp:wrapTight>
            <wp:docPr id="649546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5050" cy="3381375"/>
                    </a:xfrm>
                    <a:prstGeom prst="rect">
                      <a:avLst/>
                    </a:prstGeom>
                    <a:noFill/>
                    <a:ln>
                      <a:noFill/>
                    </a:ln>
                  </pic:spPr>
                </pic:pic>
              </a:graphicData>
            </a:graphic>
          </wp:anchor>
        </w:drawing>
      </w:r>
    </w:p>
    <w:p w14:paraId="0B42D8F4" w14:textId="0A7FECB8" w:rsidR="0010356A" w:rsidRPr="00FE32E9" w:rsidRDefault="0010356A" w:rsidP="00F12F19">
      <w:pPr>
        <w:rPr>
          <w:sz w:val="20"/>
          <w:szCs w:val="20"/>
          <w:lang w:val="en-US"/>
        </w:rPr>
      </w:pPr>
    </w:p>
    <w:p w14:paraId="64D41F6C" w14:textId="2D16657B" w:rsidR="005F4AC0" w:rsidRPr="00FE32E9" w:rsidRDefault="0010356A" w:rsidP="00F12F19">
      <w:pPr>
        <w:rPr>
          <w:sz w:val="20"/>
          <w:szCs w:val="20"/>
          <w:lang w:val="en-US"/>
        </w:rPr>
      </w:pPr>
      <w:r w:rsidRPr="00FE32E9">
        <w:rPr>
          <w:b/>
          <w:bCs/>
          <w:i/>
          <w:iCs/>
          <w:sz w:val="20"/>
          <w:szCs w:val="20"/>
          <w:lang w:val="en-US"/>
        </w:rPr>
        <w:t xml:space="preserve">Supplementary Figure S2. </w:t>
      </w:r>
      <w:r w:rsidRPr="00FE32E9">
        <w:rPr>
          <w:b/>
          <w:bCs/>
          <w:sz w:val="20"/>
          <w:szCs w:val="20"/>
          <w:lang w:val="en-US"/>
        </w:rPr>
        <w:t xml:space="preserve">Segmentation strategy for GBM spheroids and PDOs using </w:t>
      </w:r>
      <w:proofErr w:type="spellStart"/>
      <w:r w:rsidRPr="00FE32E9">
        <w:rPr>
          <w:b/>
          <w:bCs/>
          <w:sz w:val="20"/>
          <w:szCs w:val="20"/>
          <w:lang w:val="en-US"/>
        </w:rPr>
        <w:t>OrganoSeg</w:t>
      </w:r>
      <w:proofErr w:type="spellEnd"/>
      <w:r w:rsidRPr="00FE32E9">
        <w:rPr>
          <w:b/>
          <w:bCs/>
          <w:sz w:val="20"/>
          <w:szCs w:val="20"/>
          <w:lang w:val="en-US"/>
        </w:rPr>
        <w:t>.</w:t>
      </w:r>
      <w:r w:rsidRPr="00FE32E9">
        <w:rPr>
          <w:b/>
          <w:bCs/>
          <w:i/>
          <w:iCs/>
          <w:sz w:val="20"/>
          <w:szCs w:val="20"/>
          <w:lang w:val="en-US"/>
        </w:rPr>
        <w:t xml:space="preserve"> </w:t>
      </w:r>
      <w:r w:rsidRPr="00FE32E9">
        <w:rPr>
          <w:sz w:val="20"/>
          <w:szCs w:val="20"/>
          <w:lang w:val="en-US"/>
        </w:rPr>
        <w:t xml:space="preserve">A) Bright‑field images of ZH757, U251MG and U87MG spheroids show the </w:t>
      </w:r>
      <w:proofErr w:type="spellStart"/>
      <w:r w:rsidRPr="00FE32E9">
        <w:rPr>
          <w:sz w:val="20"/>
          <w:szCs w:val="20"/>
          <w:lang w:val="en-US"/>
        </w:rPr>
        <w:t>OrganoSeg</w:t>
      </w:r>
      <w:proofErr w:type="spellEnd"/>
      <w:r w:rsidRPr="00FE32E9">
        <w:rPr>
          <w:sz w:val="20"/>
          <w:szCs w:val="20"/>
          <w:lang w:val="en-US"/>
        </w:rPr>
        <w:t xml:space="preserve"> workflow. Top row: original image; middle row: ROI detection (blue); bottom row: final spheroid mask indicating detected spheroid area (red). The pipeline selects the main contiguous spheroid body and excludes small, disconnected objects (debris, migratory/invasive cells, secondary aggregates), yielding stable area measurements across treatments and time points. Images include both easy and challenging examples to illustrate robustness. </w:t>
      </w:r>
    </w:p>
    <w:p w14:paraId="18BCE355" w14:textId="3D6BD42F" w:rsidR="005F4AC0" w:rsidRPr="00FE32E9" w:rsidRDefault="005F4AC0" w:rsidP="00F12F19">
      <w:pPr>
        <w:rPr>
          <w:sz w:val="20"/>
          <w:szCs w:val="20"/>
          <w:lang w:val="en-US"/>
        </w:rPr>
      </w:pPr>
    </w:p>
    <w:p w14:paraId="405AAA18" w14:textId="77777777" w:rsidR="005F4AC0" w:rsidRPr="00FE32E9" w:rsidRDefault="005F4AC0" w:rsidP="00F12F19">
      <w:pPr>
        <w:rPr>
          <w:sz w:val="20"/>
          <w:szCs w:val="20"/>
          <w:lang w:val="en-US"/>
        </w:rPr>
      </w:pPr>
    </w:p>
    <w:p w14:paraId="3F70285D" w14:textId="77777777" w:rsidR="005F4AC0" w:rsidRPr="00FE32E9" w:rsidRDefault="005F4AC0" w:rsidP="00F12F19">
      <w:pPr>
        <w:rPr>
          <w:sz w:val="20"/>
          <w:szCs w:val="20"/>
          <w:lang w:val="en-US"/>
        </w:rPr>
      </w:pPr>
    </w:p>
    <w:p w14:paraId="701AB1BF" w14:textId="77777777" w:rsidR="005F4AC0" w:rsidRPr="00FE32E9" w:rsidRDefault="005F4AC0" w:rsidP="00F12F19">
      <w:pPr>
        <w:rPr>
          <w:sz w:val="20"/>
          <w:szCs w:val="20"/>
          <w:lang w:val="en-US"/>
        </w:rPr>
      </w:pPr>
    </w:p>
    <w:p w14:paraId="699DEB0D" w14:textId="7408D7AC" w:rsidR="005F4AC0" w:rsidRPr="00FE32E9" w:rsidRDefault="005F4AC0" w:rsidP="00F12F19">
      <w:pPr>
        <w:rPr>
          <w:sz w:val="20"/>
          <w:szCs w:val="20"/>
          <w:lang w:val="en-US"/>
        </w:rPr>
      </w:pPr>
      <w:r w:rsidRPr="00FE32E9">
        <w:rPr>
          <w:noProof/>
          <w:sz w:val="20"/>
          <w:szCs w:val="20"/>
          <w:lang w:val="en-US"/>
        </w:rPr>
        <w:lastRenderedPageBreak/>
        <w:drawing>
          <wp:inline distT="0" distB="0" distL="0" distR="0" wp14:anchorId="15F087A5" wp14:editId="136617A6">
            <wp:extent cx="4304805" cy="8037397"/>
            <wp:effectExtent l="0" t="0" r="635" b="1905"/>
            <wp:docPr id="8433327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5630" cy="8076278"/>
                    </a:xfrm>
                    <a:prstGeom prst="rect">
                      <a:avLst/>
                    </a:prstGeom>
                    <a:noFill/>
                    <a:ln>
                      <a:noFill/>
                    </a:ln>
                  </pic:spPr>
                </pic:pic>
              </a:graphicData>
            </a:graphic>
          </wp:inline>
        </w:drawing>
      </w:r>
    </w:p>
    <w:p w14:paraId="17CAD9FA" w14:textId="70DC2A0F" w:rsidR="00720D1F" w:rsidRPr="00FE32E9" w:rsidRDefault="005F4AC0" w:rsidP="00B96E03">
      <w:pPr>
        <w:spacing w:line="276" w:lineRule="auto"/>
        <w:rPr>
          <w:sz w:val="20"/>
          <w:szCs w:val="20"/>
          <w:lang w:val="en-US"/>
        </w:rPr>
      </w:pPr>
      <w:r w:rsidRPr="00FE32E9">
        <w:rPr>
          <w:b/>
          <w:bCs/>
          <w:i/>
          <w:iCs/>
          <w:sz w:val="20"/>
          <w:szCs w:val="20"/>
          <w:lang w:val="en-US"/>
        </w:rPr>
        <w:t>Supplementary Figure S</w:t>
      </w:r>
      <w:r w:rsidR="00FE32E9" w:rsidRPr="00FE32E9">
        <w:rPr>
          <w:b/>
          <w:bCs/>
          <w:i/>
          <w:iCs/>
          <w:sz w:val="20"/>
          <w:szCs w:val="20"/>
          <w:lang w:val="en-US"/>
        </w:rPr>
        <w:t>4</w:t>
      </w:r>
      <w:r w:rsidRPr="00FE32E9">
        <w:rPr>
          <w:b/>
          <w:bCs/>
          <w:i/>
          <w:iCs/>
          <w:sz w:val="20"/>
          <w:szCs w:val="20"/>
          <w:lang w:val="en-US"/>
        </w:rPr>
        <w:t xml:space="preserve">. </w:t>
      </w:r>
      <w:r w:rsidRPr="00FE32E9">
        <w:rPr>
          <w:b/>
          <w:bCs/>
          <w:sz w:val="20"/>
          <w:szCs w:val="20"/>
          <w:lang w:val="en-US"/>
        </w:rPr>
        <w:t xml:space="preserve">Segmentation strategy </w:t>
      </w:r>
      <w:r w:rsidR="004A45EB" w:rsidRPr="00FE32E9">
        <w:rPr>
          <w:b/>
          <w:bCs/>
          <w:sz w:val="20"/>
          <w:szCs w:val="20"/>
          <w:lang w:val="en-US"/>
        </w:rPr>
        <w:t xml:space="preserve">for viable and necrotic cell fraction using </w:t>
      </w:r>
      <w:r w:rsidR="004A45EB" w:rsidRPr="00FE32E9">
        <w:rPr>
          <w:b/>
          <w:bCs/>
          <w:sz w:val="20"/>
          <w:szCs w:val="20"/>
          <w:lang w:val="en-US"/>
        </w:rPr>
        <w:br/>
      </w:r>
      <w:proofErr w:type="spellStart"/>
      <w:r w:rsidR="004A45EB" w:rsidRPr="00FE32E9">
        <w:rPr>
          <w:b/>
          <w:bCs/>
          <w:sz w:val="20"/>
          <w:szCs w:val="20"/>
          <w:lang w:val="en-US"/>
        </w:rPr>
        <w:t>QuPath</w:t>
      </w:r>
      <w:proofErr w:type="spellEnd"/>
      <w:r w:rsidRPr="00FE32E9">
        <w:rPr>
          <w:b/>
          <w:bCs/>
          <w:sz w:val="20"/>
          <w:szCs w:val="20"/>
          <w:lang w:val="en-US"/>
        </w:rPr>
        <w:t>.</w:t>
      </w:r>
      <w:r w:rsidRPr="00FE32E9">
        <w:rPr>
          <w:b/>
          <w:bCs/>
          <w:i/>
          <w:iCs/>
          <w:sz w:val="20"/>
          <w:szCs w:val="20"/>
          <w:lang w:val="en-US"/>
        </w:rPr>
        <w:t xml:space="preserve"> </w:t>
      </w:r>
      <w:r w:rsidRPr="00FE32E9">
        <w:rPr>
          <w:sz w:val="20"/>
          <w:szCs w:val="20"/>
          <w:lang w:val="en-US"/>
        </w:rPr>
        <w:t xml:space="preserve">A) </w:t>
      </w:r>
      <w:r w:rsidR="004A45EB" w:rsidRPr="00FE32E9">
        <w:rPr>
          <w:sz w:val="20"/>
          <w:szCs w:val="20"/>
          <w:lang w:val="en-US"/>
        </w:rPr>
        <w:t>Fluorescent cross</w:t>
      </w:r>
      <w:r w:rsidR="004A45EB" w:rsidRPr="00FE32E9">
        <w:rPr>
          <w:sz w:val="20"/>
          <w:szCs w:val="20"/>
          <w:lang w:val="en-US"/>
        </w:rPr>
        <w:noBreakHyphen/>
        <w:t>section images (taken at one</w:t>
      </w:r>
      <w:r w:rsidR="004A45EB" w:rsidRPr="00FE32E9">
        <w:rPr>
          <w:sz w:val="20"/>
          <w:szCs w:val="20"/>
          <w:lang w:val="en-US"/>
        </w:rPr>
        <w:noBreakHyphen/>
        <w:t xml:space="preserve">third spheroid/PDO height) illustrate the </w:t>
      </w:r>
      <w:proofErr w:type="spellStart"/>
      <w:r w:rsidR="004A45EB" w:rsidRPr="00FE32E9">
        <w:rPr>
          <w:sz w:val="20"/>
          <w:szCs w:val="20"/>
          <w:lang w:val="en-US"/>
        </w:rPr>
        <w:t>QuPath</w:t>
      </w:r>
      <w:proofErr w:type="spellEnd"/>
      <w:r w:rsidR="004A45EB" w:rsidRPr="00FE32E9">
        <w:rPr>
          <w:sz w:val="20"/>
          <w:szCs w:val="20"/>
          <w:lang w:val="en-US"/>
        </w:rPr>
        <w:t xml:space="preserve"> workflow. Top row: original composite and separate channels (nuclei, viable </w:t>
      </w:r>
      <w:proofErr w:type="spellStart"/>
      <w:r w:rsidR="004A45EB" w:rsidRPr="00FE32E9">
        <w:rPr>
          <w:sz w:val="20"/>
          <w:szCs w:val="20"/>
          <w:lang w:val="en-US"/>
        </w:rPr>
        <w:t>Calcein</w:t>
      </w:r>
      <w:proofErr w:type="spellEnd"/>
      <w:r w:rsidR="004A45EB" w:rsidRPr="00FE32E9">
        <w:rPr>
          <w:sz w:val="20"/>
          <w:szCs w:val="20"/>
          <w:lang w:val="en-US"/>
        </w:rPr>
        <w:noBreakHyphen/>
        <w:t>AM, necrotic PI) with the manually drawn ROI (faint green). Middle row: detected nuclei with an assumed 5 µm cell body around each nucleus (example crop shown). Bottom</w:t>
      </w:r>
      <w:r w:rsidR="004A45EB" w:rsidRPr="00FE32E9">
        <w:rPr>
          <w:b/>
          <w:bCs/>
          <w:sz w:val="20"/>
          <w:szCs w:val="20"/>
          <w:lang w:val="en-US"/>
        </w:rPr>
        <w:t>:</w:t>
      </w:r>
      <w:r w:rsidR="004A45EB" w:rsidRPr="00FE32E9">
        <w:rPr>
          <w:sz w:val="20"/>
          <w:szCs w:val="20"/>
          <w:lang w:val="en-US"/>
        </w:rPr>
        <w:t xml:space="preserve"> Classifier output distinguishing viable cells (</w:t>
      </w:r>
      <w:proofErr w:type="spellStart"/>
      <w:r w:rsidR="004A45EB" w:rsidRPr="00FE32E9">
        <w:rPr>
          <w:sz w:val="20"/>
          <w:szCs w:val="20"/>
          <w:lang w:val="en-US"/>
        </w:rPr>
        <w:t>Calcein</w:t>
      </w:r>
      <w:proofErr w:type="spellEnd"/>
      <w:r w:rsidR="004A45EB" w:rsidRPr="00FE32E9">
        <w:rPr>
          <w:sz w:val="20"/>
          <w:szCs w:val="20"/>
          <w:lang w:val="en-US"/>
        </w:rPr>
        <w:noBreakHyphen/>
        <w:t>positive, green) and necrotic cells (PI</w:t>
      </w:r>
      <w:r w:rsidR="004A45EB" w:rsidRPr="00FE32E9">
        <w:rPr>
          <w:sz w:val="20"/>
          <w:szCs w:val="20"/>
          <w:lang w:val="en-US"/>
        </w:rPr>
        <w:noBreakHyphen/>
        <w:t>positive, red) with a cropped view of the segmented spheroid. B) shows the same workflow for a D3 spheroid treated with 1000 µM TMZ + 4 Gy and in A the untreated D3 control is depicted.</w:t>
      </w:r>
    </w:p>
    <w:p w14:paraId="2E649386" w14:textId="2570977A" w:rsidR="00720D1F" w:rsidRPr="00FE32E9" w:rsidRDefault="00B96E03" w:rsidP="00F12F19">
      <w:pPr>
        <w:rPr>
          <w:sz w:val="20"/>
          <w:szCs w:val="20"/>
          <w:lang w:val="en-US"/>
        </w:rPr>
      </w:pPr>
      <w:r>
        <w:rPr>
          <w:noProof/>
        </w:rPr>
        <w:lastRenderedPageBreak/>
        <w:drawing>
          <wp:inline distT="0" distB="0" distL="0" distR="0" wp14:anchorId="55EFAC02" wp14:editId="40B973D0">
            <wp:extent cx="4904936" cy="7903029"/>
            <wp:effectExtent l="0" t="0" r="0" b="3175"/>
            <wp:docPr id="1239569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14388" cy="7918258"/>
                    </a:xfrm>
                    <a:prstGeom prst="rect">
                      <a:avLst/>
                    </a:prstGeom>
                    <a:noFill/>
                    <a:ln>
                      <a:noFill/>
                    </a:ln>
                  </pic:spPr>
                </pic:pic>
              </a:graphicData>
            </a:graphic>
          </wp:inline>
        </w:drawing>
      </w:r>
    </w:p>
    <w:p w14:paraId="5785EE11" w14:textId="3EEE2329" w:rsidR="00720D1F" w:rsidRPr="00660CAD" w:rsidRDefault="00720D1F" w:rsidP="00F12F19">
      <w:pPr>
        <w:rPr>
          <w:sz w:val="20"/>
          <w:szCs w:val="20"/>
          <w:lang w:val="en-US"/>
        </w:rPr>
      </w:pPr>
      <w:r w:rsidRPr="00660CAD">
        <w:rPr>
          <w:b/>
          <w:bCs/>
          <w:i/>
          <w:iCs/>
          <w:sz w:val="20"/>
          <w:szCs w:val="20"/>
          <w:lang w:val="en-US"/>
        </w:rPr>
        <w:t>Supplementary Figure S</w:t>
      </w:r>
      <w:r w:rsidR="00FE32E9" w:rsidRPr="00660CAD">
        <w:rPr>
          <w:b/>
          <w:bCs/>
          <w:i/>
          <w:iCs/>
          <w:sz w:val="20"/>
          <w:szCs w:val="20"/>
          <w:lang w:val="en-US"/>
        </w:rPr>
        <w:t>5</w:t>
      </w:r>
      <w:r w:rsidRPr="00660CAD">
        <w:rPr>
          <w:b/>
          <w:bCs/>
          <w:i/>
          <w:iCs/>
          <w:sz w:val="20"/>
          <w:szCs w:val="20"/>
          <w:lang w:val="en-US"/>
        </w:rPr>
        <w:t xml:space="preserve">. </w:t>
      </w:r>
      <w:r w:rsidR="00B96E03" w:rsidRPr="00660CAD">
        <w:rPr>
          <w:b/>
          <w:bCs/>
          <w:sz w:val="20"/>
          <w:szCs w:val="20"/>
          <w:lang w:val="en-US"/>
        </w:rPr>
        <w:t xml:space="preserve">Flow cytometry </w:t>
      </w:r>
      <w:r w:rsidR="00BD41D8" w:rsidRPr="00660CAD">
        <w:rPr>
          <w:b/>
          <w:bCs/>
          <w:sz w:val="20"/>
          <w:szCs w:val="20"/>
          <w:lang w:val="en-US"/>
        </w:rPr>
        <w:t>gating strategy</w:t>
      </w:r>
      <w:r w:rsidRPr="00660CAD">
        <w:rPr>
          <w:b/>
          <w:bCs/>
          <w:sz w:val="20"/>
          <w:szCs w:val="20"/>
          <w:lang w:val="en-US"/>
        </w:rPr>
        <w:t>.</w:t>
      </w:r>
      <w:r w:rsidRPr="00660CAD">
        <w:rPr>
          <w:b/>
          <w:bCs/>
          <w:i/>
          <w:iCs/>
          <w:sz w:val="20"/>
          <w:szCs w:val="20"/>
          <w:lang w:val="en-US"/>
        </w:rPr>
        <w:t xml:space="preserve"> </w:t>
      </w:r>
      <w:r w:rsidRPr="00660CAD">
        <w:rPr>
          <w:sz w:val="20"/>
          <w:szCs w:val="20"/>
          <w:lang w:val="en-US"/>
        </w:rPr>
        <w:t xml:space="preserve">A) </w:t>
      </w:r>
      <w:r w:rsidR="00B96E03" w:rsidRPr="00660CAD">
        <w:rPr>
          <w:sz w:val="20"/>
          <w:szCs w:val="20"/>
          <w:lang w:val="en-US"/>
        </w:rPr>
        <w:t xml:space="preserve">Gating strategy </w:t>
      </w:r>
      <w:proofErr w:type="gramStart"/>
      <w:r w:rsidR="00B96E03" w:rsidRPr="00660CAD">
        <w:rPr>
          <w:sz w:val="20"/>
          <w:szCs w:val="20"/>
          <w:lang w:val="en-US"/>
        </w:rPr>
        <w:t>depicted for</w:t>
      </w:r>
      <w:proofErr w:type="gramEnd"/>
      <w:r w:rsidR="00B96E03" w:rsidRPr="00660CAD">
        <w:rPr>
          <w:sz w:val="20"/>
          <w:szCs w:val="20"/>
          <w:lang w:val="en-US"/>
        </w:rPr>
        <w:t xml:space="preserve"> A) untreated</w:t>
      </w:r>
      <w:r w:rsidR="00660CAD" w:rsidRPr="00660CAD">
        <w:rPr>
          <w:sz w:val="20"/>
          <w:szCs w:val="20"/>
          <w:lang w:val="en-US"/>
        </w:rPr>
        <w:t xml:space="preserve"> single U87 cells</w:t>
      </w:r>
      <w:r w:rsidR="00B96E03" w:rsidRPr="00660CAD">
        <w:rPr>
          <w:sz w:val="20"/>
          <w:szCs w:val="20"/>
          <w:lang w:val="en-US"/>
        </w:rPr>
        <w:t xml:space="preserve">, B) </w:t>
      </w:r>
      <w:proofErr w:type="spellStart"/>
      <w:r w:rsidR="00660CAD" w:rsidRPr="00660CAD">
        <w:rPr>
          <w:sz w:val="20"/>
          <w:szCs w:val="20"/>
          <w:lang w:val="en-US"/>
        </w:rPr>
        <w:t>calcein</w:t>
      </w:r>
      <w:proofErr w:type="spellEnd"/>
      <w:r w:rsidR="00660CAD" w:rsidRPr="00660CAD">
        <w:rPr>
          <w:sz w:val="20"/>
          <w:szCs w:val="20"/>
          <w:lang w:val="en-US"/>
        </w:rPr>
        <w:t xml:space="preserve"> violet 450 AM and Draq5 stained single U87 cells, C) positive dead control (24h CdSO4 10 µM) stained with Draq5, </w:t>
      </w:r>
      <w:proofErr w:type="spellStart"/>
      <w:r w:rsidR="00660CAD" w:rsidRPr="00660CAD">
        <w:rPr>
          <w:sz w:val="20"/>
          <w:szCs w:val="20"/>
          <w:lang w:val="en-US"/>
        </w:rPr>
        <w:t>calcein</w:t>
      </w:r>
      <w:proofErr w:type="spellEnd"/>
      <w:r w:rsidR="00660CAD" w:rsidRPr="00660CAD">
        <w:rPr>
          <w:sz w:val="20"/>
          <w:szCs w:val="20"/>
          <w:lang w:val="en-US"/>
        </w:rPr>
        <w:t xml:space="preserve"> violet 450 and PI and D) dissociated spheroids (N=12 / treatment condition) after 17 days of treatment with 50 µM TMZ. </w:t>
      </w:r>
      <w:r w:rsidR="00660CAD" w:rsidRPr="00660CAD">
        <w:rPr>
          <w:lang w:val="en-US"/>
        </w:rPr>
        <w:t>Cells (SSC-A vs. FSC-A) and single cells (SSC-A vs. SSC-H) were gated to exclude debris, doublets and aggregates. Single</w:t>
      </w:r>
      <w:r w:rsidR="00660CAD" w:rsidRPr="00660CAD">
        <w:rPr>
          <w:lang w:val="en-US"/>
        </w:rPr>
        <w:noBreakHyphen/>
        <w:t>stained controls and the dead</w:t>
      </w:r>
      <w:r w:rsidR="00660CAD" w:rsidRPr="00660CAD">
        <w:rPr>
          <w:lang w:val="en-US"/>
        </w:rPr>
        <w:noBreakHyphen/>
        <w:t>cell control (</w:t>
      </w:r>
      <w:proofErr w:type="spellStart"/>
      <w:r w:rsidR="00660CAD" w:rsidRPr="00660CAD">
        <w:rPr>
          <w:lang w:val="en-US"/>
        </w:rPr>
        <w:t>CdSO</w:t>
      </w:r>
      <w:proofErr w:type="spellEnd"/>
      <w:r w:rsidR="00660CAD" w:rsidRPr="00660CAD">
        <w:rPr>
          <w:lang w:val="en-US"/>
        </w:rPr>
        <w:t>₄</w:t>
      </w:r>
      <w:r w:rsidR="00660CAD" w:rsidRPr="00660CAD">
        <w:rPr>
          <w:lang w:val="en-US"/>
        </w:rPr>
        <w:noBreakHyphen/>
        <w:t xml:space="preserve">treated) were used to define positive and negative populations for gating. Viability was assessed by gating on single cells and evaluating </w:t>
      </w:r>
      <w:proofErr w:type="spellStart"/>
      <w:r w:rsidR="00660CAD" w:rsidRPr="00660CAD">
        <w:rPr>
          <w:lang w:val="en-US"/>
        </w:rPr>
        <w:t>Calcein</w:t>
      </w:r>
      <w:proofErr w:type="spellEnd"/>
      <w:r w:rsidR="00660CAD" w:rsidRPr="00660CAD">
        <w:rPr>
          <w:lang w:val="en-US"/>
        </w:rPr>
        <w:t xml:space="preserve"> violet 450 (live) and PI (dead) positive cell fraction.</w:t>
      </w:r>
    </w:p>
    <w:p w14:paraId="4DF249A4" w14:textId="7416629C" w:rsidR="00720D1F" w:rsidRPr="00B26E35" w:rsidRDefault="00B96E03" w:rsidP="00F12F19">
      <w:pPr>
        <w:rPr>
          <w:sz w:val="20"/>
          <w:szCs w:val="20"/>
          <w:highlight w:val="magenta"/>
          <w:lang w:val="en-US"/>
        </w:rPr>
      </w:pPr>
      <w:r w:rsidRPr="00B96E03">
        <w:rPr>
          <w:noProof/>
          <w:sz w:val="20"/>
          <w:szCs w:val="20"/>
          <w:lang w:val="en-US"/>
        </w:rPr>
        <w:lastRenderedPageBreak/>
        <w:drawing>
          <wp:inline distT="0" distB="0" distL="0" distR="0" wp14:anchorId="52FD9100" wp14:editId="0F57A80B">
            <wp:extent cx="5979075" cy="3455670"/>
            <wp:effectExtent l="0" t="0" r="3175" b="0"/>
            <wp:docPr id="16766293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 t="-1294" r="-1" b="26001"/>
                    <a:stretch>
                      <a:fillRect/>
                    </a:stretch>
                  </pic:blipFill>
                  <pic:spPr bwMode="auto">
                    <a:xfrm>
                      <a:off x="0" y="0"/>
                      <a:ext cx="5979160" cy="3455719"/>
                    </a:xfrm>
                    <a:prstGeom prst="rect">
                      <a:avLst/>
                    </a:prstGeom>
                    <a:noFill/>
                    <a:ln>
                      <a:noFill/>
                    </a:ln>
                    <a:extLst>
                      <a:ext uri="{53640926-AAD7-44D8-BBD7-CCE9431645EC}">
                        <a14:shadowObscured xmlns:a14="http://schemas.microsoft.com/office/drawing/2010/main"/>
                      </a:ext>
                    </a:extLst>
                  </pic:spPr>
                </pic:pic>
              </a:graphicData>
            </a:graphic>
          </wp:inline>
        </w:drawing>
      </w:r>
    </w:p>
    <w:p w14:paraId="7B64EDA6" w14:textId="3212BD09" w:rsidR="00B96E03" w:rsidRPr="00FE32E9" w:rsidRDefault="00BD41D8" w:rsidP="00B96E03">
      <w:pPr>
        <w:rPr>
          <w:sz w:val="20"/>
          <w:szCs w:val="20"/>
          <w:lang w:val="en-US"/>
        </w:rPr>
      </w:pPr>
      <w:r w:rsidRPr="00B96E03">
        <w:rPr>
          <w:b/>
          <w:bCs/>
          <w:i/>
          <w:iCs/>
          <w:sz w:val="20"/>
          <w:szCs w:val="20"/>
          <w:lang w:val="en-US"/>
        </w:rPr>
        <w:t xml:space="preserve">Supplementary Figure S6. </w:t>
      </w:r>
      <w:r w:rsidR="00B96E03" w:rsidRPr="00B96E03">
        <w:rPr>
          <w:b/>
          <w:bCs/>
          <w:sz w:val="20"/>
          <w:szCs w:val="20"/>
          <w:lang w:val="en-US"/>
        </w:rPr>
        <w:t>Comparing viability and necrotic cell fraction obtained from FCM and CLSM</w:t>
      </w:r>
      <w:r w:rsidRPr="00B96E03">
        <w:rPr>
          <w:b/>
          <w:bCs/>
          <w:sz w:val="20"/>
          <w:szCs w:val="20"/>
          <w:lang w:val="en-US"/>
        </w:rPr>
        <w:t>.</w:t>
      </w:r>
      <w:r w:rsidRPr="00B96E03">
        <w:rPr>
          <w:b/>
          <w:bCs/>
          <w:i/>
          <w:iCs/>
          <w:sz w:val="20"/>
          <w:szCs w:val="20"/>
          <w:lang w:val="en-US"/>
        </w:rPr>
        <w:t xml:space="preserve"> </w:t>
      </w:r>
      <w:r w:rsidRPr="00B96E03">
        <w:rPr>
          <w:sz w:val="20"/>
          <w:szCs w:val="20"/>
          <w:lang w:val="en-US"/>
        </w:rPr>
        <w:t xml:space="preserve">A) </w:t>
      </w:r>
      <w:r w:rsidR="00B96E03">
        <w:rPr>
          <w:sz w:val="20"/>
          <w:szCs w:val="20"/>
          <w:lang w:val="en-US"/>
        </w:rPr>
        <w:t xml:space="preserve">Depicted are viable and necrotic cell fractions (%) obtained in U87MG spheroids after 17 days of cultivation under different treatments (NT, 10 µM. 50 µM, 100 µM TMZ) from flow cytometry measurements of the whole spheroid disintegrated into single cells or fluorescent microscopy image analysis of a cross section though a spheroid at 1/3 of its height. </w:t>
      </w:r>
      <w:r w:rsidR="00B96E03" w:rsidRPr="00FE32E9">
        <w:rPr>
          <w:sz w:val="20"/>
          <w:szCs w:val="20"/>
          <w:lang w:val="en-US"/>
        </w:rPr>
        <w:t xml:space="preserve">Data is represented as bar plots showing individual values and mean ± SD consisting of three technical (n = </w:t>
      </w:r>
      <w:r w:rsidR="00B96E03">
        <w:rPr>
          <w:sz w:val="20"/>
          <w:szCs w:val="20"/>
          <w:lang w:val="en-US"/>
        </w:rPr>
        <w:t>1</w:t>
      </w:r>
      <w:r w:rsidR="00B96E03" w:rsidRPr="00FE32E9">
        <w:rPr>
          <w:sz w:val="20"/>
          <w:szCs w:val="20"/>
          <w:lang w:val="en-US"/>
        </w:rPr>
        <w:t xml:space="preserve">) (N = 3 spheroids / treatment concentration for each cell line). </w:t>
      </w:r>
    </w:p>
    <w:p w14:paraId="5E609A2D" w14:textId="77777777" w:rsidR="00720D1F" w:rsidRPr="00FE32E9" w:rsidRDefault="00720D1F" w:rsidP="00F12F19">
      <w:pPr>
        <w:rPr>
          <w:sz w:val="20"/>
          <w:szCs w:val="20"/>
          <w:lang w:val="en-US"/>
        </w:rPr>
      </w:pPr>
    </w:p>
    <w:p w14:paraId="6EA22D8E" w14:textId="57B1E30F" w:rsidR="00720D1F" w:rsidRPr="00FE32E9" w:rsidRDefault="00720D1F" w:rsidP="00F12F19">
      <w:pPr>
        <w:rPr>
          <w:sz w:val="20"/>
          <w:szCs w:val="20"/>
          <w:lang w:val="en-US"/>
        </w:rPr>
      </w:pPr>
      <w:r w:rsidRPr="00FE32E9">
        <w:rPr>
          <w:noProof/>
          <w:sz w:val="20"/>
          <w:szCs w:val="20"/>
        </w:rPr>
        <w:drawing>
          <wp:anchor distT="0" distB="0" distL="114300" distR="114300" simplePos="0" relativeHeight="251661312" behindDoc="1" locked="0" layoutInCell="1" allowOverlap="1" wp14:anchorId="4D8402A1" wp14:editId="32595B1C">
            <wp:simplePos x="0" y="0"/>
            <wp:positionH relativeFrom="page">
              <wp:align>center</wp:align>
            </wp:positionH>
            <wp:positionV relativeFrom="paragraph">
              <wp:posOffset>289712</wp:posOffset>
            </wp:positionV>
            <wp:extent cx="6120130" cy="2277110"/>
            <wp:effectExtent l="0" t="0" r="0" b="8890"/>
            <wp:wrapTight wrapText="bothSides">
              <wp:wrapPolygon edited="0">
                <wp:start x="0" y="0"/>
                <wp:lineTo x="0" y="21504"/>
                <wp:lineTo x="21515" y="21504"/>
                <wp:lineTo x="21515" y="0"/>
                <wp:lineTo x="0" y="0"/>
              </wp:wrapPolygon>
            </wp:wrapTight>
            <wp:docPr id="1948594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2277110"/>
                    </a:xfrm>
                    <a:prstGeom prst="rect">
                      <a:avLst/>
                    </a:prstGeom>
                    <a:noFill/>
                    <a:ln>
                      <a:noFill/>
                    </a:ln>
                  </pic:spPr>
                </pic:pic>
              </a:graphicData>
            </a:graphic>
          </wp:anchor>
        </w:drawing>
      </w:r>
    </w:p>
    <w:p w14:paraId="26654BF5" w14:textId="03B873B3" w:rsidR="00720D1F" w:rsidRPr="00FE32E9" w:rsidRDefault="00720D1F" w:rsidP="00F12F19">
      <w:pPr>
        <w:rPr>
          <w:sz w:val="20"/>
          <w:szCs w:val="20"/>
          <w:lang w:val="en-US"/>
        </w:rPr>
      </w:pPr>
      <w:r w:rsidRPr="00FE32E9">
        <w:rPr>
          <w:b/>
          <w:bCs/>
          <w:i/>
          <w:iCs/>
          <w:sz w:val="20"/>
          <w:szCs w:val="20"/>
          <w:lang w:val="en-US"/>
        </w:rPr>
        <w:t>Supplementary Figure S</w:t>
      </w:r>
      <w:r w:rsidR="00BD41D8">
        <w:rPr>
          <w:b/>
          <w:bCs/>
          <w:i/>
          <w:iCs/>
          <w:sz w:val="20"/>
          <w:szCs w:val="20"/>
          <w:lang w:val="en-US"/>
        </w:rPr>
        <w:t>7</w:t>
      </w:r>
      <w:r w:rsidRPr="00FE32E9">
        <w:rPr>
          <w:b/>
          <w:bCs/>
          <w:i/>
          <w:iCs/>
          <w:sz w:val="20"/>
          <w:szCs w:val="20"/>
          <w:lang w:val="en-US"/>
        </w:rPr>
        <w:t xml:space="preserve">. </w:t>
      </w:r>
      <w:r w:rsidRPr="00FE32E9">
        <w:rPr>
          <w:b/>
          <w:bCs/>
          <w:sz w:val="20"/>
          <w:szCs w:val="20"/>
          <w:lang w:val="en-US"/>
        </w:rPr>
        <w:t xml:space="preserve">Segmentation strategy for viable and necrotic cell fraction using </w:t>
      </w:r>
      <w:r w:rsidRPr="00FE32E9">
        <w:rPr>
          <w:b/>
          <w:bCs/>
          <w:sz w:val="20"/>
          <w:szCs w:val="20"/>
          <w:lang w:val="en-US"/>
        </w:rPr>
        <w:br/>
      </w:r>
      <w:proofErr w:type="spellStart"/>
      <w:r w:rsidRPr="00FE32E9">
        <w:rPr>
          <w:b/>
          <w:bCs/>
          <w:sz w:val="20"/>
          <w:szCs w:val="20"/>
          <w:lang w:val="en-US"/>
        </w:rPr>
        <w:t>QuPath</w:t>
      </w:r>
      <w:proofErr w:type="spellEnd"/>
      <w:r w:rsidRPr="00FE32E9">
        <w:rPr>
          <w:b/>
          <w:bCs/>
          <w:sz w:val="20"/>
          <w:szCs w:val="20"/>
          <w:lang w:val="en-US"/>
        </w:rPr>
        <w:t>.</w:t>
      </w:r>
      <w:r w:rsidRPr="00FE32E9">
        <w:rPr>
          <w:b/>
          <w:bCs/>
          <w:i/>
          <w:iCs/>
          <w:sz w:val="20"/>
          <w:szCs w:val="20"/>
          <w:lang w:val="en-US"/>
        </w:rPr>
        <w:t xml:space="preserve"> </w:t>
      </w:r>
      <w:r w:rsidRPr="00FE32E9">
        <w:rPr>
          <w:sz w:val="20"/>
          <w:szCs w:val="20"/>
          <w:lang w:val="en-US"/>
        </w:rPr>
        <w:t>A) Metabolic activity was measured after 17 days of cultivation</w:t>
      </w:r>
      <w:r w:rsidR="00A30A9B">
        <w:rPr>
          <w:sz w:val="20"/>
          <w:szCs w:val="20"/>
          <w:lang w:val="en-US"/>
        </w:rPr>
        <w:t xml:space="preserve"> upon various treatments (10 µM, 50 µM and 100 µM TMZ)</w:t>
      </w:r>
      <w:r w:rsidRPr="00FE32E9">
        <w:rPr>
          <w:sz w:val="20"/>
          <w:szCs w:val="20"/>
          <w:lang w:val="en-US"/>
        </w:rPr>
        <w:t xml:space="preserve">. Data is represented as bar plots showing individual values and mean ± SD consisting of three technical and three biological replicates (n = 3) (N = 3 spheroids / treatment concentration for each cell line). </w:t>
      </w:r>
      <w:r w:rsidR="002C5039" w:rsidRPr="00FE32E9">
        <w:rPr>
          <w:sz w:val="20"/>
          <w:szCs w:val="20"/>
          <w:lang w:val="en-US"/>
        </w:rPr>
        <w:t>Due to non-normal distribution of the data, s</w:t>
      </w:r>
      <w:r w:rsidRPr="00FE32E9">
        <w:rPr>
          <w:sz w:val="20"/>
          <w:szCs w:val="20"/>
          <w:lang w:val="en-US"/>
        </w:rPr>
        <w:t>tatistical analysis was performed using Spearman's rank correlation in GraphPad Prism (v10, GraphPad Software)</w:t>
      </w:r>
      <w:r w:rsidR="002C5039" w:rsidRPr="00FE32E9">
        <w:rPr>
          <w:sz w:val="20"/>
          <w:szCs w:val="20"/>
          <w:lang w:val="en-US"/>
        </w:rPr>
        <w:t xml:space="preserve"> and a two-tailed p-value &lt; 0.05 was considered statistically significant. Correlative analysis revealed a very strong positive correlation between XTT and CTG 3D values (</w:t>
      </w:r>
      <w:r w:rsidR="002C5039" w:rsidRPr="00FE32E9">
        <w:rPr>
          <w:sz w:val="20"/>
          <w:szCs w:val="20"/>
        </w:rPr>
        <w:t>ρ</w:t>
      </w:r>
      <w:r w:rsidR="002C5039" w:rsidRPr="00FE32E9">
        <w:rPr>
          <w:sz w:val="20"/>
          <w:szCs w:val="20"/>
          <w:lang w:val="en-US"/>
        </w:rPr>
        <w:t xml:space="preserve"> = 0.94, 95% CI [0.89–0.97], p &lt; 0.0001), confirming that XTT reliably reflects metabolic activity even in complex 3D spheroid structures.</w:t>
      </w:r>
    </w:p>
    <w:p w14:paraId="156145C6" w14:textId="0AE920D5" w:rsidR="00720D1F" w:rsidRPr="00FE32E9" w:rsidRDefault="00720D1F" w:rsidP="00F12F19">
      <w:pPr>
        <w:rPr>
          <w:rFonts w:asciiTheme="majorHAnsi" w:eastAsiaTheme="majorEastAsia" w:hAnsiTheme="majorHAnsi" w:cstheme="majorBidi"/>
          <w:b/>
          <w:bCs/>
          <w:spacing w:val="-7"/>
          <w:sz w:val="20"/>
          <w:szCs w:val="20"/>
          <w:lang w:val="en-US"/>
        </w:rPr>
      </w:pPr>
    </w:p>
    <w:p w14:paraId="107EDB9C" w14:textId="51FF972B" w:rsidR="00720D1F" w:rsidRPr="00FE32E9" w:rsidRDefault="00720D1F" w:rsidP="00F12F19">
      <w:pPr>
        <w:rPr>
          <w:rFonts w:asciiTheme="majorHAnsi" w:eastAsiaTheme="majorEastAsia" w:hAnsiTheme="majorHAnsi" w:cstheme="majorBidi"/>
          <w:b/>
          <w:bCs/>
          <w:spacing w:val="-7"/>
          <w:sz w:val="20"/>
          <w:szCs w:val="20"/>
          <w:lang w:val="en-US"/>
        </w:rPr>
      </w:pPr>
    </w:p>
    <w:p w14:paraId="291231D8" w14:textId="74717103" w:rsidR="00720D1F" w:rsidRPr="00FE32E9" w:rsidRDefault="00720D1F" w:rsidP="00F12F19">
      <w:pPr>
        <w:rPr>
          <w:rFonts w:asciiTheme="majorHAnsi" w:eastAsiaTheme="majorEastAsia" w:hAnsiTheme="majorHAnsi" w:cstheme="majorBidi"/>
          <w:b/>
          <w:bCs/>
          <w:spacing w:val="-7"/>
          <w:sz w:val="20"/>
          <w:szCs w:val="20"/>
          <w:lang w:val="en-US"/>
        </w:rPr>
      </w:pPr>
    </w:p>
    <w:p w14:paraId="6D070A5A" w14:textId="06D77D1C" w:rsidR="0052760B" w:rsidRPr="00FE32E9" w:rsidRDefault="000558E6" w:rsidP="00F12F19">
      <w:pPr>
        <w:rPr>
          <w:rFonts w:asciiTheme="majorHAnsi" w:eastAsiaTheme="majorEastAsia" w:hAnsiTheme="majorHAnsi" w:cstheme="majorBidi"/>
          <w:b/>
          <w:bCs/>
          <w:color w:val="FF0000"/>
          <w:spacing w:val="-7"/>
          <w:sz w:val="20"/>
          <w:szCs w:val="20"/>
          <w:lang w:val="en-US"/>
        </w:rPr>
      </w:pPr>
      <w:r>
        <w:rPr>
          <w:rFonts w:asciiTheme="majorHAnsi" w:eastAsiaTheme="majorEastAsia" w:hAnsiTheme="majorHAnsi" w:cstheme="majorBidi"/>
          <w:b/>
          <w:bCs/>
          <w:noProof/>
          <w:color w:val="FF0000"/>
          <w:spacing w:val="-7"/>
          <w:sz w:val="20"/>
          <w:szCs w:val="20"/>
          <w:lang w:val="en-US"/>
        </w:rPr>
        <w:drawing>
          <wp:inline distT="0" distB="0" distL="0" distR="0" wp14:anchorId="4547E5AC" wp14:editId="460B909A">
            <wp:extent cx="6117590" cy="1174115"/>
            <wp:effectExtent l="0" t="0" r="0" b="6985"/>
            <wp:docPr id="3697181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7590" cy="1174115"/>
                    </a:xfrm>
                    <a:prstGeom prst="rect">
                      <a:avLst/>
                    </a:prstGeom>
                    <a:noFill/>
                    <a:ln>
                      <a:noFill/>
                    </a:ln>
                  </pic:spPr>
                </pic:pic>
              </a:graphicData>
            </a:graphic>
          </wp:inline>
        </w:drawing>
      </w:r>
    </w:p>
    <w:p w14:paraId="6072DAE1" w14:textId="3C99C243" w:rsidR="00BD41D8" w:rsidRDefault="000C0636" w:rsidP="00B26E35">
      <w:pPr>
        <w:spacing w:line="276" w:lineRule="auto"/>
        <w:rPr>
          <w:sz w:val="20"/>
          <w:szCs w:val="20"/>
          <w:lang w:val="en-US"/>
        </w:rPr>
      </w:pPr>
      <w:r w:rsidRPr="00BD41D8">
        <w:rPr>
          <w:b/>
          <w:bCs/>
          <w:i/>
          <w:iCs/>
          <w:sz w:val="20"/>
          <w:szCs w:val="20"/>
          <w:lang w:val="en-US"/>
        </w:rPr>
        <w:t>Supplementary Figure</w:t>
      </w:r>
      <w:r w:rsidR="0052760B" w:rsidRPr="00FE32E9">
        <w:rPr>
          <w:b/>
          <w:bCs/>
          <w:i/>
          <w:iCs/>
          <w:sz w:val="20"/>
          <w:szCs w:val="20"/>
          <w:lang w:val="en-US"/>
        </w:rPr>
        <w:t xml:space="preserve"> S</w:t>
      </w:r>
      <w:r w:rsidR="00BD41D8">
        <w:rPr>
          <w:b/>
          <w:bCs/>
          <w:i/>
          <w:iCs/>
          <w:sz w:val="20"/>
          <w:szCs w:val="20"/>
          <w:lang w:val="en-US"/>
        </w:rPr>
        <w:t>8</w:t>
      </w:r>
      <w:r w:rsidR="008D4DF0" w:rsidRPr="00FE32E9">
        <w:rPr>
          <w:b/>
          <w:bCs/>
          <w:i/>
          <w:iCs/>
          <w:sz w:val="20"/>
          <w:szCs w:val="20"/>
          <w:lang w:val="en-US"/>
        </w:rPr>
        <w:t>.</w:t>
      </w:r>
      <w:r w:rsidR="0052760B" w:rsidRPr="00FE32E9">
        <w:rPr>
          <w:b/>
          <w:bCs/>
          <w:i/>
          <w:iCs/>
          <w:sz w:val="20"/>
          <w:szCs w:val="20"/>
          <w:lang w:val="en-US"/>
        </w:rPr>
        <w:t xml:space="preserve"> </w:t>
      </w:r>
      <w:r w:rsidR="002C2731" w:rsidRPr="00FE32E9">
        <w:rPr>
          <w:b/>
          <w:bCs/>
          <w:sz w:val="20"/>
          <w:szCs w:val="20"/>
          <w:lang w:val="en-US"/>
        </w:rPr>
        <w:t>Irradiation and long-term treatment efficacy in GBM</w:t>
      </w:r>
      <w:r w:rsidR="002C2731" w:rsidRPr="00B26E35">
        <w:rPr>
          <w:sz w:val="20"/>
          <w:szCs w:val="20"/>
          <w:lang w:val="en-US"/>
        </w:rPr>
        <w:t xml:space="preserve">. </w:t>
      </w:r>
      <w:r w:rsidR="0052760B" w:rsidRPr="00FE32E9">
        <w:rPr>
          <w:sz w:val="20"/>
          <w:szCs w:val="20"/>
          <w:lang w:val="en-US"/>
        </w:rPr>
        <w:t>A) The structural integrity and</w:t>
      </w:r>
      <w:r w:rsidR="002C2731" w:rsidRPr="00FE32E9">
        <w:rPr>
          <w:sz w:val="20"/>
          <w:szCs w:val="20"/>
          <w:lang w:val="en-US"/>
        </w:rPr>
        <w:t xml:space="preserve"> spheroid morphology</w:t>
      </w:r>
      <w:r w:rsidR="0052760B" w:rsidRPr="00FE32E9">
        <w:rPr>
          <w:sz w:val="20"/>
          <w:szCs w:val="20"/>
          <w:lang w:val="en-US"/>
        </w:rPr>
        <w:t xml:space="preserve"> were assessed for irradiated GBM spheroids (U87MG) (2, 4, 6, 8 Gy) after 3 days to determine the maximum tolerable radiation dose. 4 Gy was identified as optimal irradiation dose, as higher doses led to spheroid disintegration and did not ensure sustained experimental utility. Scale bar: 200 µm. </w:t>
      </w:r>
    </w:p>
    <w:p w14:paraId="102BF64B" w14:textId="48F47DB7" w:rsidR="00C73D6D" w:rsidRPr="00FE32E9" w:rsidRDefault="000558E6" w:rsidP="0052760B">
      <w:pPr>
        <w:spacing w:line="360" w:lineRule="auto"/>
        <w:rPr>
          <w:sz w:val="20"/>
          <w:szCs w:val="20"/>
          <w:lang w:val="en-US"/>
        </w:rPr>
      </w:pPr>
      <w:r>
        <w:rPr>
          <w:noProof/>
          <w:sz w:val="20"/>
          <w:szCs w:val="20"/>
        </w:rPr>
        <w:drawing>
          <wp:inline distT="0" distB="0" distL="0" distR="0" wp14:anchorId="55687E5A" wp14:editId="4D260145">
            <wp:extent cx="6111875" cy="5079365"/>
            <wp:effectExtent l="0" t="0" r="3175" b="6985"/>
            <wp:docPr id="1228265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1875" cy="5079365"/>
                    </a:xfrm>
                    <a:prstGeom prst="rect">
                      <a:avLst/>
                    </a:prstGeom>
                    <a:noFill/>
                    <a:ln>
                      <a:noFill/>
                    </a:ln>
                  </pic:spPr>
                </pic:pic>
              </a:graphicData>
            </a:graphic>
          </wp:inline>
        </w:drawing>
      </w:r>
    </w:p>
    <w:p w14:paraId="2F54B2BB" w14:textId="5C8F36E5" w:rsidR="0052760B" w:rsidRPr="00FE32E9" w:rsidRDefault="000C0636" w:rsidP="00B26E35">
      <w:pPr>
        <w:spacing w:line="276" w:lineRule="auto"/>
        <w:rPr>
          <w:sz w:val="20"/>
          <w:szCs w:val="20"/>
          <w:lang w:val="en-US"/>
        </w:rPr>
      </w:pPr>
      <w:r w:rsidRPr="000558E6">
        <w:rPr>
          <w:b/>
          <w:bCs/>
          <w:i/>
          <w:iCs/>
          <w:sz w:val="20"/>
          <w:szCs w:val="20"/>
          <w:lang w:val="en-US"/>
        </w:rPr>
        <w:t>Supplementary Figure</w:t>
      </w:r>
      <w:r w:rsidR="0052760B" w:rsidRPr="00FE32E9">
        <w:rPr>
          <w:b/>
          <w:bCs/>
          <w:i/>
          <w:iCs/>
          <w:sz w:val="20"/>
          <w:szCs w:val="20"/>
          <w:lang w:val="en-US"/>
        </w:rPr>
        <w:t xml:space="preserve"> S</w:t>
      </w:r>
      <w:r w:rsidR="000558E6">
        <w:rPr>
          <w:b/>
          <w:bCs/>
          <w:i/>
          <w:iCs/>
          <w:sz w:val="20"/>
          <w:szCs w:val="20"/>
          <w:lang w:val="en-US"/>
        </w:rPr>
        <w:t>9</w:t>
      </w:r>
      <w:r w:rsidR="008D4DF0" w:rsidRPr="00FE32E9">
        <w:rPr>
          <w:b/>
          <w:bCs/>
          <w:i/>
          <w:iCs/>
          <w:sz w:val="20"/>
          <w:szCs w:val="20"/>
          <w:lang w:val="en-US"/>
        </w:rPr>
        <w:t>.</w:t>
      </w:r>
      <w:r w:rsidR="0052760B" w:rsidRPr="00FE32E9">
        <w:rPr>
          <w:b/>
          <w:bCs/>
          <w:i/>
          <w:iCs/>
          <w:sz w:val="20"/>
          <w:szCs w:val="20"/>
          <w:lang w:val="en-US"/>
        </w:rPr>
        <w:t xml:space="preserve"> </w:t>
      </w:r>
      <w:r w:rsidR="0052760B" w:rsidRPr="00FE32E9">
        <w:rPr>
          <w:b/>
          <w:bCs/>
          <w:sz w:val="20"/>
          <w:szCs w:val="20"/>
          <w:lang w:val="en-US"/>
        </w:rPr>
        <w:t>Relative spheroid area fold change over 30 days of treatment</w:t>
      </w:r>
      <w:r w:rsidR="0052760B" w:rsidRPr="00FE32E9">
        <w:rPr>
          <w:sz w:val="20"/>
          <w:szCs w:val="20"/>
          <w:lang w:val="en-US"/>
        </w:rPr>
        <w:t xml:space="preserve">. </w:t>
      </w:r>
      <w:r w:rsidR="002C2731" w:rsidRPr="00FE32E9">
        <w:rPr>
          <w:sz w:val="20"/>
          <w:szCs w:val="20"/>
          <w:lang w:val="en-US"/>
        </w:rPr>
        <w:t>A)</w:t>
      </w:r>
      <w:r w:rsidR="000558E6" w:rsidRPr="000558E6">
        <w:rPr>
          <w:sz w:val="20"/>
          <w:szCs w:val="20"/>
          <w:lang w:val="en-US"/>
        </w:rPr>
        <w:t xml:space="preserve"> </w:t>
      </w:r>
      <w:r w:rsidR="000558E6" w:rsidRPr="00FE32E9">
        <w:rPr>
          <w:sz w:val="20"/>
          <w:szCs w:val="20"/>
          <w:lang w:val="en-US"/>
        </w:rPr>
        <w:t>Tabular depiction of GBM spheroid growth rates for U87MG, U251MG and ZH757 in µm</w:t>
      </w:r>
      <w:r w:rsidR="000558E6" w:rsidRPr="00FE32E9">
        <w:rPr>
          <w:sz w:val="20"/>
          <w:szCs w:val="20"/>
          <w:vertAlign w:val="superscript"/>
          <w:lang w:val="en-US"/>
        </w:rPr>
        <w:t>2</w:t>
      </w:r>
      <w:r w:rsidR="000558E6" w:rsidRPr="00FE32E9">
        <w:rPr>
          <w:sz w:val="20"/>
          <w:szCs w:val="20"/>
          <w:lang w:val="en-US"/>
        </w:rPr>
        <w:t>/day.</w:t>
      </w:r>
      <w:r w:rsidR="000558E6">
        <w:rPr>
          <w:sz w:val="20"/>
          <w:szCs w:val="20"/>
          <w:lang w:val="en-US"/>
        </w:rPr>
        <w:t xml:space="preserve"> B)</w:t>
      </w:r>
      <w:r w:rsidR="008E5CA5">
        <w:rPr>
          <w:sz w:val="20"/>
          <w:szCs w:val="20"/>
          <w:lang w:val="en-US"/>
        </w:rPr>
        <w:t xml:space="preserve"> </w:t>
      </w:r>
      <w:r w:rsidR="0052760B" w:rsidRPr="00FE32E9">
        <w:rPr>
          <w:sz w:val="20"/>
          <w:szCs w:val="20"/>
          <w:lang w:val="en-US"/>
        </w:rPr>
        <w:t xml:space="preserve">Bright-field imaging was performed every </w:t>
      </w:r>
      <w:r w:rsidR="00C02C42" w:rsidRPr="00FE32E9">
        <w:rPr>
          <w:sz w:val="20"/>
          <w:szCs w:val="20"/>
          <w:lang w:val="en-US"/>
        </w:rPr>
        <w:t>two to three</w:t>
      </w:r>
      <w:r w:rsidR="0052760B" w:rsidRPr="00FE32E9">
        <w:rPr>
          <w:sz w:val="20"/>
          <w:szCs w:val="20"/>
          <w:lang w:val="en-US"/>
        </w:rPr>
        <w:t xml:space="preserve"> days to assess spheroid growth in ZH757, U251MG, and U251MG cell lines under increasing concentrations of </w:t>
      </w:r>
      <w:r w:rsidR="00C02C42" w:rsidRPr="00FE32E9">
        <w:rPr>
          <w:sz w:val="20"/>
          <w:szCs w:val="20"/>
          <w:lang w:val="en-US"/>
        </w:rPr>
        <w:t>TMZ</w:t>
      </w:r>
      <w:r w:rsidR="0052760B" w:rsidRPr="00FE32E9">
        <w:rPr>
          <w:sz w:val="20"/>
          <w:szCs w:val="20"/>
          <w:lang w:val="en-US"/>
        </w:rPr>
        <w:t xml:space="preserve"> (0, 0.1, 1, 10, 25, 50, 75, 100, 500, and 1000 µM), alongside a </w:t>
      </w:r>
      <w:proofErr w:type="spellStart"/>
      <w:r w:rsidR="0052760B" w:rsidRPr="00FE32E9">
        <w:rPr>
          <w:sz w:val="20"/>
          <w:szCs w:val="20"/>
          <w:lang w:val="en-US"/>
        </w:rPr>
        <w:t>CdSO</w:t>
      </w:r>
      <w:proofErr w:type="spellEnd"/>
      <w:r w:rsidR="0052760B" w:rsidRPr="00FE32E9">
        <w:rPr>
          <w:sz w:val="20"/>
          <w:szCs w:val="20"/>
          <w:lang w:val="en-US"/>
        </w:rPr>
        <w:t xml:space="preserve">₄ control. The fold change in spheroid area was normalized to baseline measurements of each treatment condition (day 0) and data represent </w:t>
      </w:r>
      <w:r w:rsidR="002C2731" w:rsidRPr="00FE32E9">
        <w:rPr>
          <w:sz w:val="20"/>
          <w:szCs w:val="20"/>
          <w:lang w:val="en-US"/>
        </w:rPr>
        <w:t>mean</w:t>
      </w:r>
      <w:r w:rsidR="0052760B" w:rsidRPr="00FE32E9">
        <w:rPr>
          <w:sz w:val="20"/>
          <w:szCs w:val="20"/>
          <w:lang w:val="en-US"/>
        </w:rPr>
        <w:t xml:space="preserve"> ± SD </w:t>
      </w:r>
      <w:r w:rsidR="00C02C42" w:rsidRPr="00FE32E9">
        <w:rPr>
          <w:sz w:val="20"/>
          <w:szCs w:val="20"/>
          <w:lang w:val="en-US"/>
        </w:rPr>
        <w:t>calculated from three technical and three biological replicates (n = 3) (N = 9 spheroids / timepoint / treatment concentration for each cell line)</w:t>
      </w:r>
      <w:r w:rsidR="0052760B" w:rsidRPr="00FE32E9">
        <w:rPr>
          <w:sz w:val="20"/>
          <w:szCs w:val="20"/>
          <w:lang w:val="en-US"/>
        </w:rPr>
        <w:t xml:space="preserve">.  </w:t>
      </w:r>
    </w:p>
    <w:p w14:paraId="52968AF9" w14:textId="77777777" w:rsidR="00C73D6D" w:rsidRDefault="00C73D6D" w:rsidP="0052760B">
      <w:pPr>
        <w:spacing w:line="360" w:lineRule="auto"/>
        <w:rPr>
          <w:sz w:val="20"/>
          <w:szCs w:val="20"/>
          <w:lang w:val="en-US"/>
        </w:rPr>
      </w:pPr>
    </w:p>
    <w:p w14:paraId="18280F17" w14:textId="203C530C" w:rsidR="00B537A5" w:rsidRPr="00FE32E9" w:rsidRDefault="000030F8" w:rsidP="00B26E35">
      <w:pPr>
        <w:spacing w:line="276" w:lineRule="auto"/>
        <w:rPr>
          <w:sz w:val="20"/>
          <w:szCs w:val="20"/>
          <w:lang w:val="en-US"/>
        </w:rPr>
      </w:pPr>
      <w:r>
        <w:rPr>
          <w:noProof/>
          <w:sz w:val="20"/>
          <w:szCs w:val="20"/>
          <w:lang w:val="en-US"/>
        </w:rPr>
        <w:drawing>
          <wp:anchor distT="0" distB="0" distL="114300" distR="114300" simplePos="0" relativeHeight="251662336" behindDoc="0" locked="0" layoutInCell="1" allowOverlap="1" wp14:anchorId="27A7132A" wp14:editId="716C51FA">
            <wp:simplePos x="0" y="0"/>
            <wp:positionH relativeFrom="margin">
              <wp:align>right</wp:align>
            </wp:positionH>
            <wp:positionV relativeFrom="paragraph">
              <wp:posOffset>135643</wp:posOffset>
            </wp:positionV>
            <wp:extent cx="6117590" cy="5975985"/>
            <wp:effectExtent l="0" t="0" r="0" b="5715"/>
            <wp:wrapThrough wrapText="bothSides">
              <wp:wrapPolygon edited="0">
                <wp:start x="0" y="0"/>
                <wp:lineTo x="0" y="21552"/>
                <wp:lineTo x="21524" y="21552"/>
                <wp:lineTo x="21524" y="0"/>
                <wp:lineTo x="0" y="0"/>
              </wp:wrapPolygon>
            </wp:wrapThrough>
            <wp:docPr id="20220366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7590" cy="5975985"/>
                    </a:xfrm>
                    <a:prstGeom prst="rect">
                      <a:avLst/>
                    </a:prstGeom>
                    <a:noFill/>
                    <a:ln>
                      <a:noFill/>
                    </a:ln>
                  </pic:spPr>
                </pic:pic>
              </a:graphicData>
            </a:graphic>
          </wp:anchor>
        </w:drawing>
      </w:r>
      <w:r w:rsidR="000558E6" w:rsidRPr="000558E6">
        <w:rPr>
          <w:b/>
          <w:bCs/>
          <w:i/>
          <w:iCs/>
          <w:sz w:val="20"/>
          <w:szCs w:val="20"/>
          <w:lang w:val="en-US"/>
        </w:rPr>
        <w:t>Supplementary Figure</w:t>
      </w:r>
      <w:r w:rsidR="000558E6" w:rsidRPr="00FE32E9">
        <w:rPr>
          <w:b/>
          <w:bCs/>
          <w:i/>
          <w:iCs/>
          <w:sz w:val="20"/>
          <w:szCs w:val="20"/>
          <w:lang w:val="en-US"/>
        </w:rPr>
        <w:t xml:space="preserve"> S</w:t>
      </w:r>
      <w:r w:rsidR="000558E6">
        <w:rPr>
          <w:b/>
          <w:bCs/>
          <w:i/>
          <w:iCs/>
          <w:sz w:val="20"/>
          <w:szCs w:val="20"/>
          <w:lang w:val="en-US"/>
        </w:rPr>
        <w:t>10</w:t>
      </w:r>
      <w:r w:rsidR="000558E6" w:rsidRPr="00FE32E9">
        <w:rPr>
          <w:b/>
          <w:bCs/>
          <w:i/>
          <w:iCs/>
          <w:sz w:val="20"/>
          <w:szCs w:val="20"/>
          <w:lang w:val="en-US"/>
        </w:rPr>
        <w:t xml:space="preserve">. </w:t>
      </w:r>
      <w:r w:rsidR="000558E6">
        <w:rPr>
          <w:b/>
          <w:bCs/>
          <w:sz w:val="20"/>
          <w:szCs w:val="20"/>
          <w:lang w:val="en-US"/>
        </w:rPr>
        <w:t>Long-term treatment efficacy in spheroid size</w:t>
      </w:r>
      <w:r w:rsidR="000558E6" w:rsidRPr="00FE32E9">
        <w:rPr>
          <w:sz w:val="20"/>
          <w:szCs w:val="20"/>
          <w:lang w:val="en-US"/>
        </w:rPr>
        <w:t>. A</w:t>
      </w:r>
      <w:r w:rsidR="000558E6" w:rsidRPr="00B537A5">
        <w:rPr>
          <w:sz w:val="20"/>
          <w:szCs w:val="20"/>
          <w:lang w:val="en-US"/>
        </w:rPr>
        <w:t xml:space="preserve">) </w:t>
      </w:r>
      <w:r w:rsidR="00B537A5" w:rsidRPr="00B537A5">
        <w:rPr>
          <w:sz w:val="20"/>
          <w:szCs w:val="20"/>
          <w:lang w:val="en-US"/>
        </w:rPr>
        <w:t xml:space="preserve">The impact of prolonged TMZ treatment on GBM spheroid growth is depicted. Spheroid area was quantified from bright-field images for U251MG, U87MG, and ZH757 under various TMZ doses (0, 0.1, 1, 10, 25, 50, 75, 100, 500, 1000 µM) and </w:t>
      </w:r>
      <w:proofErr w:type="spellStart"/>
      <w:r w:rsidR="00B537A5" w:rsidRPr="00B537A5">
        <w:rPr>
          <w:sz w:val="20"/>
          <w:szCs w:val="20"/>
          <w:lang w:val="en-US"/>
        </w:rPr>
        <w:t>CdSO</w:t>
      </w:r>
      <w:proofErr w:type="spellEnd"/>
      <w:r w:rsidR="00B537A5" w:rsidRPr="00B537A5">
        <w:rPr>
          <w:sz w:val="20"/>
          <w:szCs w:val="20"/>
          <w:lang w:val="en-US"/>
        </w:rPr>
        <w:t xml:space="preserve">₄ control, comparing baseline (day 0), end of </w:t>
      </w:r>
      <w:proofErr w:type="spellStart"/>
      <w:r w:rsidR="00B537A5" w:rsidRPr="00B537A5">
        <w:rPr>
          <w:sz w:val="20"/>
          <w:szCs w:val="20"/>
          <w:lang w:val="en-US"/>
        </w:rPr>
        <w:t>GliaMimic’s</w:t>
      </w:r>
      <w:proofErr w:type="spellEnd"/>
      <w:r w:rsidR="00B537A5" w:rsidRPr="00B537A5">
        <w:rPr>
          <w:sz w:val="20"/>
          <w:szCs w:val="20"/>
          <w:lang w:val="en-US"/>
        </w:rPr>
        <w:t xml:space="preserve"> continuous treatment (day 3), and </w:t>
      </w:r>
      <w:proofErr w:type="spellStart"/>
      <w:r w:rsidR="00B537A5" w:rsidRPr="00B537A5">
        <w:rPr>
          <w:sz w:val="20"/>
          <w:szCs w:val="20"/>
          <w:lang w:val="en-US"/>
        </w:rPr>
        <w:t>GliaMimic’s</w:t>
      </w:r>
      <w:proofErr w:type="spellEnd"/>
      <w:r w:rsidR="00B537A5" w:rsidRPr="00B537A5">
        <w:rPr>
          <w:sz w:val="20"/>
          <w:szCs w:val="20"/>
          <w:lang w:val="en-US"/>
        </w:rPr>
        <w:t xml:space="preserve"> end of treatment (day 17). Data is represented as bar plots showing mean ± SD with three technical and three biological replicates (n = 3) (N = 9 spheroids / treatment concentration for each cell line). Statistical analysis was performed using Kruskal-</w:t>
      </w:r>
      <w:proofErr w:type="gramStart"/>
      <w:r w:rsidR="00B537A5" w:rsidRPr="00B537A5">
        <w:rPr>
          <w:sz w:val="20"/>
          <w:szCs w:val="20"/>
          <w:lang w:val="en-US"/>
        </w:rPr>
        <w:t>Wallis</w:t>
      </w:r>
      <w:proofErr w:type="gramEnd"/>
      <w:r w:rsidR="00B537A5" w:rsidRPr="00B537A5">
        <w:rPr>
          <w:sz w:val="20"/>
          <w:szCs w:val="20"/>
          <w:lang w:val="en-US"/>
        </w:rPr>
        <w:t xml:space="preserve"> test followed by Dunn's multiple comparisons test in GraphPad Prism (v10, GraphPad Software). Significance was predominantly observed between day 0 and day 17, underscoring the importance of clinically relevant and extended treatment regimes. All statistical results are presented as bar plots with the following significance notation: *p &lt; 0.05, **p &lt; 0.01, ***p &lt; 0.001, and ****p &lt; 0.0001; nonsignificant differences (p ≥ 0.05). </w:t>
      </w:r>
    </w:p>
    <w:p w14:paraId="641A0951" w14:textId="77777777" w:rsidR="00C73D6D" w:rsidRPr="00FE32E9" w:rsidRDefault="00C73D6D" w:rsidP="00B26E35">
      <w:pPr>
        <w:spacing w:line="276" w:lineRule="auto"/>
        <w:rPr>
          <w:sz w:val="20"/>
          <w:szCs w:val="20"/>
          <w:lang w:val="en-US"/>
        </w:rPr>
      </w:pPr>
    </w:p>
    <w:p w14:paraId="470E71C7" w14:textId="77777777" w:rsidR="00C73D6D" w:rsidRPr="00FE32E9" w:rsidRDefault="00C73D6D" w:rsidP="0052760B">
      <w:pPr>
        <w:spacing w:line="360" w:lineRule="auto"/>
        <w:rPr>
          <w:b/>
          <w:bCs/>
          <w:i/>
          <w:iCs/>
          <w:sz w:val="20"/>
          <w:szCs w:val="20"/>
          <w:lang w:val="en-US"/>
        </w:rPr>
      </w:pPr>
    </w:p>
    <w:p w14:paraId="51808B4D" w14:textId="39163A94" w:rsidR="00C73D6D" w:rsidRPr="00FE32E9" w:rsidRDefault="00E62876" w:rsidP="0052760B">
      <w:pPr>
        <w:spacing w:line="360" w:lineRule="auto"/>
        <w:rPr>
          <w:b/>
          <w:bCs/>
          <w:i/>
          <w:iCs/>
          <w:sz w:val="20"/>
          <w:szCs w:val="20"/>
          <w:lang w:val="en-US"/>
        </w:rPr>
      </w:pPr>
      <w:r w:rsidRPr="00FE32E9">
        <w:rPr>
          <w:b/>
          <w:bCs/>
          <w:i/>
          <w:iCs/>
          <w:noProof/>
          <w:sz w:val="20"/>
          <w:szCs w:val="20"/>
          <w:lang w:val="en-US"/>
        </w:rPr>
        <w:lastRenderedPageBreak/>
        <w:drawing>
          <wp:inline distT="0" distB="0" distL="0" distR="0" wp14:anchorId="3045D89A" wp14:editId="4576962F">
            <wp:extent cx="6115685" cy="7125335"/>
            <wp:effectExtent l="0" t="0" r="0" b="0"/>
            <wp:docPr id="1471454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5685" cy="7125335"/>
                    </a:xfrm>
                    <a:prstGeom prst="rect">
                      <a:avLst/>
                    </a:prstGeom>
                    <a:noFill/>
                    <a:ln>
                      <a:noFill/>
                    </a:ln>
                  </pic:spPr>
                </pic:pic>
              </a:graphicData>
            </a:graphic>
          </wp:inline>
        </w:drawing>
      </w:r>
    </w:p>
    <w:p w14:paraId="00C2242F" w14:textId="2ED35577" w:rsidR="00E62876" w:rsidRPr="00FE32E9" w:rsidRDefault="00E62876" w:rsidP="0052760B">
      <w:pPr>
        <w:spacing w:line="360" w:lineRule="auto"/>
        <w:rPr>
          <w:b/>
          <w:bCs/>
          <w:i/>
          <w:iCs/>
          <w:sz w:val="20"/>
          <w:szCs w:val="20"/>
          <w:lang w:val="en-US"/>
        </w:rPr>
      </w:pPr>
      <w:r w:rsidRPr="00FE32E9">
        <w:rPr>
          <w:b/>
          <w:bCs/>
          <w:i/>
          <w:iCs/>
          <w:noProof/>
          <w:sz w:val="20"/>
          <w:szCs w:val="20"/>
          <w:lang w:val="en-US"/>
        </w:rPr>
        <w:lastRenderedPageBreak/>
        <w:drawing>
          <wp:inline distT="0" distB="0" distL="0" distR="0" wp14:anchorId="33798E45" wp14:editId="4F46A029">
            <wp:extent cx="6115685" cy="5445125"/>
            <wp:effectExtent l="0" t="0" r="0" b="3175"/>
            <wp:docPr id="10072333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5685" cy="5445125"/>
                    </a:xfrm>
                    <a:prstGeom prst="rect">
                      <a:avLst/>
                    </a:prstGeom>
                    <a:noFill/>
                    <a:ln>
                      <a:noFill/>
                    </a:ln>
                  </pic:spPr>
                </pic:pic>
              </a:graphicData>
            </a:graphic>
          </wp:inline>
        </w:drawing>
      </w:r>
    </w:p>
    <w:p w14:paraId="2B78EC84" w14:textId="77777777" w:rsidR="00E62876" w:rsidRPr="00FE32E9" w:rsidRDefault="00E62876" w:rsidP="0052760B">
      <w:pPr>
        <w:spacing w:line="360" w:lineRule="auto"/>
        <w:rPr>
          <w:b/>
          <w:bCs/>
          <w:i/>
          <w:iCs/>
          <w:sz w:val="20"/>
          <w:szCs w:val="20"/>
          <w:lang w:val="en-US"/>
        </w:rPr>
      </w:pPr>
    </w:p>
    <w:p w14:paraId="6295373A" w14:textId="7712F2F7" w:rsidR="00DB4831" w:rsidRPr="00FE32E9" w:rsidRDefault="000C0636" w:rsidP="00B26E35">
      <w:pPr>
        <w:spacing w:line="276" w:lineRule="auto"/>
        <w:rPr>
          <w:sz w:val="20"/>
          <w:szCs w:val="20"/>
          <w:lang w:val="en-US"/>
        </w:rPr>
      </w:pPr>
      <w:r w:rsidRPr="000030F8">
        <w:rPr>
          <w:b/>
          <w:bCs/>
          <w:i/>
          <w:iCs/>
          <w:sz w:val="20"/>
          <w:szCs w:val="20"/>
          <w:lang w:val="en-US"/>
        </w:rPr>
        <w:t>Supplementary Figure</w:t>
      </w:r>
      <w:r w:rsidR="0052760B" w:rsidRPr="00FE32E9">
        <w:rPr>
          <w:b/>
          <w:bCs/>
          <w:i/>
          <w:iCs/>
          <w:sz w:val="20"/>
          <w:szCs w:val="20"/>
          <w:lang w:val="en-US"/>
        </w:rPr>
        <w:t xml:space="preserve"> S</w:t>
      </w:r>
      <w:r w:rsidR="000030F8">
        <w:rPr>
          <w:b/>
          <w:bCs/>
          <w:i/>
          <w:iCs/>
          <w:sz w:val="20"/>
          <w:szCs w:val="20"/>
          <w:lang w:val="en-US"/>
        </w:rPr>
        <w:t>11</w:t>
      </w:r>
      <w:r w:rsidR="008D4DF0" w:rsidRPr="00FE32E9">
        <w:rPr>
          <w:b/>
          <w:bCs/>
          <w:i/>
          <w:iCs/>
          <w:sz w:val="20"/>
          <w:szCs w:val="20"/>
          <w:lang w:val="en-US"/>
        </w:rPr>
        <w:t>.</w:t>
      </w:r>
      <w:r w:rsidR="0052760B" w:rsidRPr="00FE32E9">
        <w:rPr>
          <w:b/>
          <w:bCs/>
          <w:i/>
          <w:iCs/>
          <w:sz w:val="20"/>
          <w:szCs w:val="20"/>
          <w:lang w:val="en-US"/>
        </w:rPr>
        <w:t xml:space="preserve"> </w:t>
      </w:r>
      <w:r w:rsidR="003962A2" w:rsidRPr="00FE32E9">
        <w:rPr>
          <w:b/>
          <w:bCs/>
          <w:sz w:val="20"/>
          <w:szCs w:val="20"/>
          <w:lang w:val="en-US"/>
        </w:rPr>
        <w:t>Capturing treatment</w:t>
      </w:r>
      <w:r w:rsidR="0052760B" w:rsidRPr="00FE32E9">
        <w:rPr>
          <w:b/>
          <w:bCs/>
          <w:sz w:val="20"/>
          <w:szCs w:val="20"/>
          <w:lang w:val="en-US"/>
        </w:rPr>
        <w:t xml:space="preserve"> effects</w:t>
      </w:r>
      <w:r w:rsidR="003962A2" w:rsidRPr="00FE32E9">
        <w:rPr>
          <w:b/>
          <w:bCs/>
          <w:sz w:val="20"/>
          <w:szCs w:val="20"/>
          <w:lang w:val="en-US"/>
        </w:rPr>
        <w:t xml:space="preserve"> at end</w:t>
      </w:r>
      <w:r w:rsidR="0052760B" w:rsidRPr="00FE32E9">
        <w:rPr>
          <w:b/>
          <w:bCs/>
          <w:sz w:val="20"/>
          <w:szCs w:val="20"/>
          <w:lang w:val="en-US"/>
        </w:rPr>
        <w:t xml:space="preserve"> of </w:t>
      </w:r>
      <w:proofErr w:type="spellStart"/>
      <w:r w:rsidR="0052760B" w:rsidRPr="00FE32E9">
        <w:rPr>
          <w:b/>
          <w:bCs/>
          <w:sz w:val="20"/>
          <w:szCs w:val="20"/>
          <w:lang w:val="en-US"/>
        </w:rPr>
        <w:t>GliaMimic</w:t>
      </w:r>
      <w:proofErr w:type="spellEnd"/>
      <w:r w:rsidR="0052760B" w:rsidRPr="00FE32E9">
        <w:rPr>
          <w:b/>
          <w:bCs/>
          <w:sz w:val="20"/>
          <w:szCs w:val="20"/>
          <w:lang w:val="en-US"/>
        </w:rPr>
        <w:t xml:space="preserve"> treatment</w:t>
      </w:r>
      <w:r w:rsidR="003962A2" w:rsidRPr="00FE32E9">
        <w:rPr>
          <w:b/>
          <w:bCs/>
          <w:sz w:val="20"/>
          <w:szCs w:val="20"/>
          <w:lang w:val="en-US"/>
        </w:rPr>
        <w:t xml:space="preserve"> in spheroids.</w:t>
      </w:r>
      <w:r w:rsidR="003962A2" w:rsidRPr="00FE32E9">
        <w:rPr>
          <w:sz w:val="20"/>
          <w:szCs w:val="20"/>
          <w:lang w:val="en-US"/>
        </w:rPr>
        <w:t xml:space="preserve"> Bar plots are capturing treatment progression</w:t>
      </w:r>
      <w:r w:rsidR="0052760B" w:rsidRPr="00FE32E9">
        <w:rPr>
          <w:sz w:val="20"/>
          <w:szCs w:val="20"/>
          <w:lang w:val="en-US"/>
        </w:rPr>
        <w:t xml:space="preserve"> </w:t>
      </w:r>
      <w:r w:rsidR="000E6589" w:rsidRPr="00FE32E9">
        <w:rPr>
          <w:sz w:val="20"/>
          <w:szCs w:val="20"/>
          <w:lang w:val="en-US"/>
        </w:rPr>
        <w:t>were calculated from three technical and three biological replicates</w:t>
      </w:r>
      <w:r w:rsidR="003962A2" w:rsidRPr="00FE32E9">
        <w:rPr>
          <w:sz w:val="20"/>
          <w:szCs w:val="20"/>
          <w:lang w:val="en-US"/>
        </w:rPr>
        <w:t xml:space="preserve"> across A) spheroid area</w:t>
      </w:r>
      <w:r w:rsidR="000E6589" w:rsidRPr="00FE32E9">
        <w:rPr>
          <w:sz w:val="20"/>
          <w:szCs w:val="20"/>
          <w:lang w:val="en-US"/>
        </w:rPr>
        <w:t xml:space="preserve"> (n = 3) (N = 9 spheroids / timepoint / treatment concentration for each cell line)</w:t>
      </w:r>
      <w:r w:rsidR="0052760B" w:rsidRPr="00FE32E9">
        <w:rPr>
          <w:sz w:val="20"/>
          <w:szCs w:val="20"/>
          <w:lang w:val="en-US"/>
        </w:rPr>
        <w:t>, B) metabolic activity (XTT assay</w:t>
      </w:r>
      <w:r w:rsidR="000E6589" w:rsidRPr="00FE32E9">
        <w:rPr>
          <w:sz w:val="20"/>
          <w:szCs w:val="20"/>
          <w:lang w:val="en-US"/>
        </w:rPr>
        <w:t>) (N = 9 spheroids / timepoint / treatment concentration for each cell line)</w:t>
      </w:r>
      <w:r w:rsidR="0052760B" w:rsidRPr="00FE32E9">
        <w:rPr>
          <w:sz w:val="20"/>
          <w:szCs w:val="20"/>
          <w:lang w:val="en-US"/>
        </w:rPr>
        <w:t>, C) viable cell fraction (</w:t>
      </w:r>
      <w:proofErr w:type="spellStart"/>
      <w:r w:rsidR="0052760B" w:rsidRPr="00FE32E9">
        <w:rPr>
          <w:sz w:val="20"/>
          <w:szCs w:val="20"/>
          <w:lang w:val="en-US"/>
        </w:rPr>
        <w:t>calcein</w:t>
      </w:r>
      <w:proofErr w:type="spellEnd"/>
      <w:r w:rsidR="0052760B" w:rsidRPr="00FE32E9">
        <w:rPr>
          <w:sz w:val="20"/>
          <w:szCs w:val="20"/>
          <w:lang w:val="en-US"/>
        </w:rPr>
        <w:t>+</w:t>
      </w:r>
      <w:r w:rsidR="000E6589" w:rsidRPr="00FE32E9">
        <w:rPr>
          <w:sz w:val="20"/>
          <w:szCs w:val="20"/>
          <w:lang w:val="en-US"/>
        </w:rPr>
        <w:t>) (N = 3 spheroids / timepoint / treatment concentration for each cell line)</w:t>
      </w:r>
      <w:r w:rsidR="0052760B" w:rsidRPr="00FE32E9">
        <w:rPr>
          <w:sz w:val="20"/>
          <w:szCs w:val="20"/>
          <w:lang w:val="en-US"/>
        </w:rPr>
        <w:t>, D) necrotic cell fraction (PI+</w:t>
      </w:r>
      <w:r w:rsidR="009E74FC" w:rsidRPr="00FE32E9">
        <w:rPr>
          <w:sz w:val="20"/>
          <w:szCs w:val="20"/>
          <w:lang w:val="en-US"/>
        </w:rPr>
        <w:t>) (N = 3 spheroids / timepoint / treatment concentration for each cell line)</w:t>
      </w:r>
      <w:r w:rsidR="0052760B" w:rsidRPr="00FE32E9">
        <w:rPr>
          <w:sz w:val="20"/>
          <w:szCs w:val="20"/>
          <w:lang w:val="en-US"/>
        </w:rPr>
        <w:t>, E) cytotoxicity (LDH release</w:t>
      </w:r>
      <w:r w:rsidR="009E74FC" w:rsidRPr="00FE32E9">
        <w:rPr>
          <w:sz w:val="20"/>
          <w:szCs w:val="20"/>
          <w:lang w:val="en-US"/>
        </w:rPr>
        <w:t>) (N = 9 spheroids / timepoint / treatment concentration for each cell line)</w:t>
      </w:r>
      <w:r w:rsidR="0052760B" w:rsidRPr="00FE32E9">
        <w:rPr>
          <w:sz w:val="20"/>
          <w:szCs w:val="20"/>
          <w:lang w:val="en-US"/>
        </w:rPr>
        <w:t xml:space="preserve">, and F) apoptotic fraction </w:t>
      </w:r>
      <w:r w:rsidR="009E74FC" w:rsidRPr="00FE32E9">
        <w:rPr>
          <w:sz w:val="20"/>
          <w:szCs w:val="20"/>
          <w:lang w:val="en-US"/>
        </w:rPr>
        <w:t xml:space="preserve">(N = 3 spheroids / timepoint / treatment concentration for each cell line) </w:t>
      </w:r>
      <w:r w:rsidR="0052760B" w:rsidRPr="00FE32E9">
        <w:rPr>
          <w:sz w:val="20"/>
          <w:szCs w:val="20"/>
          <w:lang w:val="en-US"/>
        </w:rPr>
        <w:t xml:space="preserve">at the end of treatment (day 17) in U251, U87MG, and ZH757 GBM models. Bar plots are representing mean ± SD. Treatment conditions (0, 0.1, 1, 10, 25, 50, 75, 100, 500, 1000 </w:t>
      </w:r>
      <w:r w:rsidR="0052760B" w:rsidRPr="00FE32E9">
        <w:rPr>
          <w:sz w:val="20"/>
          <w:szCs w:val="20"/>
        </w:rPr>
        <w:t>μ</w:t>
      </w:r>
      <w:r w:rsidR="0052760B" w:rsidRPr="00FE32E9">
        <w:rPr>
          <w:sz w:val="20"/>
          <w:szCs w:val="20"/>
          <w:lang w:val="en-US"/>
        </w:rPr>
        <w:t xml:space="preserve">M TMZ) and a </w:t>
      </w:r>
      <w:proofErr w:type="spellStart"/>
      <w:r w:rsidR="0052760B" w:rsidRPr="00FE32E9">
        <w:rPr>
          <w:sz w:val="20"/>
          <w:szCs w:val="20"/>
          <w:lang w:val="en-US"/>
        </w:rPr>
        <w:t>CdSO</w:t>
      </w:r>
      <w:proofErr w:type="spellEnd"/>
      <w:r w:rsidR="0052760B" w:rsidRPr="00FE32E9">
        <w:rPr>
          <w:sz w:val="20"/>
          <w:szCs w:val="20"/>
          <w:lang w:val="en-US"/>
        </w:rPr>
        <w:t xml:space="preserve">₄ control were compared to the no treatment (NT) control. </w:t>
      </w:r>
      <w:r w:rsidR="003962A2" w:rsidRPr="00FE32E9">
        <w:rPr>
          <w:sz w:val="20"/>
          <w:szCs w:val="20"/>
          <w:lang w:val="en-US"/>
        </w:rPr>
        <w:t>Statistical analysis was performed using Kruskal-</w:t>
      </w:r>
      <w:proofErr w:type="gramStart"/>
      <w:r w:rsidR="003962A2" w:rsidRPr="00FE32E9">
        <w:rPr>
          <w:sz w:val="20"/>
          <w:szCs w:val="20"/>
          <w:lang w:val="en-US"/>
        </w:rPr>
        <w:t>Wallis</w:t>
      </w:r>
      <w:proofErr w:type="gramEnd"/>
      <w:r w:rsidR="003962A2" w:rsidRPr="00FE32E9">
        <w:rPr>
          <w:sz w:val="20"/>
          <w:szCs w:val="20"/>
          <w:lang w:val="en-US"/>
        </w:rPr>
        <w:t xml:space="preserve"> test followed by Dunn's multiple comparisons test in GraphPad Prism (v10, GraphPad Software). </w:t>
      </w:r>
      <w:r w:rsidR="00DB4831" w:rsidRPr="00FE32E9">
        <w:rPr>
          <w:sz w:val="20"/>
          <w:szCs w:val="20"/>
          <w:lang w:val="en-US"/>
        </w:rPr>
        <w:t>All results are presented as bar plots with the following significance notation: *p &lt; 0.05, **p &lt; 0.01, ***p &lt; 0.001, and ****p &lt; 0.0001; non-significant differences (p ≥ 0.05).</w:t>
      </w:r>
    </w:p>
    <w:p w14:paraId="48A10C5F" w14:textId="77777777" w:rsidR="008C7966" w:rsidRPr="00FE32E9" w:rsidRDefault="008C7966" w:rsidP="0052760B">
      <w:pPr>
        <w:spacing w:line="360" w:lineRule="auto"/>
        <w:rPr>
          <w:sz w:val="20"/>
          <w:szCs w:val="20"/>
          <w:lang w:val="en-US"/>
        </w:rPr>
      </w:pPr>
    </w:p>
    <w:p w14:paraId="7AFE505B" w14:textId="29E68E92" w:rsidR="00C73D6D" w:rsidRPr="00FE32E9" w:rsidRDefault="005350CB" w:rsidP="0052760B">
      <w:pPr>
        <w:spacing w:line="360" w:lineRule="auto"/>
        <w:rPr>
          <w:sz w:val="20"/>
          <w:szCs w:val="20"/>
          <w:lang w:val="en-US"/>
        </w:rPr>
      </w:pPr>
      <w:r>
        <w:rPr>
          <w:noProof/>
          <w:sz w:val="20"/>
          <w:szCs w:val="20"/>
          <w:lang w:val="en-US"/>
        </w:rPr>
        <w:lastRenderedPageBreak/>
        <w:drawing>
          <wp:inline distT="0" distB="0" distL="0" distR="0" wp14:anchorId="5C06FB47" wp14:editId="30E12F49">
            <wp:extent cx="6116320" cy="3774440"/>
            <wp:effectExtent l="0" t="0" r="0" b="0"/>
            <wp:docPr id="2802123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6320" cy="3774440"/>
                    </a:xfrm>
                    <a:prstGeom prst="rect">
                      <a:avLst/>
                    </a:prstGeom>
                    <a:noFill/>
                    <a:ln>
                      <a:noFill/>
                    </a:ln>
                  </pic:spPr>
                </pic:pic>
              </a:graphicData>
            </a:graphic>
          </wp:inline>
        </w:drawing>
      </w:r>
    </w:p>
    <w:p w14:paraId="050DB063" w14:textId="3B54D6EA" w:rsidR="0052760B" w:rsidRPr="00FE32E9" w:rsidRDefault="000C0636" w:rsidP="00B26E35">
      <w:pPr>
        <w:spacing w:line="276" w:lineRule="auto"/>
        <w:rPr>
          <w:sz w:val="20"/>
          <w:szCs w:val="20"/>
          <w:lang w:val="en-US"/>
        </w:rPr>
      </w:pPr>
      <w:r w:rsidRPr="005350CB">
        <w:rPr>
          <w:b/>
          <w:bCs/>
          <w:i/>
          <w:iCs/>
          <w:sz w:val="20"/>
          <w:szCs w:val="20"/>
          <w:lang w:val="en-US"/>
        </w:rPr>
        <w:t>Supplementary Figure</w:t>
      </w:r>
      <w:r w:rsidR="0052760B" w:rsidRPr="00FE32E9">
        <w:rPr>
          <w:b/>
          <w:bCs/>
          <w:i/>
          <w:iCs/>
          <w:sz w:val="20"/>
          <w:szCs w:val="20"/>
          <w:lang w:val="en-US"/>
        </w:rPr>
        <w:t xml:space="preserve"> S</w:t>
      </w:r>
      <w:r w:rsidR="005350CB">
        <w:rPr>
          <w:b/>
          <w:bCs/>
          <w:i/>
          <w:iCs/>
          <w:sz w:val="20"/>
          <w:szCs w:val="20"/>
          <w:lang w:val="en-US"/>
        </w:rPr>
        <w:t>12</w:t>
      </w:r>
      <w:r w:rsidR="008D4DF0" w:rsidRPr="00FE32E9">
        <w:rPr>
          <w:b/>
          <w:bCs/>
          <w:i/>
          <w:iCs/>
          <w:sz w:val="20"/>
          <w:szCs w:val="20"/>
          <w:lang w:val="en-US"/>
        </w:rPr>
        <w:t>.</w:t>
      </w:r>
      <w:r w:rsidR="0052760B" w:rsidRPr="00FE32E9">
        <w:rPr>
          <w:b/>
          <w:bCs/>
          <w:i/>
          <w:iCs/>
          <w:sz w:val="20"/>
          <w:szCs w:val="20"/>
          <w:lang w:val="en-US"/>
        </w:rPr>
        <w:t xml:space="preserve"> </w:t>
      </w:r>
      <w:r w:rsidR="0052760B" w:rsidRPr="00FE32E9">
        <w:rPr>
          <w:b/>
          <w:bCs/>
          <w:sz w:val="20"/>
          <w:szCs w:val="20"/>
          <w:lang w:val="en-US"/>
        </w:rPr>
        <w:t xml:space="preserve">Dose-dependent cytotoxicity (LDH release) in </w:t>
      </w:r>
      <w:r w:rsidR="00590EE2" w:rsidRPr="00FE32E9">
        <w:rPr>
          <w:b/>
          <w:bCs/>
          <w:sz w:val="20"/>
          <w:szCs w:val="20"/>
          <w:lang w:val="en-US"/>
        </w:rPr>
        <w:t>GBM</w:t>
      </w:r>
      <w:r w:rsidR="0052760B" w:rsidRPr="00FE32E9">
        <w:rPr>
          <w:b/>
          <w:bCs/>
          <w:sz w:val="20"/>
          <w:szCs w:val="20"/>
          <w:lang w:val="en-US"/>
        </w:rPr>
        <w:t xml:space="preserve"> cell lines after 3 days of continuous treatment</w:t>
      </w:r>
      <w:r w:rsidR="005350CB">
        <w:rPr>
          <w:b/>
          <w:bCs/>
          <w:sz w:val="20"/>
          <w:szCs w:val="20"/>
          <w:lang w:val="en-US"/>
        </w:rPr>
        <w:t xml:space="preserve"> and during </w:t>
      </w:r>
      <w:proofErr w:type="spellStart"/>
      <w:r w:rsidR="005350CB">
        <w:rPr>
          <w:b/>
          <w:bCs/>
          <w:sz w:val="20"/>
          <w:szCs w:val="20"/>
          <w:lang w:val="en-US"/>
        </w:rPr>
        <w:t>GliaMimic</w:t>
      </w:r>
      <w:proofErr w:type="spellEnd"/>
      <w:r w:rsidR="0052760B" w:rsidRPr="00FE32E9">
        <w:rPr>
          <w:b/>
          <w:bCs/>
          <w:sz w:val="20"/>
          <w:szCs w:val="20"/>
          <w:lang w:val="en-US"/>
        </w:rPr>
        <w:t>.</w:t>
      </w:r>
      <w:r w:rsidR="0052760B" w:rsidRPr="00FE32E9">
        <w:rPr>
          <w:sz w:val="20"/>
          <w:szCs w:val="20"/>
          <w:lang w:val="en-US"/>
        </w:rPr>
        <w:t xml:space="preserve"> </w:t>
      </w:r>
      <w:r w:rsidR="005350CB">
        <w:rPr>
          <w:sz w:val="20"/>
          <w:szCs w:val="20"/>
          <w:lang w:val="en-US"/>
        </w:rPr>
        <w:t>A)</w:t>
      </w:r>
      <w:r w:rsidR="007452C7">
        <w:rPr>
          <w:sz w:val="20"/>
          <w:szCs w:val="20"/>
          <w:lang w:val="en-US"/>
        </w:rPr>
        <w:t xml:space="preserve"> </w:t>
      </w:r>
      <w:r w:rsidR="0052760B" w:rsidRPr="00FE32E9">
        <w:rPr>
          <w:sz w:val="20"/>
          <w:szCs w:val="20"/>
          <w:lang w:val="en-US"/>
        </w:rPr>
        <w:t xml:space="preserve">Bar plots </w:t>
      </w:r>
      <w:proofErr w:type="gramStart"/>
      <w:r w:rsidR="0052760B" w:rsidRPr="00FE32E9">
        <w:rPr>
          <w:sz w:val="20"/>
          <w:szCs w:val="20"/>
          <w:lang w:val="en-US"/>
        </w:rPr>
        <w:t>show mean ±</w:t>
      </w:r>
      <w:proofErr w:type="gramEnd"/>
      <w:r w:rsidR="0052760B" w:rsidRPr="00FE32E9">
        <w:rPr>
          <w:sz w:val="20"/>
          <w:szCs w:val="20"/>
          <w:lang w:val="en-US"/>
        </w:rPr>
        <w:t xml:space="preserve"> SD for U251MG, U87MG, and ZH757</w:t>
      </w:r>
      <w:r w:rsidR="000E6589" w:rsidRPr="00FE32E9">
        <w:rPr>
          <w:sz w:val="20"/>
          <w:szCs w:val="20"/>
          <w:lang w:val="en-US"/>
        </w:rPr>
        <w:t xml:space="preserve"> calculated from three technical and three biological replicates (n = 3) (N = 9 spheroids / treatment concentration for each cell line) and </w:t>
      </w:r>
      <w:r w:rsidR="0052760B" w:rsidRPr="00FE32E9">
        <w:rPr>
          <w:sz w:val="20"/>
          <w:szCs w:val="20"/>
          <w:lang w:val="en-US"/>
        </w:rPr>
        <w:t>demonstrating a clear dose-response relationship</w:t>
      </w:r>
      <w:r w:rsidR="000E6589" w:rsidRPr="00FE32E9">
        <w:rPr>
          <w:sz w:val="20"/>
          <w:szCs w:val="20"/>
          <w:lang w:val="en-US"/>
        </w:rPr>
        <w:t xml:space="preserve"> in U87MG and ZH757</w:t>
      </w:r>
      <w:r w:rsidR="0052760B" w:rsidRPr="00FE32E9">
        <w:rPr>
          <w:sz w:val="20"/>
          <w:szCs w:val="20"/>
          <w:lang w:val="en-US"/>
        </w:rPr>
        <w:t xml:space="preserve">. </w:t>
      </w:r>
      <w:r w:rsidR="005350CB">
        <w:rPr>
          <w:sz w:val="20"/>
          <w:szCs w:val="20"/>
          <w:lang w:val="en-US"/>
        </w:rPr>
        <w:t xml:space="preserve">B) </w:t>
      </w:r>
      <w:r w:rsidR="004E56E7" w:rsidRPr="004E56E7">
        <w:rPr>
          <w:sz w:val="20"/>
          <w:szCs w:val="20"/>
          <w:lang w:val="en-US"/>
        </w:rPr>
        <w:t xml:space="preserve">The </w:t>
      </w:r>
      <w:r w:rsidR="004E56E7">
        <w:rPr>
          <w:sz w:val="20"/>
          <w:szCs w:val="20"/>
          <w:lang w:val="en-US"/>
        </w:rPr>
        <w:t>cytotoxicity</w:t>
      </w:r>
      <w:r w:rsidR="004E56E7" w:rsidRPr="004E56E7">
        <w:rPr>
          <w:sz w:val="20"/>
          <w:szCs w:val="20"/>
          <w:lang w:val="en-US"/>
        </w:rPr>
        <w:t xml:space="preserve"> of GBM spheroids under </w:t>
      </w:r>
      <w:proofErr w:type="spellStart"/>
      <w:r w:rsidR="004E56E7" w:rsidRPr="004E56E7">
        <w:rPr>
          <w:sz w:val="20"/>
          <w:szCs w:val="20"/>
          <w:lang w:val="en-US"/>
        </w:rPr>
        <w:t>GliaMimic</w:t>
      </w:r>
      <w:proofErr w:type="spellEnd"/>
      <w:r w:rsidR="004E56E7" w:rsidRPr="004E56E7">
        <w:rPr>
          <w:sz w:val="20"/>
          <w:szCs w:val="20"/>
          <w:lang w:val="en-US"/>
        </w:rPr>
        <w:t xml:space="preserve"> treatment are displayed as heatmaps. Data </w:t>
      </w:r>
      <w:proofErr w:type="gramStart"/>
      <w:r w:rsidR="004E56E7" w:rsidRPr="004E56E7">
        <w:rPr>
          <w:sz w:val="20"/>
          <w:szCs w:val="20"/>
          <w:lang w:val="en-US"/>
        </w:rPr>
        <w:t>are</w:t>
      </w:r>
      <w:proofErr w:type="gramEnd"/>
      <w:r w:rsidR="004E56E7" w:rsidRPr="004E56E7">
        <w:rPr>
          <w:sz w:val="20"/>
          <w:szCs w:val="20"/>
          <w:lang w:val="en-US"/>
        </w:rPr>
        <w:t xml:space="preserve"> shown as mean </w:t>
      </w:r>
      <w:r w:rsidR="004E56E7">
        <w:rPr>
          <w:sz w:val="20"/>
          <w:szCs w:val="20"/>
          <w:lang w:val="en-US"/>
        </w:rPr>
        <w:t>cytotoxicity</w:t>
      </w:r>
      <w:r w:rsidR="004E56E7" w:rsidRPr="004E56E7">
        <w:rPr>
          <w:sz w:val="20"/>
          <w:szCs w:val="20"/>
          <w:lang w:val="en-US"/>
        </w:rPr>
        <w:t xml:space="preserve"> (</w:t>
      </w:r>
      <w:proofErr w:type="gramStart"/>
      <w:r w:rsidR="004E56E7" w:rsidRPr="004E56E7">
        <w:rPr>
          <w:sz w:val="20"/>
          <w:szCs w:val="20"/>
          <w:lang w:val="en-US"/>
        </w:rPr>
        <w:t>%)and</w:t>
      </w:r>
      <w:proofErr w:type="gramEnd"/>
      <w:r w:rsidR="004E56E7" w:rsidRPr="004E56E7">
        <w:rPr>
          <w:sz w:val="20"/>
          <w:szCs w:val="20"/>
          <w:lang w:val="en-US"/>
        </w:rPr>
        <w:t xml:space="preserve"> was calculated from three technical and three biological replicates (n = 3) (N = 9 spheroids / timepoint / treatment concentration for each cell line), demonstrating cell line-specific treatment sensitivities to </w:t>
      </w:r>
      <w:proofErr w:type="spellStart"/>
      <w:r w:rsidR="004E56E7" w:rsidRPr="004E56E7">
        <w:rPr>
          <w:sz w:val="20"/>
          <w:szCs w:val="20"/>
          <w:lang w:val="en-US"/>
        </w:rPr>
        <w:t>GliaMimic</w:t>
      </w:r>
      <w:proofErr w:type="spellEnd"/>
      <w:r w:rsidR="004E56E7" w:rsidRPr="004E56E7">
        <w:rPr>
          <w:sz w:val="20"/>
          <w:szCs w:val="20"/>
          <w:lang w:val="en-US"/>
        </w:rPr>
        <w:t xml:space="preserve"> therapy</w:t>
      </w:r>
      <w:r w:rsidR="004E56E7">
        <w:rPr>
          <w:sz w:val="20"/>
          <w:szCs w:val="20"/>
          <w:lang w:val="en-US"/>
        </w:rPr>
        <w:t>.</w:t>
      </w:r>
    </w:p>
    <w:p w14:paraId="1360065B" w14:textId="58A978B1" w:rsidR="00C73D6D" w:rsidRPr="00A5408F" w:rsidRDefault="00C73D6D" w:rsidP="0052760B">
      <w:pPr>
        <w:spacing w:line="360" w:lineRule="auto"/>
        <w:rPr>
          <w:noProof/>
          <w:sz w:val="20"/>
          <w:szCs w:val="20"/>
          <w:lang w:val="en-US"/>
        </w:rPr>
      </w:pPr>
    </w:p>
    <w:p w14:paraId="66D3B4B6" w14:textId="457C4AA0" w:rsidR="00F40324" w:rsidRDefault="001C01E1" w:rsidP="0052760B">
      <w:pPr>
        <w:spacing w:line="360" w:lineRule="auto"/>
        <w:rPr>
          <w:noProof/>
          <w:sz w:val="20"/>
          <w:szCs w:val="20"/>
        </w:rPr>
      </w:pPr>
      <w:r>
        <w:rPr>
          <w:noProof/>
          <w:sz w:val="20"/>
          <w:szCs w:val="20"/>
        </w:rPr>
        <w:lastRenderedPageBreak/>
        <w:drawing>
          <wp:inline distT="0" distB="0" distL="0" distR="0" wp14:anchorId="2375187C" wp14:editId="4C1C5BFD">
            <wp:extent cx="6112510" cy="5504180"/>
            <wp:effectExtent l="0" t="0" r="2540" b="1270"/>
            <wp:docPr id="480210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2510" cy="5504180"/>
                    </a:xfrm>
                    <a:prstGeom prst="rect">
                      <a:avLst/>
                    </a:prstGeom>
                    <a:noFill/>
                    <a:ln>
                      <a:noFill/>
                    </a:ln>
                  </pic:spPr>
                </pic:pic>
              </a:graphicData>
            </a:graphic>
          </wp:inline>
        </w:drawing>
      </w:r>
    </w:p>
    <w:p w14:paraId="02DDEF9F" w14:textId="56893732" w:rsidR="00F40324" w:rsidRPr="00FE32E9" w:rsidRDefault="00F40324" w:rsidP="0052760B">
      <w:pPr>
        <w:spacing w:line="360" w:lineRule="auto"/>
        <w:rPr>
          <w:sz w:val="20"/>
          <w:szCs w:val="20"/>
          <w:lang w:val="en-US"/>
        </w:rPr>
      </w:pPr>
    </w:p>
    <w:p w14:paraId="26790E7B" w14:textId="6952AA09" w:rsidR="00C73D6D" w:rsidRDefault="000C0636" w:rsidP="00B26E35">
      <w:pPr>
        <w:spacing w:line="276" w:lineRule="auto"/>
        <w:rPr>
          <w:sz w:val="20"/>
          <w:szCs w:val="20"/>
          <w:lang w:val="en-US"/>
        </w:rPr>
      </w:pPr>
      <w:r w:rsidRPr="004E56E7">
        <w:rPr>
          <w:b/>
          <w:bCs/>
          <w:i/>
          <w:iCs/>
          <w:sz w:val="20"/>
          <w:szCs w:val="20"/>
          <w:lang w:val="en-US"/>
        </w:rPr>
        <w:t>Supplementary Figure</w:t>
      </w:r>
      <w:r w:rsidR="0052760B" w:rsidRPr="00FE32E9">
        <w:rPr>
          <w:b/>
          <w:bCs/>
          <w:i/>
          <w:iCs/>
          <w:sz w:val="20"/>
          <w:szCs w:val="20"/>
          <w:lang w:val="en-US"/>
        </w:rPr>
        <w:t xml:space="preserve"> S</w:t>
      </w:r>
      <w:r w:rsidR="005350CB">
        <w:rPr>
          <w:b/>
          <w:bCs/>
          <w:i/>
          <w:iCs/>
          <w:sz w:val="20"/>
          <w:szCs w:val="20"/>
          <w:lang w:val="en-US"/>
        </w:rPr>
        <w:t>13</w:t>
      </w:r>
      <w:r w:rsidR="008D4DF0" w:rsidRPr="00FE32E9">
        <w:rPr>
          <w:b/>
          <w:bCs/>
          <w:i/>
          <w:iCs/>
          <w:sz w:val="20"/>
          <w:szCs w:val="20"/>
          <w:lang w:val="en-US"/>
        </w:rPr>
        <w:t>.</w:t>
      </w:r>
      <w:r w:rsidR="0052760B" w:rsidRPr="00FE32E9">
        <w:rPr>
          <w:b/>
          <w:bCs/>
          <w:i/>
          <w:iCs/>
          <w:sz w:val="20"/>
          <w:szCs w:val="20"/>
          <w:lang w:val="en-US"/>
        </w:rPr>
        <w:t xml:space="preserve"> </w:t>
      </w:r>
      <w:r w:rsidR="0052760B" w:rsidRPr="00FE32E9">
        <w:rPr>
          <w:b/>
          <w:bCs/>
          <w:sz w:val="20"/>
          <w:szCs w:val="20"/>
          <w:lang w:val="en-US"/>
        </w:rPr>
        <w:t xml:space="preserve">Evaluation of </w:t>
      </w:r>
      <w:proofErr w:type="spellStart"/>
      <w:r w:rsidR="0052760B" w:rsidRPr="00FE32E9">
        <w:rPr>
          <w:b/>
          <w:bCs/>
          <w:sz w:val="20"/>
          <w:szCs w:val="20"/>
          <w:lang w:val="en-US"/>
        </w:rPr>
        <w:t>GliaMimic</w:t>
      </w:r>
      <w:proofErr w:type="spellEnd"/>
      <w:r w:rsidR="0052760B" w:rsidRPr="00FE32E9">
        <w:rPr>
          <w:b/>
          <w:bCs/>
          <w:sz w:val="20"/>
          <w:szCs w:val="20"/>
          <w:lang w:val="en-US"/>
        </w:rPr>
        <w:t xml:space="preserve"> </w:t>
      </w:r>
      <w:r w:rsidR="004E56E7">
        <w:rPr>
          <w:b/>
          <w:bCs/>
          <w:sz w:val="20"/>
          <w:szCs w:val="20"/>
          <w:lang w:val="en-US"/>
        </w:rPr>
        <w:t>post-treatment treatment efficacy and tumor progression</w:t>
      </w:r>
      <w:r w:rsidR="0052760B" w:rsidRPr="00FE32E9">
        <w:rPr>
          <w:b/>
          <w:bCs/>
          <w:sz w:val="20"/>
          <w:szCs w:val="20"/>
          <w:lang w:val="en-US"/>
        </w:rPr>
        <w:t xml:space="preserve"> in GBM spheroid models.</w:t>
      </w:r>
      <w:r w:rsidR="0052760B" w:rsidRPr="00FE32E9">
        <w:rPr>
          <w:sz w:val="20"/>
          <w:szCs w:val="20"/>
          <w:lang w:val="en-US"/>
        </w:rPr>
        <w:t xml:space="preserve"> Bar plots </w:t>
      </w:r>
      <w:r w:rsidR="009E74FC" w:rsidRPr="00FE32E9">
        <w:rPr>
          <w:sz w:val="20"/>
          <w:szCs w:val="20"/>
          <w:lang w:val="en-US"/>
        </w:rPr>
        <w:t xml:space="preserve">were calculated from three technical and three biological replicates (n=3) and </w:t>
      </w:r>
      <w:r w:rsidR="0052760B" w:rsidRPr="00FE32E9">
        <w:rPr>
          <w:sz w:val="20"/>
          <w:szCs w:val="20"/>
          <w:lang w:val="en-US"/>
        </w:rPr>
        <w:t xml:space="preserve">depict A) spheroid area </w:t>
      </w:r>
      <w:r w:rsidR="009E74FC" w:rsidRPr="00FE32E9">
        <w:rPr>
          <w:sz w:val="20"/>
          <w:szCs w:val="20"/>
          <w:lang w:val="en-US"/>
        </w:rPr>
        <w:t>(N = 9 spheroids / timepoint / treatment concentration for each cell line)</w:t>
      </w:r>
      <w:r w:rsidR="0052760B" w:rsidRPr="00FE32E9">
        <w:rPr>
          <w:sz w:val="20"/>
          <w:szCs w:val="20"/>
          <w:lang w:val="en-US"/>
        </w:rPr>
        <w:t>, B) metabolic activity (XTT assay</w:t>
      </w:r>
      <w:r w:rsidR="009E74FC" w:rsidRPr="00FE32E9">
        <w:rPr>
          <w:sz w:val="20"/>
          <w:szCs w:val="20"/>
          <w:lang w:val="en-US"/>
        </w:rPr>
        <w:t>) (N = 9 spheroids / timepoint / treatment concentration for each cell line)</w:t>
      </w:r>
      <w:r w:rsidR="0052760B" w:rsidRPr="00FE32E9">
        <w:rPr>
          <w:sz w:val="20"/>
          <w:szCs w:val="20"/>
          <w:lang w:val="en-US"/>
        </w:rPr>
        <w:t>, and</w:t>
      </w:r>
      <w:r w:rsidR="003962A2" w:rsidRPr="00FE32E9">
        <w:rPr>
          <w:sz w:val="20"/>
          <w:szCs w:val="20"/>
          <w:lang w:val="en-US"/>
        </w:rPr>
        <w:t xml:space="preserve"> </w:t>
      </w:r>
      <w:r w:rsidR="0052760B" w:rsidRPr="00FE32E9">
        <w:rPr>
          <w:sz w:val="20"/>
          <w:szCs w:val="20"/>
          <w:lang w:val="en-US"/>
        </w:rPr>
        <w:t>C) viable cell fraction (</w:t>
      </w:r>
      <w:proofErr w:type="spellStart"/>
      <w:r w:rsidR="0052760B" w:rsidRPr="00FE32E9">
        <w:rPr>
          <w:sz w:val="20"/>
          <w:szCs w:val="20"/>
          <w:lang w:val="en-US"/>
        </w:rPr>
        <w:t>calcein</w:t>
      </w:r>
      <w:proofErr w:type="spellEnd"/>
      <w:r w:rsidR="0052760B" w:rsidRPr="00FE32E9">
        <w:rPr>
          <w:sz w:val="20"/>
          <w:szCs w:val="20"/>
          <w:lang w:val="en-US"/>
        </w:rPr>
        <w:t>+</w:t>
      </w:r>
      <w:r w:rsidR="009E74FC" w:rsidRPr="00FE32E9">
        <w:rPr>
          <w:sz w:val="20"/>
          <w:szCs w:val="20"/>
          <w:lang w:val="en-US"/>
        </w:rPr>
        <w:t xml:space="preserve">) (N = 3 spheroids / timepoint / treatment concentration for each cell line) </w:t>
      </w:r>
      <w:r w:rsidR="0052760B" w:rsidRPr="00FE32E9">
        <w:rPr>
          <w:sz w:val="20"/>
          <w:szCs w:val="20"/>
          <w:lang w:val="en-US"/>
        </w:rPr>
        <w:t xml:space="preserve">for ZH757, U87MG, and U251MG at the end of treatment (day 17) and after 2 weeks of discontinuation (day 30). Data </w:t>
      </w:r>
      <w:proofErr w:type="gramStart"/>
      <w:r w:rsidR="0052760B" w:rsidRPr="00FE32E9">
        <w:rPr>
          <w:sz w:val="20"/>
          <w:szCs w:val="20"/>
          <w:lang w:val="en-US"/>
        </w:rPr>
        <w:t>represent mean ±</w:t>
      </w:r>
      <w:proofErr w:type="gramEnd"/>
      <w:r w:rsidR="0052760B" w:rsidRPr="00FE32E9">
        <w:rPr>
          <w:sz w:val="20"/>
          <w:szCs w:val="20"/>
          <w:lang w:val="en-US"/>
        </w:rPr>
        <w:t xml:space="preserve"> SD. </w:t>
      </w:r>
    </w:p>
    <w:p w14:paraId="59924912" w14:textId="77777777" w:rsidR="00963E2F" w:rsidRDefault="00963E2F" w:rsidP="00C73D6D">
      <w:pPr>
        <w:spacing w:line="360" w:lineRule="auto"/>
        <w:rPr>
          <w:sz w:val="20"/>
          <w:szCs w:val="20"/>
          <w:lang w:val="en-US"/>
        </w:rPr>
      </w:pPr>
    </w:p>
    <w:p w14:paraId="48706C67" w14:textId="77777777" w:rsidR="00963E2F" w:rsidRPr="00FE32E9" w:rsidRDefault="00963E2F" w:rsidP="00C73D6D">
      <w:pPr>
        <w:spacing w:line="360" w:lineRule="auto"/>
        <w:rPr>
          <w:sz w:val="20"/>
          <w:szCs w:val="20"/>
          <w:lang w:val="en-US"/>
        </w:rPr>
      </w:pPr>
    </w:p>
    <w:p w14:paraId="3705B2BA" w14:textId="77777777" w:rsidR="00B2240D" w:rsidRDefault="00B2240D" w:rsidP="0052760B">
      <w:pPr>
        <w:spacing w:line="360" w:lineRule="auto"/>
        <w:rPr>
          <w:b/>
          <w:bCs/>
          <w:i/>
          <w:iCs/>
          <w:sz w:val="20"/>
          <w:szCs w:val="20"/>
          <w:lang w:val="en-US"/>
        </w:rPr>
      </w:pPr>
    </w:p>
    <w:p w14:paraId="135E4697" w14:textId="77777777" w:rsidR="00B2240D" w:rsidRDefault="00B2240D" w:rsidP="0052760B">
      <w:pPr>
        <w:spacing w:line="360" w:lineRule="auto"/>
        <w:rPr>
          <w:b/>
          <w:bCs/>
          <w:i/>
          <w:iCs/>
          <w:sz w:val="20"/>
          <w:szCs w:val="20"/>
          <w:lang w:val="en-US"/>
        </w:rPr>
      </w:pPr>
    </w:p>
    <w:p w14:paraId="6A14E513" w14:textId="77777777" w:rsidR="00B2240D" w:rsidRDefault="00B2240D" w:rsidP="0052760B">
      <w:pPr>
        <w:spacing w:line="360" w:lineRule="auto"/>
        <w:rPr>
          <w:b/>
          <w:bCs/>
          <w:i/>
          <w:iCs/>
          <w:sz w:val="20"/>
          <w:szCs w:val="20"/>
          <w:lang w:val="en-US"/>
        </w:rPr>
      </w:pPr>
    </w:p>
    <w:p w14:paraId="527631B2" w14:textId="77777777" w:rsidR="00B2240D" w:rsidRDefault="00B2240D" w:rsidP="0052760B">
      <w:pPr>
        <w:spacing w:line="360" w:lineRule="auto"/>
        <w:rPr>
          <w:b/>
          <w:bCs/>
          <w:i/>
          <w:iCs/>
          <w:sz w:val="20"/>
          <w:szCs w:val="20"/>
          <w:lang w:val="en-US"/>
        </w:rPr>
      </w:pPr>
    </w:p>
    <w:p w14:paraId="71A35386" w14:textId="77777777" w:rsidR="00B2240D" w:rsidRDefault="00B2240D" w:rsidP="0052760B">
      <w:pPr>
        <w:spacing w:line="360" w:lineRule="auto"/>
        <w:rPr>
          <w:b/>
          <w:bCs/>
          <w:i/>
          <w:iCs/>
          <w:sz w:val="20"/>
          <w:szCs w:val="20"/>
          <w:lang w:val="en-US"/>
        </w:rPr>
      </w:pPr>
    </w:p>
    <w:p w14:paraId="079921E9" w14:textId="52FAE958" w:rsidR="00C73D6D" w:rsidRDefault="00B2240D" w:rsidP="00B26E35">
      <w:pPr>
        <w:spacing w:line="276" w:lineRule="auto"/>
        <w:rPr>
          <w:sz w:val="20"/>
          <w:szCs w:val="20"/>
          <w:lang w:val="en-US"/>
        </w:rPr>
      </w:pPr>
      <w:r>
        <w:rPr>
          <w:b/>
          <w:bCs/>
          <w:i/>
          <w:iCs/>
          <w:noProof/>
          <w:sz w:val="20"/>
          <w:szCs w:val="20"/>
          <w:lang w:val="en-US"/>
        </w:rPr>
        <w:drawing>
          <wp:anchor distT="0" distB="0" distL="114300" distR="114300" simplePos="0" relativeHeight="251663360" behindDoc="0" locked="0" layoutInCell="1" allowOverlap="1" wp14:anchorId="56F2DE72" wp14:editId="4E7D1C14">
            <wp:simplePos x="0" y="0"/>
            <wp:positionH relativeFrom="column">
              <wp:posOffset>2726</wp:posOffset>
            </wp:positionH>
            <wp:positionV relativeFrom="paragraph">
              <wp:posOffset>542</wp:posOffset>
            </wp:positionV>
            <wp:extent cx="6116320" cy="1410335"/>
            <wp:effectExtent l="0" t="0" r="0" b="0"/>
            <wp:wrapThrough wrapText="bothSides">
              <wp:wrapPolygon edited="0">
                <wp:start x="0" y="0"/>
                <wp:lineTo x="0" y="21299"/>
                <wp:lineTo x="21528" y="21299"/>
                <wp:lineTo x="21528" y="0"/>
                <wp:lineTo x="0" y="0"/>
              </wp:wrapPolygon>
            </wp:wrapThrough>
            <wp:docPr id="20602000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6320" cy="1410335"/>
                    </a:xfrm>
                    <a:prstGeom prst="rect">
                      <a:avLst/>
                    </a:prstGeom>
                    <a:noFill/>
                    <a:ln>
                      <a:noFill/>
                    </a:ln>
                  </pic:spPr>
                </pic:pic>
              </a:graphicData>
            </a:graphic>
          </wp:anchor>
        </w:drawing>
      </w:r>
      <w:r w:rsidR="00963E2F" w:rsidRPr="004E56E7">
        <w:rPr>
          <w:b/>
          <w:bCs/>
          <w:i/>
          <w:iCs/>
          <w:sz w:val="20"/>
          <w:szCs w:val="20"/>
          <w:lang w:val="en-US"/>
        </w:rPr>
        <w:t>Supplementary Figure</w:t>
      </w:r>
      <w:r w:rsidR="00963E2F" w:rsidRPr="00FE32E9">
        <w:rPr>
          <w:b/>
          <w:bCs/>
          <w:i/>
          <w:iCs/>
          <w:sz w:val="20"/>
          <w:szCs w:val="20"/>
          <w:lang w:val="en-US"/>
        </w:rPr>
        <w:t xml:space="preserve"> S</w:t>
      </w:r>
      <w:r w:rsidR="00963E2F">
        <w:rPr>
          <w:b/>
          <w:bCs/>
          <w:i/>
          <w:iCs/>
          <w:sz w:val="20"/>
          <w:szCs w:val="20"/>
          <w:lang w:val="en-US"/>
        </w:rPr>
        <w:t>14</w:t>
      </w:r>
      <w:r w:rsidR="00963E2F" w:rsidRPr="00FE32E9">
        <w:rPr>
          <w:b/>
          <w:bCs/>
          <w:i/>
          <w:iCs/>
          <w:sz w:val="20"/>
          <w:szCs w:val="20"/>
          <w:lang w:val="en-US"/>
        </w:rPr>
        <w:t>.</w:t>
      </w:r>
      <w:r>
        <w:rPr>
          <w:b/>
          <w:bCs/>
          <w:i/>
          <w:iCs/>
          <w:sz w:val="20"/>
          <w:szCs w:val="20"/>
          <w:lang w:val="en-US"/>
        </w:rPr>
        <w:t xml:space="preserve"> </w:t>
      </w:r>
      <w:r w:rsidR="00963E2F">
        <w:rPr>
          <w:b/>
          <w:bCs/>
          <w:sz w:val="20"/>
          <w:szCs w:val="20"/>
          <w:lang w:val="en-US"/>
        </w:rPr>
        <w:t>Absolute values for post-treatment fold change calculations</w:t>
      </w:r>
      <w:r w:rsidR="00963E2F" w:rsidRPr="00FE32E9">
        <w:rPr>
          <w:b/>
          <w:bCs/>
          <w:sz w:val="20"/>
          <w:szCs w:val="20"/>
          <w:lang w:val="en-US"/>
        </w:rPr>
        <w:t>.</w:t>
      </w:r>
      <w:r w:rsidR="00963E2F" w:rsidRPr="00FE32E9">
        <w:rPr>
          <w:sz w:val="20"/>
          <w:szCs w:val="20"/>
          <w:lang w:val="en-US"/>
        </w:rPr>
        <w:t xml:space="preserve"> </w:t>
      </w:r>
      <w:r>
        <w:rPr>
          <w:sz w:val="20"/>
          <w:szCs w:val="20"/>
          <w:lang w:val="en-US"/>
        </w:rPr>
        <w:t xml:space="preserve">A) </w:t>
      </w:r>
      <w:r w:rsidRPr="00B2240D">
        <w:rPr>
          <w:sz w:val="20"/>
          <w:szCs w:val="20"/>
          <w:lang w:val="en-US"/>
        </w:rPr>
        <w:t>Shown are the absolute values at the end of treatment (d17) versus those after the treatment break (d30) for spheroid size alterations, metabolic activity, and viability post-treatment in ZH757, U251MG, and U87MG.</w:t>
      </w:r>
    </w:p>
    <w:p w14:paraId="70A69456" w14:textId="77777777" w:rsidR="00AE3EE6" w:rsidRDefault="00AE3EE6" w:rsidP="0052760B">
      <w:pPr>
        <w:spacing w:line="360" w:lineRule="auto"/>
        <w:rPr>
          <w:sz w:val="20"/>
          <w:szCs w:val="20"/>
          <w:lang w:val="en-US"/>
        </w:rPr>
      </w:pPr>
    </w:p>
    <w:p w14:paraId="14D907B3" w14:textId="77777777" w:rsidR="00623634" w:rsidRDefault="00623634" w:rsidP="0052760B">
      <w:pPr>
        <w:spacing w:line="360" w:lineRule="auto"/>
        <w:rPr>
          <w:sz w:val="20"/>
          <w:szCs w:val="20"/>
          <w:lang w:val="en-US"/>
        </w:rPr>
      </w:pPr>
    </w:p>
    <w:p w14:paraId="7AACEBF3" w14:textId="77777777" w:rsidR="00623634" w:rsidRDefault="00623634" w:rsidP="0052760B">
      <w:pPr>
        <w:spacing w:line="360" w:lineRule="auto"/>
        <w:rPr>
          <w:sz w:val="20"/>
          <w:szCs w:val="20"/>
          <w:lang w:val="en-US"/>
        </w:rPr>
      </w:pPr>
    </w:p>
    <w:p w14:paraId="52A037D8" w14:textId="15E005D7" w:rsidR="00AE3EE6" w:rsidRDefault="00AE3EE6" w:rsidP="0052760B">
      <w:pPr>
        <w:spacing w:line="360" w:lineRule="auto"/>
        <w:rPr>
          <w:sz w:val="20"/>
          <w:szCs w:val="20"/>
          <w:lang w:val="en-US"/>
        </w:rPr>
      </w:pPr>
      <w:r>
        <w:rPr>
          <w:b/>
          <w:bCs/>
          <w:noProof/>
          <w:sz w:val="20"/>
          <w:szCs w:val="20"/>
          <w:lang w:val="en-US"/>
        </w:rPr>
        <w:drawing>
          <wp:anchor distT="0" distB="0" distL="114300" distR="114300" simplePos="0" relativeHeight="251664384" behindDoc="0" locked="0" layoutInCell="1" allowOverlap="1" wp14:anchorId="7A0AEC36" wp14:editId="042271AB">
            <wp:simplePos x="0" y="0"/>
            <wp:positionH relativeFrom="column">
              <wp:posOffset>-47640</wp:posOffset>
            </wp:positionH>
            <wp:positionV relativeFrom="paragraph">
              <wp:posOffset>3020</wp:posOffset>
            </wp:positionV>
            <wp:extent cx="4354830" cy="3116580"/>
            <wp:effectExtent l="0" t="0" r="7620" b="7620"/>
            <wp:wrapThrough wrapText="bothSides">
              <wp:wrapPolygon edited="0">
                <wp:start x="0" y="0"/>
                <wp:lineTo x="0" y="21521"/>
                <wp:lineTo x="21543" y="21521"/>
                <wp:lineTo x="21543" y="0"/>
                <wp:lineTo x="0" y="0"/>
              </wp:wrapPolygon>
            </wp:wrapThrough>
            <wp:docPr id="19730579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54830" cy="3116580"/>
                    </a:xfrm>
                    <a:prstGeom prst="rect">
                      <a:avLst/>
                    </a:prstGeom>
                    <a:noFill/>
                    <a:ln>
                      <a:noFill/>
                    </a:ln>
                  </pic:spPr>
                </pic:pic>
              </a:graphicData>
            </a:graphic>
          </wp:anchor>
        </w:drawing>
      </w:r>
    </w:p>
    <w:p w14:paraId="530FA886" w14:textId="7E707F0B" w:rsidR="00AE3EE6" w:rsidRDefault="00AE3EE6" w:rsidP="0052760B">
      <w:pPr>
        <w:spacing w:line="360" w:lineRule="auto"/>
        <w:rPr>
          <w:sz w:val="20"/>
          <w:szCs w:val="20"/>
          <w:lang w:val="en-US"/>
        </w:rPr>
      </w:pPr>
    </w:p>
    <w:p w14:paraId="59C06E84" w14:textId="77777777" w:rsidR="00AE3EE6" w:rsidRDefault="00AE3EE6" w:rsidP="0052760B">
      <w:pPr>
        <w:spacing w:line="360" w:lineRule="auto"/>
        <w:rPr>
          <w:sz w:val="20"/>
          <w:szCs w:val="20"/>
          <w:lang w:val="en-US"/>
        </w:rPr>
      </w:pPr>
    </w:p>
    <w:p w14:paraId="7857F650" w14:textId="77777777" w:rsidR="00AE3EE6" w:rsidRDefault="00AE3EE6" w:rsidP="0052760B">
      <w:pPr>
        <w:spacing w:line="360" w:lineRule="auto"/>
        <w:rPr>
          <w:sz w:val="20"/>
          <w:szCs w:val="20"/>
          <w:lang w:val="en-US"/>
        </w:rPr>
      </w:pPr>
    </w:p>
    <w:p w14:paraId="307AF89B" w14:textId="77777777" w:rsidR="00AE3EE6" w:rsidRDefault="00AE3EE6" w:rsidP="0052760B">
      <w:pPr>
        <w:spacing w:line="360" w:lineRule="auto"/>
        <w:rPr>
          <w:sz w:val="20"/>
          <w:szCs w:val="20"/>
          <w:lang w:val="en-US"/>
        </w:rPr>
      </w:pPr>
    </w:p>
    <w:p w14:paraId="6B7236C9" w14:textId="77777777" w:rsidR="00AE3EE6" w:rsidRDefault="00AE3EE6" w:rsidP="0052760B">
      <w:pPr>
        <w:spacing w:line="360" w:lineRule="auto"/>
        <w:rPr>
          <w:sz w:val="20"/>
          <w:szCs w:val="20"/>
          <w:lang w:val="en-US"/>
        </w:rPr>
      </w:pPr>
    </w:p>
    <w:p w14:paraId="2C3DA935" w14:textId="77777777" w:rsidR="00AE3EE6" w:rsidRDefault="00AE3EE6" w:rsidP="0052760B">
      <w:pPr>
        <w:spacing w:line="360" w:lineRule="auto"/>
        <w:rPr>
          <w:sz w:val="20"/>
          <w:szCs w:val="20"/>
          <w:lang w:val="en-US"/>
        </w:rPr>
      </w:pPr>
    </w:p>
    <w:p w14:paraId="5F3EDED0" w14:textId="77777777" w:rsidR="00AE3EE6" w:rsidRDefault="00AE3EE6" w:rsidP="0052760B">
      <w:pPr>
        <w:spacing w:line="360" w:lineRule="auto"/>
        <w:rPr>
          <w:sz w:val="20"/>
          <w:szCs w:val="20"/>
          <w:lang w:val="en-US"/>
        </w:rPr>
      </w:pPr>
    </w:p>
    <w:p w14:paraId="1188CA49" w14:textId="77777777" w:rsidR="00AE3EE6" w:rsidRDefault="00AE3EE6" w:rsidP="0052760B">
      <w:pPr>
        <w:spacing w:line="360" w:lineRule="auto"/>
        <w:rPr>
          <w:sz w:val="20"/>
          <w:szCs w:val="20"/>
          <w:lang w:val="en-US"/>
        </w:rPr>
      </w:pPr>
    </w:p>
    <w:p w14:paraId="56FED1D0" w14:textId="7980673F" w:rsidR="00AE3EE6" w:rsidRPr="00AE3EE6" w:rsidRDefault="00AE3EE6" w:rsidP="00B26E35">
      <w:pPr>
        <w:spacing w:line="276" w:lineRule="auto"/>
        <w:rPr>
          <w:sz w:val="20"/>
          <w:szCs w:val="20"/>
          <w:lang w:val="en-US"/>
        </w:rPr>
      </w:pPr>
      <w:r w:rsidRPr="004E56E7">
        <w:rPr>
          <w:b/>
          <w:bCs/>
          <w:i/>
          <w:iCs/>
          <w:sz w:val="20"/>
          <w:szCs w:val="20"/>
          <w:lang w:val="en-US"/>
        </w:rPr>
        <w:t>Supplementary Figure</w:t>
      </w:r>
      <w:r w:rsidRPr="00FE32E9">
        <w:rPr>
          <w:b/>
          <w:bCs/>
          <w:i/>
          <w:iCs/>
          <w:sz w:val="20"/>
          <w:szCs w:val="20"/>
          <w:lang w:val="en-US"/>
        </w:rPr>
        <w:t xml:space="preserve"> S</w:t>
      </w:r>
      <w:r>
        <w:rPr>
          <w:b/>
          <w:bCs/>
          <w:i/>
          <w:iCs/>
          <w:sz w:val="20"/>
          <w:szCs w:val="20"/>
          <w:lang w:val="en-US"/>
        </w:rPr>
        <w:t>15</w:t>
      </w:r>
      <w:r w:rsidRPr="00FE32E9">
        <w:rPr>
          <w:b/>
          <w:bCs/>
          <w:i/>
          <w:iCs/>
          <w:sz w:val="20"/>
          <w:szCs w:val="20"/>
          <w:lang w:val="en-US"/>
        </w:rPr>
        <w:t>.</w:t>
      </w:r>
      <w:r>
        <w:rPr>
          <w:b/>
          <w:bCs/>
          <w:i/>
          <w:iCs/>
          <w:sz w:val="20"/>
          <w:szCs w:val="20"/>
          <w:lang w:val="en-US"/>
        </w:rPr>
        <w:t xml:space="preserve"> </w:t>
      </w:r>
      <w:r>
        <w:rPr>
          <w:b/>
          <w:bCs/>
          <w:sz w:val="20"/>
          <w:szCs w:val="20"/>
          <w:lang w:val="en-US"/>
        </w:rPr>
        <w:t>Amount of successful PDOs</w:t>
      </w:r>
      <w:r w:rsidRPr="00FE32E9">
        <w:rPr>
          <w:b/>
          <w:bCs/>
          <w:sz w:val="20"/>
          <w:szCs w:val="20"/>
          <w:lang w:val="en-US"/>
        </w:rPr>
        <w:t>.</w:t>
      </w:r>
      <w:r w:rsidRPr="00FE32E9">
        <w:rPr>
          <w:sz w:val="20"/>
          <w:szCs w:val="20"/>
          <w:lang w:val="en-US"/>
        </w:rPr>
        <w:t xml:space="preserve"> </w:t>
      </w:r>
      <w:r>
        <w:rPr>
          <w:sz w:val="20"/>
          <w:szCs w:val="20"/>
          <w:lang w:val="en-US"/>
        </w:rPr>
        <w:t xml:space="preserve">A) </w:t>
      </w:r>
      <w:r w:rsidRPr="00AE3EE6">
        <w:rPr>
          <w:sz w:val="20"/>
          <w:szCs w:val="20"/>
          <w:lang w:val="en-US"/>
        </w:rPr>
        <w:t>Shown is the number of successfully grown patient-derived organoids (PDOs) for patients 1, 2, and 3 after 4 weeks of cultivation, derived from biopsies of either the peripheral area or the contrast-enhancing area. The peripheral area yielded a substantially lower number of successfully generated PDOs compared to the contrast-enhancing area.</w:t>
      </w:r>
    </w:p>
    <w:p w14:paraId="0032A2E0" w14:textId="0F922D31" w:rsidR="0052760B" w:rsidRPr="00FE32E9" w:rsidRDefault="00C73D6D" w:rsidP="0052760B">
      <w:pPr>
        <w:spacing w:line="360" w:lineRule="auto"/>
        <w:rPr>
          <w:sz w:val="20"/>
          <w:szCs w:val="20"/>
          <w:lang w:val="en-US"/>
        </w:rPr>
      </w:pPr>
      <w:r w:rsidRPr="00FE32E9">
        <w:rPr>
          <w:noProof/>
          <w:sz w:val="20"/>
          <w:szCs w:val="20"/>
          <w:lang w:val="en-US"/>
        </w:rPr>
        <w:lastRenderedPageBreak/>
        <w:drawing>
          <wp:inline distT="0" distB="0" distL="0" distR="0" wp14:anchorId="55424F32" wp14:editId="2593BEEB">
            <wp:extent cx="6114415" cy="8333105"/>
            <wp:effectExtent l="0" t="0" r="635" b="0"/>
            <wp:docPr id="1737260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4415" cy="8333105"/>
                    </a:xfrm>
                    <a:prstGeom prst="rect">
                      <a:avLst/>
                    </a:prstGeom>
                    <a:noFill/>
                    <a:ln>
                      <a:noFill/>
                    </a:ln>
                  </pic:spPr>
                </pic:pic>
              </a:graphicData>
            </a:graphic>
          </wp:inline>
        </w:drawing>
      </w:r>
    </w:p>
    <w:p w14:paraId="319F243F" w14:textId="313159EF" w:rsidR="0052760B" w:rsidRDefault="000C0636" w:rsidP="00B26E35">
      <w:pPr>
        <w:spacing w:line="276" w:lineRule="auto"/>
        <w:rPr>
          <w:sz w:val="20"/>
          <w:szCs w:val="20"/>
          <w:lang w:val="en-US"/>
        </w:rPr>
      </w:pPr>
      <w:r w:rsidRPr="00C30992">
        <w:rPr>
          <w:b/>
          <w:bCs/>
          <w:i/>
          <w:iCs/>
          <w:sz w:val="20"/>
          <w:szCs w:val="20"/>
          <w:lang w:val="en-US"/>
        </w:rPr>
        <w:t>Supplementary Figure</w:t>
      </w:r>
      <w:r w:rsidR="0052760B" w:rsidRPr="00FE32E9">
        <w:rPr>
          <w:b/>
          <w:bCs/>
          <w:i/>
          <w:iCs/>
          <w:sz w:val="20"/>
          <w:szCs w:val="20"/>
          <w:lang w:val="en-US"/>
        </w:rPr>
        <w:t xml:space="preserve"> S</w:t>
      </w:r>
      <w:r w:rsidR="00C30992">
        <w:rPr>
          <w:b/>
          <w:bCs/>
          <w:i/>
          <w:iCs/>
          <w:sz w:val="20"/>
          <w:szCs w:val="20"/>
          <w:lang w:val="en-US"/>
        </w:rPr>
        <w:t>1</w:t>
      </w:r>
      <w:r w:rsidR="0052760B" w:rsidRPr="00FE32E9">
        <w:rPr>
          <w:b/>
          <w:bCs/>
          <w:i/>
          <w:iCs/>
          <w:sz w:val="20"/>
          <w:szCs w:val="20"/>
          <w:lang w:val="en-US"/>
        </w:rPr>
        <w:t>6</w:t>
      </w:r>
      <w:r w:rsidR="008D4DF0" w:rsidRPr="00FE32E9">
        <w:rPr>
          <w:b/>
          <w:bCs/>
          <w:i/>
          <w:iCs/>
          <w:sz w:val="20"/>
          <w:szCs w:val="20"/>
          <w:lang w:val="en-US"/>
        </w:rPr>
        <w:t>.</w:t>
      </w:r>
      <w:r w:rsidR="0052760B" w:rsidRPr="00FE32E9">
        <w:rPr>
          <w:b/>
          <w:bCs/>
          <w:i/>
          <w:iCs/>
          <w:sz w:val="20"/>
          <w:szCs w:val="20"/>
          <w:lang w:val="en-US"/>
        </w:rPr>
        <w:t xml:space="preserve"> </w:t>
      </w:r>
      <w:r w:rsidR="0052760B" w:rsidRPr="00FE32E9">
        <w:rPr>
          <w:b/>
          <w:bCs/>
          <w:sz w:val="20"/>
          <w:szCs w:val="20"/>
          <w:lang w:val="en-US"/>
        </w:rPr>
        <w:t xml:space="preserve">Immunohistochemical characterization of patient-derived </w:t>
      </w:r>
      <w:r w:rsidR="00590EE2" w:rsidRPr="00FE32E9">
        <w:rPr>
          <w:b/>
          <w:bCs/>
          <w:sz w:val="20"/>
          <w:szCs w:val="20"/>
          <w:lang w:val="en-US"/>
        </w:rPr>
        <w:t xml:space="preserve">GBM </w:t>
      </w:r>
      <w:r w:rsidR="0052760B" w:rsidRPr="00FE32E9">
        <w:rPr>
          <w:b/>
          <w:bCs/>
          <w:sz w:val="20"/>
          <w:szCs w:val="20"/>
          <w:lang w:val="en-US"/>
        </w:rPr>
        <w:t>organoids over 4 weeks of cultivation.</w:t>
      </w:r>
      <w:r w:rsidR="0052760B" w:rsidRPr="00FE32E9">
        <w:rPr>
          <w:sz w:val="20"/>
          <w:szCs w:val="20"/>
          <w:lang w:val="en-US"/>
        </w:rPr>
        <w:t xml:space="preserve"> Heatmaps</w:t>
      </w:r>
      <w:r w:rsidR="003962A2" w:rsidRPr="00FE32E9">
        <w:rPr>
          <w:sz w:val="20"/>
          <w:szCs w:val="20"/>
          <w:lang w:val="en-US"/>
        </w:rPr>
        <w:t xml:space="preserve"> A-E)</w:t>
      </w:r>
      <w:r w:rsidR="0052760B" w:rsidRPr="00FE32E9">
        <w:rPr>
          <w:sz w:val="20"/>
          <w:szCs w:val="20"/>
          <w:lang w:val="en-US"/>
        </w:rPr>
        <w:t xml:space="preserve"> display mean expression levels of endothelial and vascular markers (CD34, ERG), immune cell populations (CD3, Granzyme B, CD68), and a tumor cell panel (Ki-67, GFAP, Olig2, MAP2, apoptotic fraction) across </w:t>
      </w:r>
      <w:r w:rsidR="00590EE2" w:rsidRPr="00FE32E9">
        <w:rPr>
          <w:sz w:val="20"/>
          <w:szCs w:val="20"/>
          <w:lang w:val="en-US"/>
        </w:rPr>
        <w:t>PDOs</w:t>
      </w:r>
      <w:r w:rsidR="0052760B" w:rsidRPr="00FE32E9">
        <w:rPr>
          <w:sz w:val="20"/>
          <w:szCs w:val="20"/>
          <w:lang w:val="en-US"/>
        </w:rPr>
        <w:t xml:space="preserve"> from 5 GBM patients (</w:t>
      </w:r>
      <w:r w:rsidR="009E74FC" w:rsidRPr="00FE32E9">
        <w:rPr>
          <w:sz w:val="20"/>
          <w:szCs w:val="20"/>
          <w:lang w:val="en-US"/>
        </w:rPr>
        <w:t>N = 3 organoids / staining for each patient)</w:t>
      </w:r>
      <w:r w:rsidR="0052760B" w:rsidRPr="00FE32E9">
        <w:rPr>
          <w:sz w:val="20"/>
          <w:szCs w:val="20"/>
          <w:lang w:val="en-US"/>
        </w:rPr>
        <w:t>. Measurements were taken a</w:t>
      </w:r>
      <w:r w:rsidR="00590EE2" w:rsidRPr="00FE32E9">
        <w:rPr>
          <w:sz w:val="20"/>
          <w:szCs w:val="20"/>
          <w:lang w:val="en-US"/>
        </w:rPr>
        <w:t>fter</w:t>
      </w:r>
      <w:r w:rsidR="0052760B" w:rsidRPr="00FE32E9">
        <w:rPr>
          <w:sz w:val="20"/>
          <w:szCs w:val="20"/>
          <w:lang w:val="en-US"/>
        </w:rPr>
        <w:t xml:space="preserve"> 2 and 4 weeks, with additional comparison to the patient’s original tumor </w:t>
      </w:r>
      <w:r w:rsidR="0052760B" w:rsidRPr="00FE32E9">
        <w:rPr>
          <w:sz w:val="20"/>
          <w:szCs w:val="20"/>
          <w:lang w:val="en-US"/>
        </w:rPr>
        <w:lastRenderedPageBreak/>
        <w:t xml:space="preserve">tissue (surgery day). </w:t>
      </w:r>
      <w:r w:rsidR="00590EE2" w:rsidRPr="00FE32E9">
        <w:rPr>
          <w:sz w:val="20"/>
          <w:szCs w:val="20"/>
          <w:lang w:val="en-US"/>
        </w:rPr>
        <w:t>PDOs</w:t>
      </w:r>
      <w:r w:rsidR="0052760B" w:rsidRPr="00FE32E9">
        <w:rPr>
          <w:sz w:val="20"/>
          <w:szCs w:val="20"/>
          <w:lang w:val="en-US"/>
        </w:rPr>
        <w:t xml:space="preserve"> exhibited pronounced inter- and intratumoral heterogeneity, including GBM cells, vasculature, and immune infiltrates. Notably, organoids closely mirrored the patient-matched tissue, supporting their clinical relevance as a tumor model. Statistical comparisons between timepoints were omitted due to the descriptive nature of the analysis.</w:t>
      </w:r>
    </w:p>
    <w:p w14:paraId="5692B4A8" w14:textId="77777777" w:rsidR="002B6679" w:rsidRPr="00FE32E9" w:rsidRDefault="002B6679" w:rsidP="0052760B">
      <w:pPr>
        <w:spacing w:line="360" w:lineRule="auto"/>
        <w:rPr>
          <w:sz w:val="20"/>
          <w:szCs w:val="20"/>
          <w:lang w:val="en-US"/>
        </w:rPr>
      </w:pPr>
    </w:p>
    <w:p w14:paraId="548FBD3F" w14:textId="5078ADBC" w:rsidR="008F7DC3" w:rsidRPr="008F7DC3" w:rsidRDefault="002B6679" w:rsidP="00B26E35">
      <w:pPr>
        <w:spacing w:line="276" w:lineRule="auto"/>
        <w:rPr>
          <w:sz w:val="20"/>
          <w:szCs w:val="20"/>
          <w:lang w:val="en-US"/>
        </w:rPr>
      </w:pPr>
      <w:r w:rsidRPr="008F7DC3">
        <w:rPr>
          <w:noProof/>
        </w:rPr>
        <w:lastRenderedPageBreak/>
        <w:drawing>
          <wp:anchor distT="0" distB="0" distL="114300" distR="114300" simplePos="0" relativeHeight="251665408" behindDoc="0" locked="0" layoutInCell="1" allowOverlap="1" wp14:anchorId="2E6CAAF3" wp14:editId="109E5729">
            <wp:simplePos x="0" y="0"/>
            <wp:positionH relativeFrom="column">
              <wp:posOffset>-350711</wp:posOffset>
            </wp:positionH>
            <wp:positionV relativeFrom="paragraph">
              <wp:posOffset>22522</wp:posOffset>
            </wp:positionV>
            <wp:extent cx="6533620" cy="8531397"/>
            <wp:effectExtent l="0" t="0" r="635" b="3175"/>
            <wp:wrapSquare wrapText="bothSides"/>
            <wp:docPr id="1397977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33620" cy="8531397"/>
                    </a:xfrm>
                    <a:prstGeom prst="rect">
                      <a:avLst/>
                    </a:prstGeom>
                    <a:noFill/>
                    <a:ln>
                      <a:noFill/>
                    </a:ln>
                  </pic:spPr>
                </pic:pic>
              </a:graphicData>
            </a:graphic>
          </wp:anchor>
        </w:drawing>
      </w:r>
      <w:r w:rsidRPr="008F7DC3">
        <w:rPr>
          <w:b/>
          <w:bCs/>
          <w:i/>
          <w:iCs/>
          <w:sz w:val="20"/>
          <w:szCs w:val="20"/>
          <w:lang w:val="en-US"/>
        </w:rPr>
        <w:t xml:space="preserve"> Supplementary Figure S17. </w:t>
      </w:r>
      <w:r w:rsidR="008F7DC3" w:rsidRPr="008F7DC3">
        <w:rPr>
          <w:b/>
          <w:bCs/>
          <w:sz w:val="20"/>
          <w:szCs w:val="20"/>
          <w:lang w:val="en-US"/>
        </w:rPr>
        <w:t>Baseline characterization of patient-derived PDOs prior to treatment initiation</w:t>
      </w:r>
      <w:r w:rsidRPr="008F7DC3">
        <w:rPr>
          <w:b/>
          <w:bCs/>
          <w:sz w:val="20"/>
          <w:szCs w:val="20"/>
          <w:lang w:val="en-US"/>
        </w:rPr>
        <w:t>.</w:t>
      </w:r>
      <w:r w:rsidRPr="008F7DC3">
        <w:rPr>
          <w:sz w:val="20"/>
          <w:szCs w:val="20"/>
          <w:lang w:val="en-US"/>
        </w:rPr>
        <w:t xml:space="preserve"> </w:t>
      </w:r>
      <w:r w:rsidR="008F7DC3" w:rsidRPr="008F7DC3">
        <w:rPr>
          <w:sz w:val="20"/>
          <w:szCs w:val="20"/>
          <w:lang w:val="en-US"/>
        </w:rPr>
        <w:t xml:space="preserve"> Left column: Scatter plots showing </w:t>
      </w:r>
      <w:r w:rsidR="008F7DC3">
        <w:rPr>
          <w:sz w:val="20"/>
          <w:szCs w:val="20"/>
          <w:lang w:val="en-US"/>
        </w:rPr>
        <w:t>raw data for</w:t>
      </w:r>
      <w:r w:rsidR="008F7DC3" w:rsidRPr="008F7DC3">
        <w:rPr>
          <w:sz w:val="20"/>
          <w:szCs w:val="20"/>
          <w:lang w:val="en-US"/>
        </w:rPr>
        <w:t xml:space="preserve"> baseline values</w:t>
      </w:r>
      <w:r w:rsidR="008F7DC3">
        <w:rPr>
          <w:sz w:val="20"/>
          <w:szCs w:val="20"/>
          <w:lang w:val="en-US"/>
        </w:rPr>
        <w:t xml:space="preserve"> (D0)</w:t>
      </w:r>
      <w:r w:rsidR="008F7DC3" w:rsidRPr="008F7DC3">
        <w:rPr>
          <w:sz w:val="20"/>
          <w:szCs w:val="20"/>
          <w:lang w:val="en-US"/>
        </w:rPr>
        <w:t xml:space="preserve"> for each patient-derived PDO </w:t>
      </w:r>
      <w:r w:rsidR="008F7DC3">
        <w:rPr>
          <w:sz w:val="20"/>
          <w:szCs w:val="20"/>
          <w:lang w:val="en-US"/>
        </w:rPr>
        <w:t xml:space="preserve">model </w:t>
      </w:r>
      <w:r w:rsidR="008F7DC3" w:rsidRPr="008F7DC3">
        <w:rPr>
          <w:sz w:val="20"/>
          <w:szCs w:val="20"/>
          <w:lang w:val="en-US"/>
        </w:rPr>
        <w:t xml:space="preserve">across four experimental readouts: (A) PDO size (µm²), (B) metabolic activity (XTT, raw OD), (C) cytotoxicity (LDH, raw OD), and (D) viability (number of </w:t>
      </w:r>
      <w:proofErr w:type="spellStart"/>
      <w:r w:rsidR="008F7DC3" w:rsidRPr="008F7DC3">
        <w:rPr>
          <w:sz w:val="20"/>
          <w:szCs w:val="20"/>
          <w:lang w:val="en-US"/>
        </w:rPr>
        <w:t>calcein</w:t>
      </w:r>
      <w:proofErr w:type="spellEnd"/>
      <w:r w:rsidR="008F7DC3" w:rsidRPr="008F7DC3">
        <w:rPr>
          <w:sz w:val="20"/>
          <w:szCs w:val="20"/>
          <w:lang w:val="en-US"/>
        </w:rPr>
        <w:t xml:space="preserve">-positive cells). Data are grouped by </w:t>
      </w:r>
      <w:proofErr w:type="gramStart"/>
      <w:r w:rsidR="008F7DC3" w:rsidRPr="008F7DC3">
        <w:rPr>
          <w:sz w:val="20"/>
          <w:szCs w:val="20"/>
          <w:lang w:val="en-US"/>
        </w:rPr>
        <w:t>patient</w:t>
      </w:r>
      <w:proofErr w:type="gramEnd"/>
      <w:r w:rsidR="008F7DC3" w:rsidRPr="008F7DC3">
        <w:rPr>
          <w:sz w:val="20"/>
          <w:szCs w:val="20"/>
          <w:lang w:val="en-US"/>
        </w:rPr>
        <w:t xml:space="preserve"> (EXP1 = Patient 6, EXP2 = Patient 7, EXP3 = Patient 8, EXP4 = Patient 9) and color-coded by treatment condition to </w:t>
      </w:r>
      <w:r w:rsidR="008F7DC3" w:rsidRPr="008F7DC3">
        <w:rPr>
          <w:sz w:val="20"/>
          <w:szCs w:val="20"/>
          <w:lang w:val="en-US"/>
        </w:rPr>
        <w:lastRenderedPageBreak/>
        <w:t>visualize initial inter-patient and inter-condition variability.</w:t>
      </w:r>
      <w:r w:rsidR="008F7DC3">
        <w:rPr>
          <w:sz w:val="20"/>
          <w:szCs w:val="20"/>
          <w:lang w:val="en-US"/>
        </w:rPr>
        <w:t xml:space="preserve"> </w:t>
      </w:r>
      <w:r w:rsidR="008F7DC3" w:rsidRPr="008F7DC3">
        <w:rPr>
          <w:sz w:val="20"/>
          <w:szCs w:val="20"/>
          <w:lang w:val="en-US"/>
        </w:rPr>
        <w:t xml:space="preserve">Middle column (within-patient baseline comparison): Bar plots showing mean ± SD from three technical replicates (N = 3 PDOs per timepoint per treatment concentration for each patient). Statistical analysis compares initial baseline performance within each </w:t>
      </w:r>
      <w:r w:rsidR="008F7DC3">
        <w:rPr>
          <w:sz w:val="20"/>
          <w:szCs w:val="20"/>
          <w:lang w:val="en-US"/>
        </w:rPr>
        <w:t>PDO model</w:t>
      </w:r>
      <w:r w:rsidR="008F7DC3" w:rsidRPr="008F7DC3">
        <w:rPr>
          <w:sz w:val="20"/>
          <w:szCs w:val="20"/>
          <w:lang w:val="en-US"/>
        </w:rPr>
        <w:t>. Two-way ANOVA with Tukey's multiple comparisons test was performed using GraphPad Prism (v10). Significance notation: *p &lt; 0.05, **p &lt; 0.01, ***p &lt; 0.001, ****p &lt; 0.0001; ns = non-significant (p ≥ 0.05).</w:t>
      </w:r>
      <w:r w:rsidR="008F7DC3">
        <w:rPr>
          <w:sz w:val="20"/>
          <w:szCs w:val="20"/>
          <w:lang w:val="en-US"/>
        </w:rPr>
        <w:t xml:space="preserve"> </w:t>
      </w:r>
      <w:r w:rsidR="008F7DC3" w:rsidRPr="008F7DC3">
        <w:rPr>
          <w:sz w:val="20"/>
          <w:szCs w:val="20"/>
          <w:lang w:val="en-US"/>
        </w:rPr>
        <w:t xml:space="preserve">Right column (cross-patient baseline comparison): Bar plots analyzing baseline differences between treatment conditions across all four patient-derived PDO </w:t>
      </w:r>
      <w:r w:rsidR="008F7DC3">
        <w:rPr>
          <w:sz w:val="20"/>
          <w:szCs w:val="20"/>
          <w:lang w:val="en-US"/>
        </w:rPr>
        <w:t>models</w:t>
      </w:r>
      <w:r w:rsidR="008F7DC3" w:rsidRPr="008F7DC3">
        <w:rPr>
          <w:sz w:val="20"/>
          <w:szCs w:val="20"/>
          <w:lang w:val="en-US"/>
        </w:rPr>
        <w:t>. Statistical analysis was performed using two-way ANOVA with Tukey's multiple comparisons test in GraphPad Prism (v10). Significance notation: *p &lt; 0.05, **p &lt; 0.01, ***p &lt; 0.001, ****p &lt; 0.0001; ns = non-significant (p ≥ 0.05).</w:t>
      </w:r>
    </w:p>
    <w:p w14:paraId="413E598F" w14:textId="65F1ADF4" w:rsidR="0052760B" w:rsidRPr="00FE32E9" w:rsidRDefault="0052760B" w:rsidP="0052760B">
      <w:pPr>
        <w:spacing w:line="360" w:lineRule="auto"/>
        <w:rPr>
          <w:sz w:val="20"/>
          <w:szCs w:val="20"/>
          <w:lang w:val="en-US"/>
        </w:rPr>
      </w:pPr>
    </w:p>
    <w:p w14:paraId="239B027C" w14:textId="65A5C285" w:rsidR="00C73D6D" w:rsidRPr="00FE32E9" w:rsidRDefault="00C73D6D" w:rsidP="0052760B">
      <w:pPr>
        <w:spacing w:line="360" w:lineRule="auto"/>
        <w:rPr>
          <w:sz w:val="20"/>
          <w:szCs w:val="20"/>
          <w:lang w:val="en-US"/>
        </w:rPr>
      </w:pPr>
      <w:r w:rsidRPr="00FE32E9">
        <w:rPr>
          <w:b/>
          <w:bCs/>
          <w:i/>
          <w:iCs/>
          <w:noProof/>
          <w:sz w:val="20"/>
          <w:szCs w:val="20"/>
          <w:lang w:val="en-US"/>
        </w:rPr>
        <w:drawing>
          <wp:inline distT="0" distB="0" distL="0" distR="0" wp14:anchorId="00906C64" wp14:editId="4448528D">
            <wp:extent cx="6122670" cy="4985385"/>
            <wp:effectExtent l="0" t="0" r="0" b="5715"/>
            <wp:docPr id="591196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2670" cy="4985385"/>
                    </a:xfrm>
                    <a:prstGeom prst="rect">
                      <a:avLst/>
                    </a:prstGeom>
                    <a:noFill/>
                    <a:ln>
                      <a:noFill/>
                    </a:ln>
                  </pic:spPr>
                </pic:pic>
              </a:graphicData>
            </a:graphic>
          </wp:inline>
        </w:drawing>
      </w:r>
    </w:p>
    <w:p w14:paraId="33AF9BA1" w14:textId="0481EF9C" w:rsidR="0052760B" w:rsidRDefault="000C0636" w:rsidP="00B26E35">
      <w:pPr>
        <w:spacing w:line="276" w:lineRule="auto"/>
        <w:rPr>
          <w:sz w:val="20"/>
          <w:szCs w:val="20"/>
          <w:lang w:val="en-US"/>
        </w:rPr>
      </w:pPr>
      <w:r w:rsidRPr="005C0E43">
        <w:rPr>
          <w:b/>
          <w:bCs/>
          <w:i/>
          <w:iCs/>
          <w:sz w:val="20"/>
          <w:szCs w:val="20"/>
          <w:lang w:val="en-US"/>
        </w:rPr>
        <w:t>Supplementary Figure</w:t>
      </w:r>
      <w:r w:rsidR="0052760B" w:rsidRPr="00FE32E9">
        <w:rPr>
          <w:b/>
          <w:bCs/>
          <w:i/>
          <w:iCs/>
          <w:sz w:val="20"/>
          <w:szCs w:val="20"/>
          <w:lang w:val="en-US"/>
        </w:rPr>
        <w:t xml:space="preserve"> S</w:t>
      </w:r>
      <w:r w:rsidR="005C0E43">
        <w:rPr>
          <w:b/>
          <w:bCs/>
          <w:i/>
          <w:iCs/>
          <w:sz w:val="20"/>
          <w:szCs w:val="20"/>
          <w:lang w:val="en-US"/>
        </w:rPr>
        <w:t>1</w:t>
      </w:r>
      <w:r w:rsidR="009D3DA5">
        <w:rPr>
          <w:b/>
          <w:bCs/>
          <w:i/>
          <w:iCs/>
          <w:sz w:val="20"/>
          <w:szCs w:val="20"/>
          <w:lang w:val="en-US"/>
        </w:rPr>
        <w:t>8</w:t>
      </w:r>
      <w:r w:rsidR="008D4DF0" w:rsidRPr="00FE32E9">
        <w:rPr>
          <w:b/>
          <w:bCs/>
          <w:i/>
          <w:iCs/>
          <w:sz w:val="20"/>
          <w:szCs w:val="20"/>
          <w:lang w:val="en-US"/>
        </w:rPr>
        <w:t>.</w:t>
      </w:r>
      <w:r w:rsidR="0052760B" w:rsidRPr="00FE32E9">
        <w:rPr>
          <w:b/>
          <w:bCs/>
          <w:i/>
          <w:iCs/>
          <w:sz w:val="20"/>
          <w:szCs w:val="20"/>
          <w:lang w:val="en-US"/>
        </w:rPr>
        <w:t xml:space="preserve"> </w:t>
      </w:r>
      <w:r w:rsidR="0052760B" w:rsidRPr="00FE32E9">
        <w:rPr>
          <w:b/>
          <w:bCs/>
          <w:sz w:val="20"/>
          <w:szCs w:val="20"/>
          <w:lang w:val="en-US"/>
        </w:rPr>
        <w:t>Relative spheroid area fold change over 30 days of treatment.</w:t>
      </w:r>
      <w:r w:rsidR="0052760B" w:rsidRPr="00FE32E9">
        <w:rPr>
          <w:sz w:val="20"/>
          <w:szCs w:val="20"/>
          <w:lang w:val="en-US"/>
        </w:rPr>
        <w:t xml:space="preserve"> Bright-field imaging was performed every </w:t>
      </w:r>
      <w:r w:rsidR="00590EE2" w:rsidRPr="00FE32E9">
        <w:rPr>
          <w:sz w:val="20"/>
          <w:szCs w:val="20"/>
          <w:lang w:val="en-US"/>
        </w:rPr>
        <w:t>two to three</w:t>
      </w:r>
      <w:r w:rsidR="0052760B" w:rsidRPr="00FE32E9">
        <w:rPr>
          <w:sz w:val="20"/>
          <w:szCs w:val="20"/>
          <w:lang w:val="en-US"/>
        </w:rPr>
        <w:t xml:space="preserve"> days to assess organoid growth in </w:t>
      </w:r>
      <w:proofErr w:type="gramStart"/>
      <w:r w:rsidR="0052760B" w:rsidRPr="00FE32E9">
        <w:rPr>
          <w:sz w:val="20"/>
          <w:szCs w:val="20"/>
          <w:lang w:val="en-US"/>
        </w:rPr>
        <w:t>A</w:t>
      </w:r>
      <w:r w:rsidR="00C73D6D" w:rsidRPr="00FE32E9">
        <w:rPr>
          <w:sz w:val="20"/>
          <w:szCs w:val="20"/>
          <w:lang w:val="en-US"/>
        </w:rPr>
        <w:t>) patient</w:t>
      </w:r>
      <w:proofErr w:type="gramEnd"/>
      <w:r w:rsidR="0052760B" w:rsidRPr="00FE32E9">
        <w:rPr>
          <w:sz w:val="20"/>
          <w:szCs w:val="20"/>
          <w:lang w:val="en-US"/>
        </w:rPr>
        <w:t xml:space="preserve"> 6, B) </w:t>
      </w:r>
      <w:proofErr w:type="gramStart"/>
      <w:r w:rsidR="00C73D6D" w:rsidRPr="00FE32E9">
        <w:rPr>
          <w:sz w:val="20"/>
          <w:szCs w:val="20"/>
          <w:lang w:val="en-US"/>
        </w:rPr>
        <w:t>patient</w:t>
      </w:r>
      <w:proofErr w:type="gramEnd"/>
      <w:r w:rsidR="0052760B" w:rsidRPr="00FE32E9">
        <w:rPr>
          <w:sz w:val="20"/>
          <w:szCs w:val="20"/>
          <w:lang w:val="en-US"/>
        </w:rPr>
        <w:t xml:space="preserve"> 7, C) </w:t>
      </w:r>
      <w:proofErr w:type="gramStart"/>
      <w:r w:rsidR="00C73D6D" w:rsidRPr="00FE32E9">
        <w:rPr>
          <w:sz w:val="20"/>
          <w:szCs w:val="20"/>
          <w:lang w:val="en-US"/>
        </w:rPr>
        <w:t>patient</w:t>
      </w:r>
      <w:proofErr w:type="gramEnd"/>
      <w:r w:rsidR="0052760B" w:rsidRPr="00FE32E9">
        <w:rPr>
          <w:sz w:val="20"/>
          <w:szCs w:val="20"/>
          <w:lang w:val="en-US"/>
        </w:rPr>
        <w:t xml:space="preserve"> 8 and D) </w:t>
      </w:r>
      <w:proofErr w:type="gramStart"/>
      <w:r w:rsidR="00C73D6D" w:rsidRPr="00FE32E9">
        <w:rPr>
          <w:sz w:val="20"/>
          <w:szCs w:val="20"/>
          <w:lang w:val="en-US"/>
        </w:rPr>
        <w:t>patient</w:t>
      </w:r>
      <w:proofErr w:type="gramEnd"/>
      <w:r w:rsidR="0052760B" w:rsidRPr="00FE32E9">
        <w:rPr>
          <w:sz w:val="20"/>
          <w:szCs w:val="20"/>
          <w:lang w:val="en-US"/>
        </w:rPr>
        <w:t xml:space="preserve"> 9 under increasing concentrations of TMZ (NT, 0,10, 50, 100 µM). The fold change in spheroid area was normalized to baseline measurements of each treatment condition (day 0) and data represent </w:t>
      </w:r>
      <w:r w:rsidR="00590EE2" w:rsidRPr="00FE32E9">
        <w:rPr>
          <w:sz w:val="20"/>
          <w:szCs w:val="20"/>
          <w:lang w:val="en-US"/>
        </w:rPr>
        <w:t>mean</w:t>
      </w:r>
      <w:r w:rsidR="0052760B" w:rsidRPr="00FE32E9">
        <w:rPr>
          <w:sz w:val="20"/>
          <w:szCs w:val="20"/>
          <w:lang w:val="en-US"/>
        </w:rPr>
        <w:t xml:space="preserve"> ± SD </w:t>
      </w:r>
      <w:r w:rsidR="009E74FC" w:rsidRPr="00FE32E9">
        <w:rPr>
          <w:sz w:val="20"/>
          <w:szCs w:val="20"/>
          <w:lang w:val="en-US"/>
        </w:rPr>
        <w:t>of three technical replicates (N = 3 organoids / timepoint / treatment concentration for each patient)</w:t>
      </w:r>
      <w:r w:rsidR="0052760B" w:rsidRPr="00FE32E9">
        <w:rPr>
          <w:sz w:val="20"/>
          <w:szCs w:val="20"/>
          <w:lang w:val="en-US"/>
        </w:rPr>
        <w:t xml:space="preserve">. </w:t>
      </w:r>
    </w:p>
    <w:p w14:paraId="7FBBD60C" w14:textId="77777777" w:rsidR="00623634" w:rsidRDefault="00623634" w:rsidP="0052760B">
      <w:pPr>
        <w:spacing w:line="360" w:lineRule="auto"/>
        <w:rPr>
          <w:sz w:val="20"/>
          <w:szCs w:val="20"/>
          <w:lang w:val="en-US"/>
        </w:rPr>
      </w:pPr>
    </w:p>
    <w:p w14:paraId="69DCCCBA" w14:textId="07D1DB63" w:rsidR="009D3DA5" w:rsidRDefault="00623634" w:rsidP="0052760B">
      <w:pPr>
        <w:spacing w:line="360" w:lineRule="auto"/>
        <w:rPr>
          <w:sz w:val="20"/>
          <w:szCs w:val="20"/>
          <w:lang w:val="en-US"/>
        </w:rPr>
      </w:pPr>
      <w:r>
        <w:rPr>
          <w:noProof/>
          <w:sz w:val="20"/>
          <w:szCs w:val="20"/>
          <w:lang w:val="en-US"/>
        </w:rPr>
        <w:lastRenderedPageBreak/>
        <w:drawing>
          <wp:anchor distT="0" distB="0" distL="114300" distR="114300" simplePos="0" relativeHeight="251667456" behindDoc="0" locked="0" layoutInCell="1" allowOverlap="1" wp14:anchorId="76086005" wp14:editId="7C2BCAA6">
            <wp:simplePos x="0" y="0"/>
            <wp:positionH relativeFrom="page">
              <wp:posOffset>635776</wp:posOffset>
            </wp:positionH>
            <wp:positionV relativeFrom="paragraph">
              <wp:posOffset>-335</wp:posOffset>
            </wp:positionV>
            <wp:extent cx="6116955" cy="1562735"/>
            <wp:effectExtent l="0" t="0" r="0" b="0"/>
            <wp:wrapSquare wrapText="bothSides"/>
            <wp:docPr id="1168783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6955" cy="1562735"/>
                    </a:xfrm>
                    <a:prstGeom prst="rect">
                      <a:avLst/>
                    </a:prstGeom>
                    <a:noFill/>
                    <a:ln>
                      <a:noFill/>
                    </a:ln>
                  </pic:spPr>
                </pic:pic>
              </a:graphicData>
            </a:graphic>
          </wp:anchor>
        </w:drawing>
      </w:r>
    </w:p>
    <w:p w14:paraId="703CBA54" w14:textId="17C51E34" w:rsidR="009D3DA5" w:rsidRPr="00765B17" w:rsidRDefault="009D3DA5" w:rsidP="00B26E35">
      <w:pPr>
        <w:spacing w:line="276" w:lineRule="auto"/>
        <w:rPr>
          <w:lang w:val="en-US"/>
        </w:rPr>
      </w:pPr>
      <w:r w:rsidRPr="00480279">
        <w:rPr>
          <w:b/>
          <w:bCs/>
          <w:i/>
          <w:iCs/>
          <w:lang w:val="en-US"/>
        </w:rPr>
        <w:t xml:space="preserve">Supplementary Figure S19. </w:t>
      </w:r>
      <w:r w:rsidR="00480279" w:rsidRPr="00480279">
        <w:rPr>
          <w:b/>
          <w:bCs/>
          <w:lang w:val="en-US"/>
        </w:rPr>
        <w:t>Long-term cytotoxicity data for PDOs</w:t>
      </w:r>
      <w:r w:rsidRPr="00480279">
        <w:rPr>
          <w:b/>
          <w:bCs/>
          <w:lang w:val="en-US"/>
        </w:rPr>
        <w:t>.</w:t>
      </w:r>
      <w:r w:rsidRPr="00480279">
        <w:rPr>
          <w:lang w:val="en-US"/>
        </w:rPr>
        <w:t xml:space="preserve"> </w:t>
      </w:r>
      <w:r w:rsidRPr="00480279">
        <w:rPr>
          <w:sz w:val="20"/>
          <w:szCs w:val="20"/>
          <w:lang w:val="en-US"/>
        </w:rPr>
        <w:t xml:space="preserve">Cytotoxicity (LDH assay) profiles of the four GBM organoid models, revealing distinct treatment-induced toxicity patterns. Heatmap show </w:t>
      </w:r>
      <w:proofErr w:type="gramStart"/>
      <w:r w:rsidRPr="00480279">
        <w:rPr>
          <w:sz w:val="20"/>
          <w:szCs w:val="20"/>
          <w:lang w:val="en-US"/>
        </w:rPr>
        <w:t>mean</w:t>
      </w:r>
      <w:proofErr w:type="gramEnd"/>
      <w:r w:rsidRPr="00480279">
        <w:rPr>
          <w:sz w:val="20"/>
          <w:szCs w:val="20"/>
          <w:lang w:val="en-US"/>
        </w:rPr>
        <w:t xml:space="preserve"> LDH release (%) calculated from three technical replicates (N = 3 PDOs / timepoint / treatment concentration for each patient).</w:t>
      </w:r>
    </w:p>
    <w:p w14:paraId="442CC61F" w14:textId="57339E8F" w:rsidR="00C73D6D" w:rsidRPr="00FE32E9" w:rsidRDefault="00F75CE1" w:rsidP="0052760B">
      <w:pPr>
        <w:spacing w:line="360" w:lineRule="auto"/>
        <w:rPr>
          <w:sz w:val="20"/>
          <w:szCs w:val="20"/>
          <w:lang w:val="en-US"/>
        </w:rPr>
      </w:pPr>
      <w:r>
        <w:rPr>
          <w:noProof/>
          <w:sz w:val="20"/>
          <w:szCs w:val="20"/>
          <w:lang w:val="en-US"/>
        </w:rPr>
        <w:lastRenderedPageBreak/>
        <w:drawing>
          <wp:inline distT="0" distB="0" distL="0" distR="0" wp14:anchorId="43D242FD" wp14:editId="0029A088">
            <wp:extent cx="6112510" cy="8670925"/>
            <wp:effectExtent l="0" t="0" r="2540" b="0"/>
            <wp:docPr id="4324198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2510" cy="8670925"/>
                    </a:xfrm>
                    <a:prstGeom prst="rect">
                      <a:avLst/>
                    </a:prstGeom>
                    <a:noFill/>
                    <a:ln>
                      <a:noFill/>
                    </a:ln>
                  </pic:spPr>
                </pic:pic>
              </a:graphicData>
            </a:graphic>
          </wp:inline>
        </w:drawing>
      </w:r>
    </w:p>
    <w:p w14:paraId="6186E288" w14:textId="7FEF755F" w:rsidR="00C73D6D" w:rsidRDefault="000C0636" w:rsidP="00B26E35">
      <w:pPr>
        <w:spacing w:line="276" w:lineRule="auto"/>
        <w:rPr>
          <w:sz w:val="20"/>
          <w:szCs w:val="20"/>
          <w:lang w:val="en-US"/>
        </w:rPr>
      </w:pPr>
      <w:r w:rsidRPr="005610A6">
        <w:rPr>
          <w:b/>
          <w:bCs/>
          <w:i/>
          <w:iCs/>
          <w:sz w:val="20"/>
          <w:szCs w:val="20"/>
          <w:lang w:val="en-US"/>
        </w:rPr>
        <w:t>Supplementary Figure</w:t>
      </w:r>
      <w:r w:rsidR="0052760B" w:rsidRPr="005610A6">
        <w:rPr>
          <w:b/>
          <w:bCs/>
          <w:i/>
          <w:iCs/>
          <w:sz w:val="20"/>
          <w:szCs w:val="20"/>
          <w:lang w:val="en-US"/>
        </w:rPr>
        <w:t xml:space="preserve"> S</w:t>
      </w:r>
      <w:r w:rsidR="00765B17">
        <w:rPr>
          <w:b/>
          <w:bCs/>
          <w:i/>
          <w:iCs/>
          <w:sz w:val="20"/>
          <w:szCs w:val="20"/>
          <w:lang w:val="en-US"/>
        </w:rPr>
        <w:t>20</w:t>
      </w:r>
      <w:r w:rsidR="008D4DF0" w:rsidRPr="00FE32E9">
        <w:rPr>
          <w:b/>
          <w:bCs/>
          <w:i/>
          <w:iCs/>
          <w:sz w:val="20"/>
          <w:szCs w:val="20"/>
          <w:lang w:val="en-US"/>
        </w:rPr>
        <w:t>.</w:t>
      </w:r>
      <w:r w:rsidR="0052760B" w:rsidRPr="00FE32E9">
        <w:rPr>
          <w:b/>
          <w:bCs/>
          <w:i/>
          <w:iCs/>
          <w:sz w:val="20"/>
          <w:szCs w:val="20"/>
          <w:lang w:val="en-US"/>
        </w:rPr>
        <w:t xml:space="preserve"> </w:t>
      </w:r>
      <w:r w:rsidR="003962A2" w:rsidRPr="00FE32E9">
        <w:rPr>
          <w:b/>
          <w:bCs/>
          <w:sz w:val="20"/>
          <w:szCs w:val="20"/>
          <w:lang w:val="en-US"/>
        </w:rPr>
        <w:t xml:space="preserve">Capturing treatment effects at end of </w:t>
      </w:r>
      <w:proofErr w:type="spellStart"/>
      <w:r w:rsidR="003962A2" w:rsidRPr="00FE32E9">
        <w:rPr>
          <w:b/>
          <w:bCs/>
          <w:sz w:val="20"/>
          <w:szCs w:val="20"/>
          <w:lang w:val="en-US"/>
        </w:rPr>
        <w:t>GliaMimic</w:t>
      </w:r>
      <w:proofErr w:type="spellEnd"/>
      <w:r w:rsidR="003962A2" w:rsidRPr="00FE32E9">
        <w:rPr>
          <w:b/>
          <w:bCs/>
          <w:sz w:val="20"/>
          <w:szCs w:val="20"/>
          <w:lang w:val="en-US"/>
        </w:rPr>
        <w:t xml:space="preserve"> treatment in PDOs.</w:t>
      </w:r>
      <w:r w:rsidR="003962A2" w:rsidRPr="00FE32E9">
        <w:rPr>
          <w:sz w:val="20"/>
          <w:szCs w:val="20"/>
          <w:lang w:val="en-US"/>
        </w:rPr>
        <w:t xml:space="preserve"> </w:t>
      </w:r>
      <w:r w:rsidR="0052760B" w:rsidRPr="00FE32E9">
        <w:rPr>
          <w:sz w:val="20"/>
          <w:szCs w:val="20"/>
          <w:lang w:val="en-US"/>
        </w:rPr>
        <w:t xml:space="preserve">Bar plots comparing the effects of </w:t>
      </w:r>
      <w:proofErr w:type="spellStart"/>
      <w:r w:rsidR="0052760B" w:rsidRPr="00FE32E9">
        <w:rPr>
          <w:sz w:val="20"/>
          <w:szCs w:val="20"/>
          <w:lang w:val="en-US"/>
        </w:rPr>
        <w:t>GliaMimic</w:t>
      </w:r>
      <w:proofErr w:type="spellEnd"/>
      <w:r w:rsidR="0052760B" w:rsidRPr="00FE32E9">
        <w:rPr>
          <w:sz w:val="20"/>
          <w:szCs w:val="20"/>
          <w:lang w:val="en-US"/>
        </w:rPr>
        <w:t xml:space="preserve"> treatment across A) GBM organoid size, B) metabolic activity (XTT assay), C) viable cell fraction (</w:t>
      </w:r>
      <w:proofErr w:type="spellStart"/>
      <w:r w:rsidR="0052760B" w:rsidRPr="00FE32E9">
        <w:rPr>
          <w:sz w:val="20"/>
          <w:szCs w:val="20"/>
          <w:lang w:val="en-US"/>
        </w:rPr>
        <w:t>calcein</w:t>
      </w:r>
      <w:proofErr w:type="spellEnd"/>
      <w:r w:rsidR="009E74FC" w:rsidRPr="00FE32E9">
        <w:rPr>
          <w:sz w:val="20"/>
          <w:szCs w:val="20"/>
          <w:lang w:val="en-US"/>
        </w:rPr>
        <w:t>+</w:t>
      </w:r>
      <w:r w:rsidR="0052760B" w:rsidRPr="00FE32E9">
        <w:rPr>
          <w:sz w:val="20"/>
          <w:szCs w:val="20"/>
          <w:lang w:val="en-US"/>
        </w:rPr>
        <w:t>), D) necrotic cell fraction (PI+), E) cytotoxicity (LDH release)</w:t>
      </w:r>
      <w:r w:rsidR="003962A2" w:rsidRPr="00FE32E9">
        <w:rPr>
          <w:sz w:val="20"/>
          <w:szCs w:val="20"/>
          <w:lang w:val="en-US"/>
        </w:rPr>
        <w:t xml:space="preserve"> </w:t>
      </w:r>
      <w:r w:rsidR="0052760B" w:rsidRPr="00FE32E9">
        <w:rPr>
          <w:sz w:val="20"/>
          <w:szCs w:val="20"/>
          <w:lang w:val="en-US"/>
        </w:rPr>
        <w:t>at the end of treatment (day 17) in patient-derived organoids from 4 different patients. Bar plots are representing mean ± SD</w:t>
      </w:r>
      <w:r w:rsidR="009E74FC" w:rsidRPr="00FE32E9">
        <w:rPr>
          <w:sz w:val="20"/>
          <w:szCs w:val="20"/>
          <w:lang w:val="en-US"/>
        </w:rPr>
        <w:t xml:space="preserve"> </w:t>
      </w:r>
      <w:r w:rsidR="009E74FC" w:rsidRPr="00FE32E9">
        <w:rPr>
          <w:sz w:val="20"/>
          <w:szCs w:val="20"/>
          <w:lang w:val="en-US"/>
        </w:rPr>
        <w:lastRenderedPageBreak/>
        <w:t>calculated from three technical replicates (N = 3 PDOs / timepoint / treatment concentration for each patient)</w:t>
      </w:r>
      <w:r w:rsidR="0052760B" w:rsidRPr="00FE32E9">
        <w:rPr>
          <w:sz w:val="20"/>
          <w:szCs w:val="20"/>
          <w:lang w:val="en-US"/>
        </w:rPr>
        <w:t xml:space="preserve">. Treatment conditions (0, 10, 50, 100 </w:t>
      </w:r>
      <w:r w:rsidR="0052760B" w:rsidRPr="00FE32E9">
        <w:rPr>
          <w:sz w:val="20"/>
          <w:szCs w:val="20"/>
        </w:rPr>
        <w:t>μ</w:t>
      </w:r>
      <w:r w:rsidR="0052760B" w:rsidRPr="00FE32E9">
        <w:rPr>
          <w:sz w:val="20"/>
          <w:szCs w:val="20"/>
          <w:lang w:val="en-US"/>
        </w:rPr>
        <w:t xml:space="preserve">M TMZ) were compared to the no treatment (NT) control. </w:t>
      </w:r>
      <w:r w:rsidR="003962A2" w:rsidRPr="00FE32E9">
        <w:rPr>
          <w:sz w:val="20"/>
          <w:szCs w:val="20"/>
          <w:lang w:val="en-US"/>
        </w:rPr>
        <w:t>Statistical analysis was performed using Kruskal-</w:t>
      </w:r>
      <w:proofErr w:type="gramStart"/>
      <w:r w:rsidR="003962A2" w:rsidRPr="00FE32E9">
        <w:rPr>
          <w:sz w:val="20"/>
          <w:szCs w:val="20"/>
          <w:lang w:val="en-US"/>
        </w:rPr>
        <w:t>Wallis</w:t>
      </w:r>
      <w:proofErr w:type="gramEnd"/>
      <w:r w:rsidR="003962A2" w:rsidRPr="00FE32E9">
        <w:rPr>
          <w:sz w:val="20"/>
          <w:szCs w:val="20"/>
          <w:lang w:val="en-US"/>
        </w:rPr>
        <w:t xml:space="preserve"> test followed by Dunn's multiple comparisons test in GraphPad Prism (v10, GraphPad Software). </w:t>
      </w:r>
      <w:r w:rsidR="00C73D6D" w:rsidRPr="00FE32E9">
        <w:rPr>
          <w:sz w:val="20"/>
          <w:szCs w:val="20"/>
          <w:lang w:val="en-US"/>
        </w:rPr>
        <w:t xml:space="preserve"> All results are presented as bar plots with the following significance notation: *p &lt; 0.05, **p &lt; 0.01, ***p &lt; 0.001, and ****p &lt; 0.0001; non-significant differences (p ≥ 0.05).</w:t>
      </w:r>
    </w:p>
    <w:p w14:paraId="5C989371" w14:textId="77777777" w:rsidR="00765B17" w:rsidRDefault="00765B17" w:rsidP="00B26E35">
      <w:pPr>
        <w:spacing w:line="276" w:lineRule="auto"/>
        <w:rPr>
          <w:sz w:val="20"/>
          <w:szCs w:val="20"/>
          <w:lang w:val="en-US"/>
        </w:rPr>
      </w:pPr>
    </w:p>
    <w:p w14:paraId="214A6CB1" w14:textId="77777777" w:rsidR="00623634" w:rsidRDefault="00623634" w:rsidP="00C73D6D">
      <w:pPr>
        <w:spacing w:line="360" w:lineRule="auto"/>
        <w:rPr>
          <w:sz w:val="20"/>
          <w:szCs w:val="20"/>
          <w:lang w:val="en-US"/>
        </w:rPr>
      </w:pPr>
    </w:p>
    <w:p w14:paraId="1F0CAFDF" w14:textId="2890B42C" w:rsidR="00F75CE1" w:rsidRDefault="00F75CE1" w:rsidP="00C73D6D">
      <w:pPr>
        <w:spacing w:line="360" w:lineRule="auto"/>
        <w:rPr>
          <w:sz w:val="20"/>
          <w:szCs w:val="20"/>
          <w:lang w:val="en-US"/>
        </w:rPr>
      </w:pPr>
      <w:r>
        <w:rPr>
          <w:noProof/>
          <w:sz w:val="20"/>
          <w:szCs w:val="20"/>
          <w:lang w:val="en-US"/>
        </w:rPr>
        <w:drawing>
          <wp:inline distT="0" distB="0" distL="0" distR="0" wp14:anchorId="00A03704" wp14:editId="483A505B">
            <wp:extent cx="6112510" cy="1630680"/>
            <wp:effectExtent l="0" t="0" r="2540" b="7620"/>
            <wp:docPr id="1585067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2510" cy="1630680"/>
                    </a:xfrm>
                    <a:prstGeom prst="rect">
                      <a:avLst/>
                    </a:prstGeom>
                    <a:noFill/>
                    <a:ln>
                      <a:noFill/>
                    </a:ln>
                  </pic:spPr>
                </pic:pic>
              </a:graphicData>
            </a:graphic>
          </wp:inline>
        </w:drawing>
      </w:r>
    </w:p>
    <w:p w14:paraId="4605F322" w14:textId="1C750CFD" w:rsidR="00480279" w:rsidRDefault="00765B17" w:rsidP="00B26E35">
      <w:pPr>
        <w:spacing w:line="276" w:lineRule="auto"/>
        <w:rPr>
          <w:sz w:val="20"/>
          <w:szCs w:val="20"/>
          <w:lang w:val="en-US"/>
        </w:rPr>
      </w:pPr>
      <w:r w:rsidRPr="00480279">
        <w:rPr>
          <w:b/>
          <w:bCs/>
          <w:i/>
          <w:iCs/>
          <w:sz w:val="20"/>
          <w:szCs w:val="20"/>
          <w:lang w:val="en-US"/>
        </w:rPr>
        <w:t xml:space="preserve">Supplementary Figure S21. </w:t>
      </w:r>
      <w:r w:rsidR="00480279" w:rsidRPr="00480279">
        <w:rPr>
          <w:b/>
          <w:bCs/>
          <w:sz w:val="20"/>
          <w:szCs w:val="20"/>
          <w:lang w:val="en-US"/>
        </w:rPr>
        <w:t>Absolute values for post-treatment fold chance interpretation</w:t>
      </w:r>
      <w:r w:rsidRPr="00480279">
        <w:rPr>
          <w:b/>
          <w:bCs/>
          <w:sz w:val="20"/>
          <w:szCs w:val="20"/>
          <w:lang w:val="en-US"/>
        </w:rPr>
        <w:t>.</w:t>
      </w:r>
      <w:r w:rsidRPr="00480279">
        <w:rPr>
          <w:sz w:val="20"/>
          <w:szCs w:val="20"/>
          <w:lang w:val="en-US"/>
        </w:rPr>
        <w:t xml:space="preserve"> </w:t>
      </w:r>
      <w:r w:rsidR="00480279" w:rsidRPr="00480279">
        <w:rPr>
          <w:sz w:val="20"/>
          <w:szCs w:val="20"/>
          <w:lang w:val="en-US"/>
        </w:rPr>
        <w:t>A) Shown are the absolute values at the end of treatment (d17) versus those after the treatment break (d30) for PDO size alterations, metabolic activity, and viability post-treatment in 4 different patient-derived PDO models.</w:t>
      </w:r>
    </w:p>
    <w:p w14:paraId="3CC84250" w14:textId="6D4D306C" w:rsidR="00765B17" w:rsidRPr="00765B17" w:rsidRDefault="00765B17" w:rsidP="00C73D6D">
      <w:pPr>
        <w:spacing w:line="360" w:lineRule="auto"/>
        <w:rPr>
          <w:lang w:val="en-US"/>
        </w:rPr>
      </w:pPr>
    </w:p>
    <w:p w14:paraId="4501BCAA" w14:textId="12364056" w:rsidR="00C73D6D" w:rsidRPr="00FE32E9" w:rsidRDefault="00F40324" w:rsidP="00C73D6D">
      <w:pPr>
        <w:spacing w:line="360" w:lineRule="auto"/>
        <w:rPr>
          <w:sz w:val="20"/>
          <w:szCs w:val="20"/>
          <w:lang w:val="en-US"/>
        </w:rPr>
      </w:pPr>
      <w:r>
        <w:rPr>
          <w:noProof/>
          <w:sz w:val="20"/>
          <w:szCs w:val="20"/>
          <w:lang w:val="en-US"/>
        </w:rPr>
        <w:lastRenderedPageBreak/>
        <w:drawing>
          <wp:inline distT="0" distB="0" distL="0" distR="0" wp14:anchorId="105A9F66" wp14:editId="464EDF1C">
            <wp:extent cx="6112510" cy="8288020"/>
            <wp:effectExtent l="0" t="0" r="2540" b="0"/>
            <wp:docPr id="16880750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2510" cy="8288020"/>
                    </a:xfrm>
                    <a:prstGeom prst="rect">
                      <a:avLst/>
                    </a:prstGeom>
                    <a:noFill/>
                    <a:ln>
                      <a:noFill/>
                    </a:ln>
                  </pic:spPr>
                </pic:pic>
              </a:graphicData>
            </a:graphic>
          </wp:inline>
        </w:drawing>
      </w:r>
    </w:p>
    <w:p w14:paraId="46A38B88" w14:textId="0CC59EAD" w:rsidR="0052760B" w:rsidRPr="00FE32E9" w:rsidRDefault="000C0636" w:rsidP="00B26E35">
      <w:pPr>
        <w:spacing w:line="276" w:lineRule="auto"/>
        <w:rPr>
          <w:sz w:val="20"/>
          <w:szCs w:val="20"/>
          <w:lang w:val="en-US"/>
        </w:rPr>
      </w:pPr>
      <w:r w:rsidRPr="002B6679">
        <w:rPr>
          <w:b/>
          <w:bCs/>
          <w:i/>
          <w:iCs/>
          <w:sz w:val="20"/>
          <w:szCs w:val="20"/>
          <w:lang w:val="en-US"/>
        </w:rPr>
        <w:t>Supplementary Figure</w:t>
      </w:r>
      <w:r w:rsidR="0052760B" w:rsidRPr="00FE32E9">
        <w:rPr>
          <w:b/>
          <w:bCs/>
          <w:i/>
          <w:iCs/>
          <w:sz w:val="20"/>
          <w:szCs w:val="20"/>
          <w:lang w:val="en-US"/>
        </w:rPr>
        <w:t xml:space="preserve"> S</w:t>
      </w:r>
      <w:r w:rsidR="00F75CE1">
        <w:rPr>
          <w:b/>
          <w:bCs/>
          <w:i/>
          <w:iCs/>
          <w:sz w:val="20"/>
          <w:szCs w:val="20"/>
          <w:lang w:val="en-US"/>
        </w:rPr>
        <w:t>22.</w:t>
      </w:r>
      <w:r w:rsidR="0052760B" w:rsidRPr="00FE32E9">
        <w:rPr>
          <w:b/>
          <w:bCs/>
          <w:i/>
          <w:iCs/>
          <w:sz w:val="20"/>
          <w:szCs w:val="20"/>
          <w:lang w:val="en-US"/>
        </w:rPr>
        <w:t xml:space="preserve"> </w:t>
      </w:r>
      <w:r w:rsidR="0052760B" w:rsidRPr="00FE32E9">
        <w:rPr>
          <w:b/>
          <w:bCs/>
          <w:sz w:val="20"/>
          <w:szCs w:val="20"/>
          <w:lang w:val="en-US"/>
        </w:rPr>
        <w:t xml:space="preserve">Evaluation of </w:t>
      </w:r>
      <w:proofErr w:type="spellStart"/>
      <w:r w:rsidR="0052760B" w:rsidRPr="00FE32E9">
        <w:rPr>
          <w:b/>
          <w:bCs/>
          <w:sz w:val="20"/>
          <w:szCs w:val="20"/>
          <w:lang w:val="en-US"/>
        </w:rPr>
        <w:t>GliaMimic</w:t>
      </w:r>
      <w:proofErr w:type="spellEnd"/>
      <w:r w:rsidR="0052760B" w:rsidRPr="00FE32E9">
        <w:rPr>
          <w:b/>
          <w:bCs/>
          <w:sz w:val="20"/>
          <w:szCs w:val="20"/>
          <w:lang w:val="en-US"/>
        </w:rPr>
        <w:t xml:space="preserve"> treatment discontinuation and </w:t>
      </w:r>
      <w:r w:rsidR="00F75CE1">
        <w:rPr>
          <w:b/>
          <w:bCs/>
          <w:sz w:val="20"/>
          <w:szCs w:val="20"/>
          <w:lang w:val="en-US"/>
        </w:rPr>
        <w:t>post-treatment dynamics</w:t>
      </w:r>
      <w:r w:rsidR="0052760B" w:rsidRPr="00FE32E9">
        <w:rPr>
          <w:b/>
          <w:bCs/>
          <w:sz w:val="20"/>
          <w:szCs w:val="20"/>
          <w:lang w:val="en-US"/>
        </w:rPr>
        <w:t xml:space="preserve"> in GBM </w:t>
      </w:r>
      <w:r w:rsidR="00F75CE1">
        <w:rPr>
          <w:b/>
          <w:bCs/>
          <w:sz w:val="20"/>
          <w:szCs w:val="20"/>
          <w:lang w:val="en-US"/>
        </w:rPr>
        <w:t>PDOs</w:t>
      </w:r>
      <w:r w:rsidR="0052760B" w:rsidRPr="00FE32E9">
        <w:rPr>
          <w:b/>
          <w:bCs/>
          <w:sz w:val="20"/>
          <w:szCs w:val="20"/>
          <w:lang w:val="en-US"/>
        </w:rPr>
        <w:t>.</w:t>
      </w:r>
      <w:r w:rsidR="0052760B" w:rsidRPr="00FE32E9">
        <w:rPr>
          <w:sz w:val="20"/>
          <w:szCs w:val="20"/>
          <w:lang w:val="en-US"/>
        </w:rPr>
        <w:t xml:space="preserve"> Bar plots depict</w:t>
      </w:r>
      <w:r w:rsidR="008D4DF0" w:rsidRPr="00FE32E9">
        <w:rPr>
          <w:sz w:val="20"/>
          <w:szCs w:val="20"/>
          <w:lang w:val="en-US"/>
        </w:rPr>
        <w:t xml:space="preserve"> A)</w:t>
      </w:r>
      <w:r w:rsidR="0052760B" w:rsidRPr="00FE32E9">
        <w:rPr>
          <w:sz w:val="20"/>
          <w:szCs w:val="20"/>
          <w:lang w:val="en-US"/>
        </w:rPr>
        <w:t xml:space="preserve"> patient-derived organoid area, B) metabolic activity (XTT assay), and</w:t>
      </w:r>
      <w:r w:rsidR="009E74FC" w:rsidRPr="00FE32E9">
        <w:rPr>
          <w:sz w:val="20"/>
          <w:szCs w:val="20"/>
          <w:lang w:val="en-US"/>
        </w:rPr>
        <w:t xml:space="preserve"> </w:t>
      </w:r>
      <w:r w:rsidR="0052760B" w:rsidRPr="00FE32E9">
        <w:rPr>
          <w:sz w:val="20"/>
          <w:szCs w:val="20"/>
          <w:lang w:val="en-US"/>
        </w:rPr>
        <w:t>C) viable cell fraction (</w:t>
      </w:r>
      <w:proofErr w:type="spellStart"/>
      <w:r w:rsidR="0052760B" w:rsidRPr="00FE32E9">
        <w:rPr>
          <w:sz w:val="20"/>
          <w:szCs w:val="20"/>
          <w:lang w:val="en-US"/>
        </w:rPr>
        <w:t>calcein</w:t>
      </w:r>
      <w:proofErr w:type="spellEnd"/>
      <w:r w:rsidR="0052760B" w:rsidRPr="00FE32E9">
        <w:rPr>
          <w:sz w:val="20"/>
          <w:szCs w:val="20"/>
          <w:lang w:val="en-US"/>
        </w:rPr>
        <w:t xml:space="preserve"> AM+)</w:t>
      </w:r>
      <w:r w:rsidR="004A29CC" w:rsidRPr="00FE32E9">
        <w:rPr>
          <w:sz w:val="20"/>
          <w:szCs w:val="20"/>
          <w:lang w:val="en-US"/>
        </w:rPr>
        <w:t>.</w:t>
      </w:r>
      <w:r w:rsidR="0052760B" w:rsidRPr="00FE32E9">
        <w:rPr>
          <w:sz w:val="20"/>
          <w:szCs w:val="20"/>
          <w:lang w:val="en-US"/>
        </w:rPr>
        <w:t xml:space="preserve"> GBM </w:t>
      </w:r>
      <w:r w:rsidR="004A29CC" w:rsidRPr="00FE32E9">
        <w:rPr>
          <w:sz w:val="20"/>
          <w:szCs w:val="20"/>
          <w:lang w:val="en-US"/>
        </w:rPr>
        <w:t>PDOs</w:t>
      </w:r>
      <w:r w:rsidR="0052760B" w:rsidRPr="00FE32E9">
        <w:rPr>
          <w:sz w:val="20"/>
          <w:szCs w:val="20"/>
          <w:lang w:val="en-US"/>
        </w:rPr>
        <w:t xml:space="preserve"> derived from </w:t>
      </w:r>
      <w:r w:rsidR="004A29CC" w:rsidRPr="00FE32E9">
        <w:rPr>
          <w:sz w:val="20"/>
          <w:szCs w:val="20"/>
          <w:lang w:val="en-US"/>
        </w:rPr>
        <w:t>four</w:t>
      </w:r>
      <w:r w:rsidR="0052760B" w:rsidRPr="00FE32E9">
        <w:rPr>
          <w:sz w:val="20"/>
          <w:szCs w:val="20"/>
          <w:lang w:val="en-US"/>
        </w:rPr>
        <w:t xml:space="preserve"> patients at the end of treatment (day 17) and after </w:t>
      </w:r>
      <w:r w:rsidR="004A29CC" w:rsidRPr="00FE32E9">
        <w:rPr>
          <w:sz w:val="20"/>
          <w:szCs w:val="20"/>
          <w:lang w:val="en-US"/>
        </w:rPr>
        <w:t>two</w:t>
      </w:r>
      <w:r w:rsidR="0052760B" w:rsidRPr="00FE32E9">
        <w:rPr>
          <w:sz w:val="20"/>
          <w:szCs w:val="20"/>
          <w:lang w:val="en-US"/>
        </w:rPr>
        <w:t xml:space="preserve"> weeks of discontinuation (day 30, </w:t>
      </w:r>
      <w:r w:rsidR="00F75CE1">
        <w:rPr>
          <w:sz w:val="20"/>
          <w:szCs w:val="20"/>
          <w:lang w:val="en-US"/>
        </w:rPr>
        <w:t>post-treatment</w:t>
      </w:r>
      <w:r w:rsidR="0052760B" w:rsidRPr="00FE32E9">
        <w:rPr>
          <w:sz w:val="20"/>
          <w:szCs w:val="20"/>
          <w:lang w:val="en-US"/>
        </w:rPr>
        <w:t xml:space="preserve"> timepoint). Data </w:t>
      </w:r>
      <w:proofErr w:type="gramStart"/>
      <w:r w:rsidR="0052760B" w:rsidRPr="00FE32E9">
        <w:rPr>
          <w:sz w:val="20"/>
          <w:szCs w:val="20"/>
          <w:lang w:val="en-US"/>
        </w:rPr>
        <w:t>represent</w:t>
      </w:r>
      <w:r w:rsidR="004A29CC" w:rsidRPr="00FE32E9">
        <w:rPr>
          <w:sz w:val="20"/>
          <w:szCs w:val="20"/>
          <w:lang w:val="en-US"/>
        </w:rPr>
        <w:t>s</w:t>
      </w:r>
      <w:r w:rsidR="0052760B" w:rsidRPr="00FE32E9">
        <w:rPr>
          <w:sz w:val="20"/>
          <w:szCs w:val="20"/>
          <w:lang w:val="en-US"/>
        </w:rPr>
        <w:t xml:space="preserve"> mean ±</w:t>
      </w:r>
      <w:proofErr w:type="gramEnd"/>
      <w:r w:rsidR="0052760B" w:rsidRPr="00FE32E9">
        <w:rPr>
          <w:sz w:val="20"/>
          <w:szCs w:val="20"/>
          <w:lang w:val="en-US"/>
        </w:rPr>
        <w:t xml:space="preserve"> SD</w:t>
      </w:r>
      <w:r w:rsidR="009E74FC" w:rsidRPr="00FE32E9">
        <w:rPr>
          <w:sz w:val="20"/>
          <w:szCs w:val="20"/>
          <w:lang w:val="en-US"/>
        </w:rPr>
        <w:t xml:space="preserve"> and </w:t>
      </w:r>
      <w:r w:rsidR="009E74FC" w:rsidRPr="00FE32E9">
        <w:rPr>
          <w:sz w:val="20"/>
          <w:szCs w:val="20"/>
          <w:lang w:val="en-US"/>
        </w:rPr>
        <w:lastRenderedPageBreak/>
        <w:t>were calculated from three technical replicates (N = 3 PDOs / timepoint / treatment concentration for each patient)</w:t>
      </w:r>
      <w:r w:rsidR="0052760B" w:rsidRPr="00FE32E9">
        <w:rPr>
          <w:sz w:val="20"/>
          <w:szCs w:val="20"/>
          <w:lang w:val="en-US"/>
        </w:rPr>
        <w:t xml:space="preserve">. </w:t>
      </w:r>
    </w:p>
    <w:p w14:paraId="0A4BDAA5" w14:textId="5970E15B" w:rsidR="00C73D6D" w:rsidRPr="00FE32E9" w:rsidRDefault="00C73D6D" w:rsidP="00B26E35">
      <w:pPr>
        <w:spacing w:line="276" w:lineRule="auto"/>
        <w:rPr>
          <w:sz w:val="20"/>
          <w:szCs w:val="20"/>
          <w:lang w:val="en-US"/>
        </w:rPr>
      </w:pPr>
    </w:p>
    <w:p w14:paraId="33E5DA49" w14:textId="77777777" w:rsidR="0052760B" w:rsidRDefault="0052760B" w:rsidP="00F12F19">
      <w:pPr>
        <w:rPr>
          <w:rFonts w:asciiTheme="majorHAnsi" w:eastAsiaTheme="majorEastAsia" w:hAnsiTheme="majorHAnsi" w:cstheme="majorBidi"/>
          <w:b/>
          <w:bCs/>
          <w:spacing w:val="-7"/>
          <w:sz w:val="20"/>
          <w:szCs w:val="20"/>
          <w:lang w:val="en-US"/>
        </w:rPr>
      </w:pPr>
    </w:p>
    <w:p w14:paraId="6113E296" w14:textId="77777777" w:rsidR="00480279" w:rsidRDefault="00480279" w:rsidP="00F12F19">
      <w:pPr>
        <w:rPr>
          <w:rFonts w:asciiTheme="majorHAnsi" w:eastAsiaTheme="majorEastAsia" w:hAnsiTheme="majorHAnsi" w:cstheme="majorBidi"/>
          <w:b/>
          <w:bCs/>
          <w:spacing w:val="-7"/>
          <w:sz w:val="20"/>
          <w:szCs w:val="20"/>
          <w:lang w:val="en-US"/>
        </w:rPr>
      </w:pPr>
    </w:p>
    <w:p w14:paraId="603C5F97" w14:textId="77777777" w:rsidR="00480279" w:rsidRDefault="00480279" w:rsidP="00F12F19">
      <w:pPr>
        <w:rPr>
          <w:rFonts w:asciiTheme="majorHAnsi" w:eastAsiaTheme="majorEastAsia" w:hAnsiTheme="majorHAnsi" w:cstheme="majorBidi"/>
          <w:b/>
          <w:bCs/>
          <w:spacing w:val="-7"/>
          <w:sz w:val="20"/>
          <w:szCs w:val="20"/>
          <w:lang w:val="en-US"/>
        </w:rPr>
      </w:pPr>
    </w:p>
    <w:p w14:paraId="47841409" w14:textId="77777777" w:rsidR="00480279" w:rsidRDefault="00480279" w:rsidP="00F12F19">
      <w:pPr>
        <w:rPr>
          <w:rFonts w:asciiTheme="majorHAnsi" w:eastAsiaTheme="majorEastAsia" w:hAnsiTheme="majorHAnsi" w:cstheme="majorBidi"/>
          <w:b/>
          <w:bCs/>
          <w:spacing w:val="-7"/>
          <w:sz w:val="20"/>
          <w:szCs w:val="20"/>
          <w:lang w:val="en-US"/>
        </w:rPr>
      </w:pPr>
    </w:p>
    <w:p w14:paraId="481C4444" w14:textId="77777777" w:rsidR="00480279" w:rsidRDefault="00480279" w:rsidP="00F12F19">
      <w:pPr>
        <w:rPr>
          <w:rFonts w:asciiTheme="majorHAnsi" w:eastAsiaTheme="majorEastAsia" w:hAnsiTheme="majorHAnsi" w:cstheme="majorBidi"/>
          <w:b/>
          <w:bCs/>
          <w:spacing w:val="-7"/>
          <w:sz w:val="20"/>
          <w:szCs w:val="20"/>
          <w:lang w:val="en-US"/>
        </w:rPr>
      </w:pPr>
    </w:p>
    <w:p w14:paraId="7B96D3AC" w14:textId="77777777" w:rsidR="00480279" w:rsidRDefault="00480279" w:rsidP="00F12F19">
      <w:pPr>
        <w:rPr>
          <w:rFonts w:asciiTheme="majorHAnsi" w:eastAsiaTheme="majorEastAsia" w:hAnsiTheme="majorHAnsi" w:cstheme="majorBidi"/>
          <w:b/>
          <w:bCs/>
          <w:spacing w:val="-7"/>
          <w:sz w:val="20"/>
          <w:szCs w:val="20"/>
          <w:lang w:val="en-US"/>
        </w:rPr>
      </w:pPr>
    </w:p>
    <w:p w14:paraId="6F370F9C" w14:textId="77777777" w:rsidR="00480279" w:rsidRDefault="00480279" w:rsidP="00F12F19">
      <w:pPr>
        <w:rPr>
          <w:rFonts w:asciiTheme="majorHAnsi" w:eastAsiaTheme="majorEastAsia" w:hAnsiTheme="majorHAnsi" w:cstheme="majorBidi"/>
          <w:b/>
          <w:bCs/>
          <w:spacing w:val="-7"/>
          <w:sz w:val="20"/>
          <w:szCs w:val="20"/>
          <w:lang w:val="en-US"/>
        </w:rPr>
      </w:pPr>
    </w:p>
    <w:p w14:paraId="58027205" w14:textId="77777777" w:rsidR="00480279" w:rsidRDefault="00480279" w:rsidP="00F12F19">
      <w:pPr>
        <w:rPr>
          <w:rFonts w:asciiTheme="majorHAnsi" w:eastAsiaTheme="majorEastAsia" w:hAnsiTheme="majorHAnsi" w:cstheme="majorBidi"/>
          <w:b/>
          <w:bCs/>
          <w:spacing w:val="-7"/>
          <w:sz w:val="20"/>
          <w:szCs w:val="20"/>
          <w:lang w:val="en-US"/>
        </w:rPr>
      </w:pPr>
    </w:p>
    <w:p w14:paraId="0BC53321" w14:textId="77777777" w:rsidR="00480279" w:rsidRDefault="00480279" w:rsidP="00F12F19">
      <w:pPr>
        <w:rPr>
          <w:rFonts w:asciiTheme="majorHAnsi" w:eastAsiaTheme="majorEastAsia" w:hAnsiTheme="majorHAnsi" w:cstheme="majorBidi"/>
          <w:b/>
          <w:bCs/>
          <w:spacing w:val="-7"/>
          <w:sz w:val="20"/>
          <w:szCs w:val="20"/>
          <w:lang w:val="en-US"/>
        </w:rPr>
      </w:pPr>
    </w:p>
    <w:p w14:paraId="2978CD30" w14:textId="77777777" w:rsidR="00480279" w:rsidRDefault="00480279" w:rsidP="00F12F19">
      <w:pPr>
        <w:rPr>
          <w:rFonts w:asciiTheme="majorHAnsi" w:eastAsiaTheme="majorEastAsia" w:hAnsiTheme="majorHAnsi" w:cstheme="majorBidi"/>
          <w:b/>
          <w:bCs/>
          <w:spacing w:val="-7"/>
          <w:sz w:val="20"/>
          <w:szCs w:val="20"/>
          <w:lang w:val="en-US"/>
        </w:rPr>
      </w:pPr>
    </w:p>
    <w:p w14:paraId="207C92F2" w14:textId="77777777" w:rsidR="00480279" w:rsidRDefault="00480279" w:rsidP="00F12F19">
      <w:pPr>
        <w:rPr>
          <w:rFonts w:asciiTheme="majorHAnsi" w:eastAsiaTheme="majorEastAsia" w:hAnsiTheme="majorHAnsi" w:cstheme="majorBidi"/>
          <w:b/>
          <w:bCs/>
          <w:spacing w:val="-7"/>
          <w:sz w:val="20"/>
          <w:szCs w:val="20"/>
          <w:lang w:val="en-US"/>
        </w:rPr>
      </w:pPr>
    </w:p>
    <w:p w14:paraId="10CF1E15" w14:textId="77777777" w:rsidR="00480279" w:rsidRDefault="00480279" w:rsidP="00F12F19">
      <w:pPr>
        <w:rPr>
          <w:rFonts w:asciiTheme="majorHAnsi" w:eastAsiaTheme="majorEastAsia" w:hAnsiTheme="majorHAnsi" w:cstheme="majorBidi"/>
          <w:b/>
          <w:bCs/>
          <w:spacing w:val="-7"/>
          <w:sz w:val="20"/>
          <w:szCs w:val="20"/>
          <w:lang w:val="en-US"/>
        </w:rPr>
      </w:pPr>
    </w:p>
    <w:p w14:paraId="349F7517" w14:textId="77777777" w:rsidR="00480279" w:rsidRDefault="00480279" w:rsidP="00F12F19">
      <w:pPr>
        <w:rPr>
          <w:rFonts w:asciiTheme="majorHAnsi" w:eastAsiaTheme="majorEastAsia" w:hAnsiTheme="majorHAnsi" w:cstheme="majorBidi"/>
          <w:b/>
          <w:bCs/>
          <w:spacing w:val="-7"/>
          <w:sz w:val="20"/>
          <w:szCs w:val="20"/>
          <w:lang w:val="en-US"/>
        </w:rPr>
      </w:pPr>
    </w:p>
    <w:p w14:paraId="2678E48E" w14:textId="77777777" w:rsidR="00480279" w:rsidRDefault="00480279" w:rsidP="00F12F19">
      <w:pPr>
        <w:rPr>
          <w:rFonts w:asciiTheme="majorHAnsi" w:eastAsiaTheme="majorEastAsia" w:hAnsiTheme="majorHAnsi" w:cstheme="majorBidi"/>
          <w:b/>
          <w:bCs/>
          <w:spacing w:val="-7"/>
          <w:sz w:val="20"/>
          <w:szCs w:val="20"/>
          <w:lang w:val="en-US"/>
        </w:rPr>
      </w:pPr>
    </w:p>
    <w:p w14:paraId="2385CB6C" w14:textId="77777777" w:rsidR="00480279" w:rsidRDefault="00480279" w:rsidP="00F12F19">
      <w:pPr>
        <w:rPr>
          <w:rFonts w:asciiTheme="majorHAnsi" w:eastAsiaTheme="majorEastAsia" w:hAnsiTheme="majorHAnsi" w:cstheme="majorBidi"/>
          <w:b/>
          <w:bCs/>
          <w:spacing w:val="-7"/>
          <w:sz w:val="20"/>
          <w:szCs w:val="20"/>
          <w:lang w:val="en-US"/>
        </w:rPr>
      </w:pPr>
    </w:p>
    <w:p w14:paraId="58302BD3" w14:textId="77777777" w:rsidR="00480279" w:rsidRDefault="00480279" w:rsidP="00F12F19">
      <w:pPr>
        <w:rPr>
          <w:rFonts w:asciiTheme="majorHAnsi" w:eastAsiaTheme="majorEastAsia" w:hAnsiTheme="majorHAnsi" w:cstheme="majorBidi"/>
          <w:b/>
          <w:bCs/>
          <w:spacing w:val="-7"/>
          <w:sz w:val="20"/>
          <w:szCs w:val="20"/>
          <w:lang w:val="en-US"/>
        </w:rPr>
      </w:pPr>
    </w:p>
    <w:p w14:paraId="43206E56" w14:textId="77777777" w:rsidR="00480279" w:rsidRDefault="00480279" w:rsidP="00F12F19">
      <w:pPr>
        <w:rPr>
          <w:rFonts w:asciiTheme="majorHAnsi" w:eastAsiaTheme="majorEastAsia" w:hAnsiTheme="majorHAnsi" w:cstheme="majorBidi"/>
          <w:b/>
          <w:bCs/>
          <w:spacing w:val="-7"/>
          <w:sz w:val="20"/>
          <w:szCs w:val="20"/>
          <w:lang w:val="en-US"/>
        </w:rPr>
      </w:pPr>
    </w:p>
    <w:p w14:paraId="05444A03" w14:textId="77777777" w:rsidR="00480279" w:rsidRDefault="00480279" w:rsidP="00F12F19">
      <w:pPr>
        <w:rPr>
          <w:rFonts w:asciiTheme="majorHAnsi" w:eastAsiaTheme="majorEastAsia" w:hAnsiTheme="majorHAnsi" w:cstheme="majorBidi"/>
          <w:b/>
          <w:bCs/>
          <w:spacing w:val="-7"/>
          <w:sz w:val="20"/>
          <w:szCs w:val="20"/>
          <w:lang w:val="en-US"/>
        </w:rPr>
      </w:pPr>
    </w:p>
    <w:p w14:paraId="0D6ED7EA" w14:textId="77777777" w:rsidR="00480279" w:rsidRDefault="00480279" w:rsidP="00F12F19">
      <w:pPr>
        <w:rPr>
          <w:rFonts w:asciiTheme="majorHAnsi" w:eastAsiaTheme="majorEastAsia" w:hAnsiTheme="majorHAnsi" w:cstheme="majorBidi"/>
          <w:b/>
          <w:bCs/>
          <w:spacing w:val="-7"/>
          <w:sz w:val="20"/>
          <w:szCs w:val="20"/>
          <w:lang w:val="en-US"/>
        </w:rPr>
      </w:pPr>
    </w:p>
    <w:p w14:paraId="003DFDE0" w14:textId="77777777" w:rsidR="00480279" w:rsidRDefault="00480279" w:rsidP="00F12F19">
      <w:pPr>
        <w:rPr>
          <w:rFonts w:asciiTheme="majorHAnsi" w:eastAsiaTheme="majorEastAsia" w:hAnsiTheme="majorHAnsi" w:cstheme="majorBidi"/>
          <w:b/>
          <w:bCs/>
          <w:spacing w:val="-7"/>
          <w:sz w:val="20"/>
          <w:szCs w:val="20"/>
          <w:lang w:val="en-US"/>
        </w:rPr>
      </w:pPr>
    </w:p>
    <w:p w14:paraId="557C19DB" w14:textId="77777777" w:rsidR="00480279" w:rsidRDefault="00480279" w:rsidP="00F12F19">
      <w:pPr>
        <w:rPr>
          <w:rFonts w:asciiTheme="majorHAnsi" w:eastAsiaTheme="majorEastAsia" w:hAnsiTheme="majorHAnsi" w:cstheme="majorBidi"/>
          <w:b/>
          <w:bCs/>
          <w:spacing w:val="-7"/>
          <w:sz w:val="20"/>
          <w:szCs w:val="20"/>
          <w:lang w:val="en-US"/>
        </w:rPr>
      </w:pPr>
    </w:p>
    <w:p w14:paraId="135EE612" w14:textId="77777777" w:rsidR="00480279" w:rsidRDefault="00480279" w:rsidP="00F12F19">
      <w:pPr>
        <w:rPr>
          <w:rFonts w:asciiTheme="majorHAnsi" w:eastAsiaTheme="majorEastAsia" w:hAnsiTheme="majorHAnsi" w:cstheme="majorBidi"/>
          <w:b/>
          <w:bCs/>
          <w:spacing w:val="-7"/>
          <w:sz w:val="20"/>
          <w:szCs w:val="20"/>
          <w:lang w:val="en-US"/>
        </w:rPr>
      </w:pPr>
    </w:p>
    <w:p w14:paraId="563A5172" w14:textId="77777777" w:rsidR="00480279" w:rsidRDefault="00480279" w:rsidP="00F12F19">
      <w:pPr>
        <w:rPr>
          <w:rFonts w:asciiTheme="majorHAnsi" w:eastAsiaTheme="majorEastAsia" w:hAnsiTheme="majorHAnsi" w:cstheme="majorBidi"/>
          <w:b/>
          <w:bCs/>
          <w:spacing w:val="-7"/>
          <w:sz w:val="20"/>
          <w:szCs w:val="20"/>
          <w:lang w:val="en-US"/>
        </w:rPr>
      </w:pPr>
    </w:p>
    <w:p w14:paraId="49AD2323" w14:textId="77777777" w:rsidR="00480279" w:rsidRDefault="00480279" w:rsidP="00F12F19">
      <w:pPr>
        <w:rPr>
          <w:rFonts w:asciiTheme="majorHAnsi" w:eastAsiaTheme="majorEastAsia" w:hAnsiTheme="majorHAnsi" w:cstheme="majorBidi"/>
          <w:b/>
          <w:bCs/>
          <w:spacing w:val="-7"/>
          <w:sz w:val="20"/>
          <w:szCs w:val="20"/>
          <w:lang w:val="en-US"/>
        </w:rPr>
      </w:pPr>
    </w:p>
    <w:p w14:paraId="7A881EB4" w14:textId="77777777" w:rsidR="00480279" w:rsidRDefault="00480279" w:rsidP="00F12F19">
      <w:pPr>
        <w:rPr>
          <w:rFonts w:asciiTheme="majorHAnsi" w:eastAsiaTheme="majorEastAsia" w:hAnsiTheme="majorHAnsi" w:cstheme="majorBidi"/>
          <w:b/>
          <w:bCs/>
          <w:spacing w:val="-7"/>
          <w:sz w:val="20"/>
          <w:szCs w:val="20"/>
          <w:lang w:val="en-US"/>
        </w:rPr>
      </w:pPr>
    </w:p>
    <w:p w14:paraId="6204D37E" w14:textId="77777777" w:rsidR="00480279" w:rsidRDefault="00480279" w:rsidP="00F12F19">
      <w:pPr>
        <w:rPr>
          <w:rFonts w:asciiTheme="majorHAnsi" w:eastAsiaTheme="majorEastAsia" w:hAnsiTheme="majorHAnsi" w:cstheme="majorBidi"/>
          <w:b/>
          <w:bCs/>
          <w:spacing w:val="-7"/>
          <w:sz w:val="20"/>
          <w:szCs w:val="20"/>
          <w:lang w:val="en-US"/>
        </w:rPr>
      </w:pPr>
    </w:p>
    <w:p w14:paraId="055544FD" w14:textId="77777777" w:rsidR="00480279" w:rsidRPr="00FE32E9" w:rsidRDefault="00480279" w:rsidP="00F12F19">
      <w:pPr>
        <w:rPr>
          <w:rFonts w:asciiTheme="majorHAnsi" w:eastAsiaTheme="majorEastAsia" w:hAnsiTheme="majorHAnsi" w:cstheme="majorBidi"/>
          <w:b/>
          <w:bCs/>
          <w:spacing w:val="-7"/>
          <w:sz w:val="20"/>
          <w:szCs w:val="20"/>
          <w:lang w:val="en-US"/>
        </w:rPr>
      </w:pPr>
    </w:p>
    <w:p w14:paraId="72533ED0" w14:textId="2FB8E265" w:rsidR="0052760B" w:rsidRPr="00FE32E9" w:rsidRDefault="008C7966" w:rsidP="008C7966">
      <w:pPr>
        <w:pStyle w:val="Heading2"/>
        <w:rPr>
          <w:rFonts w:eastAsiaTheme="majorEastAsia"/>
          <w:sz w:val="22"/>
          <w:szCs w:val="22"/>
        </w:rPr>
      </w:pPr>
      <w:r w:rsidRPr="00FE32E9">
        <w:rPr>
          <w:rFonts w:eastAsiaTheme="majorEastAsia"/>
          <w:sz w:val="22"/>
          <w:szCs w:val="22"/>
        </w:rPr>
        <w:lastRenderedPageBreak/>
        <w:t>Tables</w:t>
      </w:r>
    </w:p>
    <w:p w14:paraId="2E787D9E" w14:textId="21826D7B" w:rsidR="00CF21F8" w:rsidRPr="00FE32E9" w:rsidRDefault="00CF21F8" w:rsidP="0052760B">
      <w:pPr>
        <w:spacing w:line="360" w:lineRule="auto"/>
        <w:rPr>
          <w:b/>
          <w:bCs/>
          <w:i/>
          <w:iCs/>
          <w:sz w:val="20"/>
          <w:szCs w:val="20"/>
          <w:lang w:val="en-US"/>
        </w:rPr>
      </w:pPr>
      <w:r w:rsidRPr="00FE32E9">
        <w:rPr>
          <w:b/>
          <w:bCs/>
          <w:i/>
          <w:iCs/>
          <w:noProof/>
          <w:sz w:val="20"/>
          <w:szCs w:val="20"/>
          <w:lang w:val="en-US"/>
        </w:rPr>
        <w:drawing>
          <wp:inline distT="0" distB="0" distL="0" distR="0" wp14:anchorId="28564FD3" wp14:editId="57137BD5">
            <wp:extent cx="6106795" cy="1105535"/>
            <wp:effectExtent l="0" t="0" r="8255" b="0"/>
            <wp:docPr id="1377069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6795" cy="1105535"/>
                    </a:xfrm>
                    <a:prstGeom prst="rect">
                      <a:avLst/>
                    </a:prstGeom>
                    <a:noFill/>
                    <a:ln>
                      <a:noFill/>
                    </a:ln>
                  </pic:spPr>
                </pic:pic>
              </a:graphicData>
            </a:graphic>
          </wp:inline>
        </w:drawing>
      </w:r>
    </w:p>
    <w:p w14:paraId="7A6C07D8" w14:textId="6F802EA1" w:rsidR="0052760B" w:rsidRDefault="0052760B" w:rsidP="00B26E35">
      <w:pPr>
        <w:spacing w:line="276" w:lineRule="auto"/>
        <w:rPr>
          <w:sz w:val="20"/>
          <w:szCs w:val="20"/>
          <w:lang w:val="en-US"/>
        </w:rPr>
      </w:pPr>
      <w:r w:rsidRPr="00FE32E9">
        <w:rPr>
          <w:b/>
          <w:bCs/>
          <w:i/>
          <w:iCs/>
          <w:sz w:val="20"/>
          <w:szCs w:val="20"/>
          <w:lang w:val="en-US"/>
        </w:rPr>
        <w:t>Supplementary Table 1</w:t>
      </w:r>
      <w:r w:rsidRPr="00FE32E9">
        <w:rPr>
          <w:i/>
          <w:iCs/>
          <w:sz w:val="20"/>
          <w:szCs w:val="20"/>
          <w:lang w:val="en-US"/>
        </w:rPr>
        <w:t xml:space="preserve"> </w:t>
      </w:r>
      <w:r w:rsidR="00E62876" w:rsidRPr="00FE32E9">
        <w:rPr>
          <w:b/>
          <w:bCs/>
          <w:sz w:val="20"/>
          <w:szCs w:val="20"/>
          <w:lang w:val="en-US"/>
        </w:rPr>
        <w:t>Patient information</w:t>
      </w:r>
      <w:r w:rsidR="00E62876" w:rsidRPr="00FE32E9">
        <w:rPr>
          <w:sz w:val="20"/>
          <w:szCs w:val="20"/>
          <w:lang w:val="en-US"/>
        </w:rPr>
        <w:t xml:space="preserve">. </w:t>
      </w:r>
      <w:r w:rsidR="004A29CC" w:rsidRPr="00FE32E9">
        <w:rPr>
          <w:sz w:val="20"/>
          <w:szCs w:val="20"/>
          <w:lang w:val="en-US"/>
        </w:rPr>
        <w:t>Clinical i</w:t>
      </w:r>
      <w:r w:rsidRPr="00FE32E9">
        <w:rPr>
          <w:sz w:val="20"/>
          <w:szCs w:val="20"/>
          <w:lang w:val="en-US"/>
        </w:rPr>
        <w:t xml:space="preserve">ndications (Patient #, GBO ID, HOCH Patient ID donor age, gender, informed consent, MGMT promoter methylation status, IDH status, pretreatments, primary/recurrent) about </w:t>
      </w:r>
      <w:r w:rsidR="004A29CC" w:rsidRPr="00FE32E9">
        <w:rPr>
          <w:sz w:val="20"/>
          <w:szCs w:val="20"/>
          <w:lang w:val="en-US"/>
        </w:rPr>
        <w:t xml:space="preserve">GBM </w:t>
      </w:r>
      <w:r w:rsidRPr="00FE32E9">
        <w:rPr>
          <w:sz w:val="20"/>
          <w:szCs w:val="20"/>
          <w:lang w:val="en-US"/>
        </w:rPr>
        <w:t xml:space="preserve">patients used for the generation of patient-derived organoids </w:t>
      </w:r>
      <w:r w:rsidR="004A29CC" w:rsidRPr="00FE32E9">
        <w:rPr>
          <w:sz w:val="20"/>
          <w:szCs w:val="20"/>
          <w:lang w:val="en-US"/>
        </w:rPr>
        <w:t>is</w:t>
      </w:r>
      <w:r w:rsidRPr="00FE32E9">
        <w:rPr>
          <w:sz w:val="20"/>
          <w:szCs w:val="20"/>
          <w:lang w:val="en-US"/>
        </w:rPr>
        <w:t xml:space="preserve"> provided</w:t>
      </w:r>
      <w:r w:rsidR="004A29CC" w:rsidRPr="00FE32E9">
        <w:rPr>
          <w:sz w:val="20"/>
          <w:szCs w:val="20"/>
          <w:lang w:val="en-US"/>
        </w:rPr>
        <w:t xml:space="preserve"> in a tabular form</w:t>
      </w:r>
      <w:r w:rsidRPr="00FE32E9">
        <w:rPr>
          <w:sz w:val="20"/>
          <w:szCs w:val="20"/>
          <w:lang w:val="en-US"/>
        </w:rPr>
        <w:t xml:space="preserve">. </w:t>
      </w:r>
    </w:p>
    <w:p w14:paraId="4E2FC647" w14:textId="77777777" w:rsidR="00480279" w:rsidRPr="00FE32E9" w:rsidRDefault="00480279" w:rsidP="0052760B">
      <w:pPr>
        <w:spacing w:line="360" w:lineRule="auto"/>
        <w:rPr>
          <w:sz w:val="20"/>
          <w:szCs w:val="20"/>
          <w:lang w:val="en-US"/>
        </w:rPr>
      </w:pPr>
    </w:p>
    <w:p w14:paraId="37C99A6A" w14:textId="423B4549" w:rsidR="00CF21F8" w:rsidRPr="00FE32E9" w:rsidRDefault="00CF21F8" w:rsidP="0052760B">
      <w:pPr>
        <w:spacing w:line="360" w:lineRule="auto"/>
        <w:rPr>
          <w:b/>
          <w:bCs/>
          <w:i/>
          <w:iCs/>
          <w:sz w:val="20"/>
          <w:szCs w:val="20"/>
          <w:lang w:val="en-US"/>
        </w:rPr>
      </w:pPr>
      <w:r w:rsidRPr="00FE32E9">
        <w:rPr>
          <w:noProof/>
          <w:sz w:val="20"/>
          <w:szCs w:val="20"/>
          <w:lang w:val="en-US"/>
        </w:rPr>
        <w:drawing>
          <wp:inline distT="0" distB="0" distL="0" distR="0" wp14:anchorId="664351D3" wp14:editId="5DF61AFF">
            <wp:extent cx="5913804" cy="4839335"/>
            <wp:effectExtent l="0" t="0" r="0" b="0"/>
            <wp:docPr id="1637566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301"/>
                    <a:stretch>
                      <a:fillRect/>
                    </a:stretch>
                  </pic:blipFill>
                  <pic:spPr bwMode="auto">
                    <a:xfrm>
                      <a:off x="0" y="0"/>
                      <a:ext cx="5913804" cy="4839335"/>
                    </a:xfrm>
                    <a:prstGeom prst="rect">
                      <a:avLst/>
                    </a:prstGeom>
                    <a:noFill/>
                    <a:ln>
                      <a:noFill/>
                    </a:ln>
                    <a:extLst>
                      <a:ext uri="{53640926-AAD7-44D8-BBD7-CCE9431645EC}">
                        <a14:shadowObscured xmlns:a14="http://schemas.microsoft.com/office/drawing/2010/main"/>
                      </a:ext>
                    </a:extLst>
                  </pic:spPr>
                </pic:pic>
              </a:graphicData>
            </a:graphic>
          </wp:inline>
        </w:drawing>
      </w:r>
    </w:p>
    <w:p w14:paraId="7526CD9F" w14:textId="52D84C7A" w:rsidR="0052760B" w:rsidRPr="00FE32E9" w:rsidRDefault="00CF21F8" w:rsidP="00B26E35">
      <w:pPr>
        <w:spacing w:line="276" w:lineRule="auto"/>
        <w:rPr>
          <w:sz w:val="20"/>
          <w:szCs w:val="20"/>
          <w:lang w:val="en-US"/>
        </w:rPr>
      </w:pPr>
      <w:r w:rsidRPr="00FE32E9">
        <w:rPr>
          <w:b/>
          <w:bCs/>
          <w:i/>
          <w:iCs/>
          <w:sz w:val="20"/>
          <w:szCs w:val="20"/>
          <w:lang w:val="en-US"/>
        </w:rPr>
        <w:t>S</w:t>
      </w:r>
      <w:r w:rsidR="0052760B" w:rsidRPr="00FE32E9">
        <w:rPr>
          <w:b/>
          <w:bCs/>
          <w:i/>
          <w:iCs/>
          <w:sz w:val="20"/>
          <w:szCs w:val="20"/>
          <w:lang w:val="en-US"/>
        </w:rPr>
        <w:t>upplementary Table 2</w:t>
      </w:r>
      <w:r w:rsidR="00E62876" w:rsidRPr="00FE32E9">
        <w:rPr>
          <w:b/>
          <w:bCs/>
          <w:i/>
          <w:iCs/>
          <w:sz w:val="20"/>
          <w:szCs w:val="20"/>
          <w:lang w:val="en-US"/>
        </w:rPr>
        <w:t>.</w:t>
      </w:r>
      <w:r w:rsidR="0052760B" w:rsidRPr="00FE32E9">
        <w:rPr>
          <w:sz w:val="20"/>
          <w:szCs w:val="20"/>
          <w:lang w:val="en-US"/>
        </w:rPr>
        <w:t xml:space="preserve"> </w:t>
      </w:r>
      <w:r w:rsidR="0052760B" w:rsidRPr="00FE32E9">
        <w:rPr>
          <w:b/>
          <w:bCs/>
          <w:sz w:val="20"/>
          <w:szCs w:val="20"/>
          <w:lang w:val="en-US"/>
        </w:rPr>
        <w:t xml:space="preserve">Mutational profiling (whole genome sequencing) of GBM </w:t>
      </w:r>
      <w:r w:rsidR="004A29CC" w:rsidRPr="00FE32E9">
        <w:rPr>
          <w:b/>
          <w:bCs/>
          <w:sz w:val="20"/>
          <w:szCs w:val="20"/>
          <w:lang w:val="en-US"/>
        </w:rPr>
        <w:t>PDOs</w:t>
      </w:r>
      <w:r w:rsidR="0052760B" w:rsidRPr="00FE32E9">
        <w:rPr>
          <w:b/>
          <w:bCs/>
          <w:sz w:val="20"/>
          <w:szCs w:val="20"/>
          <w:lang w:val="en-US"/>
        </w:rPr>
        <w:t xml:space="preserve"> derived from </w:t>
      </w:r>
      <w:r w:rsidR="004A29CC" w:rsidRPr="00FE32E9">
        <w:rPr>
          <w:b/>
          <w:bCs/>
          <w:sz w:val="20"/>
          <w:szCs w:val="20"/>
          <w:lang w:val="en-US"/>
        </w:rPr>
        <w:t>patient 8, 9 and 11</w:t>
      </w:r>
      <w:r w:rsidR="0052760B" w:rsidRPr="00FE32E9">
        <w:rPr>
          <w:b/>
          <w:bCs/>
          <w:sz w:val="20"/>
          <w:szCs w:val="20"/>
          <w:lang w:val="en-US"/>
        </w:rPr>
        <w:t>, with corresponding patient tumor tissue available for comparison</w:t>
      </w:r>
      <w:r w:rsidR="004A29CC" w:rsidRPr="00FE32E9">
        <w:rPr>
          <w:b/>
          <w:bCs/>
          <w:sz w:val="20"/>
          <w:szCs w:val="20"/>
          <w:lang w:val="en-US"/>
        </w:rPr>
        <w:t xml:space="preserve"> in patient</w:t>
      </w:r>
      <w:r w:rsidR="008D4DF0" w:rsidRPr="00FE32E9">
        <w:rPr>
          <w:b/>
          <w:bCs/>
          <w:sz w:val="20"/>
          <w:szCs w:val="20"/>
          <w:lang w:val="en-US"/>
        </w:rPr>
        <w:t xml:space="preserve"> </w:t>
      </w:r>
      <w:r w:rsidR="004A29CC" w:rsidRPr="00FE32E9">
        <w:rPr>
          <w:b/>
          <w:bCs/>
          <w:sz w:val="20"/>
          <w:szCs w:val="20"/>
          <w:lang w:val="en-US"/>
        </w:rPr>
        <w:t>8 and 9</w:t>
      </w:r>
      <w:r w:rsidR="0052760B" w:rsidRPr="00FE32E9">
        <w:rPr>
          <w:b/>
          <w:bCs/>
          <w:sz w:val="20"/>
          <w:szCs w:val="20"/>
          <w:lang w:val="en-US"/>
        </w:rPr>
        <w:t xml:space="preserve">. </w:t>
      </w:r>
      <w:r w:rsidR="004A29CC" w:rsidRPr="00FE32E9">
        <w:rPr>
          <w:sz w:val="20"/>
          <w:szCs w:val="20"/>
          <w:lang w:val="en-US"/>
        </w:rPr>
        <w:t>Tumor DNA was profiled using the Oncomine Comprehensive Assay v3 (</w:t>
      </w:r>
      <w:proofErr w:type="spellStart"/>
      <w:r w:rsidR="004A29CC" w:rsidRPr="00FE32E9">
        <w:rPr>
          <w:sz w:val="20"/>
          <w:szCs w:val="20"/>
          <w:lang w:val="en-US"/>
        </w:rPr>
        <w:t>ThermoFisher</w:t>
      </w:r>
      <w:proofErr w:type="spellEnd"/>
      <w:r w:rsidR="004A29CC" w:rsidRPr="00FE32E9">
        <w:rPr>
          <w:sz w:val="20"/>
          <w:szCs w:val="20"/>
          <w:lang w:val="en-US"/>
        </w:rPr>
        <w:t>) on an Ion Torrent sequencing platform</w:t>
      </w:r>
      <w:r w:rsidR="0052760B" w:rsidRPr="00FE32E9">
        <w:rPr>
          <w:sz w:val="20"/>
          <w:szCs w:val="20"/>
          <w:lang w:val="en-US"/>
        </w:rPr>
        <w:t xml:space="preserve">. Abbreviations used: AKT1 (AKT serine/threonine kinase 1), EGFR (epidermal growth factor receptor), KIT (KIT proto-oncogene, receptor tyrosine kinase), MDM2 (MDM2 proto-oncogene), MDM4 (MDM4 regulator of p53), PDGFRA (platelet-derived growth factor receptor alpha), PIK3CA (phosphatidylinositol-4,5-bisphosphate 3-kinase catalytic subunit alpha), PIK3R1 (phosphoinositide-3-kinase regulatory subunit 1), PTEN (phosphatase and </w:t>
      </w:r>
      <w:proofErr w:type="spellStart"/>
      <w:r w:rsidR="0052760B" w:rsidRPr="00FE32E9">
        <w:rPr>
          <w:sz w:val="20"/>
          <w:szCs w:val="20"/>
          <w:lang w:val="en-US"/>
        </w:rPr>
        <w:t>tensin</w:t>
      </w:r>
      <w:proofErr w:type="spellEnd"/>
      <w:r w:rsidR="0052760B" w:rsidRPr="00FE32E9">
        <w:rPr>
          <w:sz w:val="20"/>
          <w:szCs w:val="20"/>
          <w:lang w:val="en-US"/>
        </w:rPr>
        <w:t xml:space="preserve"> homolog), TERT (telomerase reverse transcriptase), TP53 (tumor protein p53), CNV (copy number variation), SNV (single nucleotide variant), and VAF (variant allele frequency).</w:t>
      </w:r>
    </w:p>
    <w:p w14:paraId="6CAB50DC" w14:textId="77777777" w:rsidR="0052760B" w:rsidRPr="00FE32E9" w:rsidRDefault="0052760B" w:rsidP="0052760B">
      <w:pPr>
        <w:spacing w:line="360" w:lineRule="auto"/>
        <w:rPr>
          <w:noProof/>
          <w:sz w:val="20"/>
          <w:szCs w:val="20"/>
          <w:lang w:val="en-US"/>
        </w:rPr>
      </w:pPr>
    </w:p>
    <w:p w14:paraId="2585ABEF" w14:textId="13D0FC17" w:rsidR="008C7966" w:rsidRPr="00FE32E9" w:rsidRDefault="00A30A9B" w:rsidP="0052760B">
      <w:pPr>
        <w:spacing w:line="360" w:lineRule="auto"/>
        <w:rPr>
          <w:sz w:val="20"/>
          <w:szCs w:val="20"/>
          <w:lang w:val="en-US"/>
        </w:rPr>
      </w:pPr>
      <w:r>
        <w:rPr>
          <w:noProof/>
        </w:rPr>
        <w:drawing>
          <wp:inline distT="0" distB="0" distL="0" distR="0" wp14:anchorId="619E5F28" wp14:editId="3B94FE8C">
            <wp:extent cx="6120130" cy="7155180"/>
            <wp:effectExtent l="0" t="0" r="0" b="7620"/>
            <wp:docPr id="16284137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7155180"/>
                    </a:xfrm>
                    <a:prstGeom prst="rect">
                      <a:avLst/>
                    </a:prstGeom>
                    <a:noFill/>
                    <a:ln>
                      <a:noFill/>
                    </a:ln>
                  </pic:spPr>
                </pic:pic>
              </a:graphicData>
            </a:graphic>
          </wp:inline>
        </w:drawing>
      </w:r>
    </w:p>
    <w:p w14:paraId="1421B1D7" w14:textId="1E5D51DE" w:rsidR="008C7966" w:rsidRPr="00FE32E9" w:rsidRDefault="008C7966" w:rsidP="00B26E35">
      <w:pPr>
        <w:spacing w:line="276" w:lineRule="auto"/>
        <w:rPr>
          <w:sz w:val="20"/>
          <w:szCs w:val="20"/>
          <w:lang w:val="en-US"/>
        </w:rPr>
      </w:pPr>
      <w:r w:rsidRPr="003C09D0">
        <w:rPr>
          <w:b/>
          <w:bCs/>
          <w:i/>
          <w:iCs/>
          <w:sz w:val="20"/>
          <w:szCs w:val="20"/>
          <w:lang w:val="en-US"/>
        </w:rPr>
        <w:t xml:space="preserve">Supplementary Table 3 </w:t>
      </w:r>
      <w:r w:rsidR="00E62876" w:rsidRPr="003C09D0">
        <w:rPr>
          <w:b/>
          <w:bCs/>
          <w:sz w:val="20"/>
          <w:szCs w:val="20"/>
          <w:lang w:val="en-US"/>
        </w:rPr>
        <w:t xml:space="preserve">Calculation of </w:t>
      </w:r>
      <w:proofErr w:type="spellStart"/>
      <w:r w:rsidR="00E62876" w:rsidRPr="003C09D0">
        <w:rPr>
          <w:b/>
          <w:bCs/>
          <w:sz w:val="20"/>
          <w:szCs w:val="20"/>
          <w:lang w:val="en-US"/>
        </w:rPr>
        <w:t>GliaScore</w:t>
      </w:r>
      <w:proofErr w:type="spellEnd"/>
      <w:r w:rsidR="001D01E0" w:rsidRPr="003C09D0">
        <w:rPr>
          <w:b/>
          <w:bCs/>
          <w:sz w:val="20"/>
          <w:szCs w:val="20"/>
          <w:lang w:val="en-US"/>
        </w:rPr>
        <w:t xml:space="preserve"> and post-treatment performance score</w:t>
      </w:r>
      <w:r w:rsidR="00E62876" w:rsidRPr="003C09D0">
        <w:rPr>
          <w:b/>
          <w:bCs/>
          <w:sz w:val="20"/>
          <w:szCs w:val="20"/>
          <w:lang w:val="en-US"/>
        </w:rPr>
        <w:t xml:space="preserve">. </w:t>
      </w:r>
      <w:r w:rsidRPr="003C09D0">
        <w:rPr>
          <w:sz w:val="20"/>
          <w:szCs w:val="20"/>
          <w:lang w:val="en-US"/>
        </w:rPr>
        <w:t xml:space="preserve">In A) </w:t>
      </w:r>
      <w:r w:rsidR="001D01E0" w:rsidRPr="003C09D0">
        <w:rPr>
          <w:sz w:val="20"/>
          <w:szCs w:val="20"/>
          <w:lang w:val="en-US"/>
        </w:rPr>
        <w:t xml:space="preserve">is showing the intermediate calculation septs of </w:t>
      </w:r>
      <w:proofErr w:type="spellStart"/>
      <w:r w:rsidR="001D01E0" w:rsidRPr="003C09D0">
        <w:rPr>
          <w:sz w:val="20"/>
          <w:szCs w:val="20"/>
          <w:lang w:val="en-US"/>
        </w:rPr>
        <w:t>GliaMimic</w:t>
      </w:r>
      <w:proofErr w:type="spellEnd"/>
      <w:r w:rsidR="001D01E0" w:rsidRPr="003C09D0">
        <w:rPr>
          <w:sz w:val="20"/>
          <w:szCs w:val="20"/>
          <w:lang w:val="en-US"/>
        </w:rPr>
        <w:t xml:space="preserve"> score including the scaled values (</w:t>
      </w:r>
      <m:oMath>
        <m:r>
          <w:rPr>
            <w:rFonts w:ascii="Cambria Math" w:hAnsi="Cambria Math"/>
            <w:sz w:val="20"/>
            <w:szCs w:val="20"/>
            <w:lang w:val="en-US"/>
          </w:rPr>
          <m:t xml:space="preserve">Rescaled </m:t>
        </m:r>
        <m:sSub>
          <m:sSubPr>
            <m:ctrlPr>
              <w:rPr>
                <w:rFonts w:ascii="Cambria Math" w:hAnsi="Cambria Math"/>
                <w:i/>
                <w:sz w:val="20"/>
                <w:szCs w:val="20"/>
                <w:lang w:val="en-US"/>
              </w:rPr>
            </m:ctrlPr>
          </m:sSubPr>
          <m:e>
            <m:r>
              <w:rPr>
                <w:rFonts w:ascii="Cambria Math" w:hAnsi="Cambria Math"/>
                <w:sz w:val="20"/>
                <w:szCs w:val="20"/>
                <w:lang w:val="en-US"/>
              </w:rPr>
              <m:t>AUC</m:t>
            </m:r>
          </m:e>
          <m:sub>
            <m:r>
              <w:rPr>
                <w:rFonts w:ascii="Cambria Math" w:hAnsi="Cambria Math"/>
                <w:sz w:val="20"/>
                <w:szCs w:val="20"/>
                <w:lang w:val="en-US"/>
              </w:rPr>
              <m:t>i</m:t>
            </m:r>
          </m:sub>
        </m:sSub>
      </m:oMath>
      <w:r w:rsidR="001D01E0" w:rsidRPr="003C09D0">
        <w:rPr>
          <w:sz w:val="20"/>
          <w:szCs w:val="20"/>
          <w:lang w:val="en-US"/>
        </w:rPr>
        <w:t xml:space="preserve">) for size, metabolic activity and cell viability for </w:t>
      </w:r>
      <w:r w:rsidRPr="003C09D0">
        <w:rPr>
          <w:sz w:val="20"/>
          <w:szCs w:val="20"/>
          <w:lang w:val="en-US"/>
        </w:rPr>
        <w:t>the three spheroid cell lines (ZH757, U87MG and U251MG) as well as for the PDOs (patient 6</w:t>
      </w:r>
      <w:r w:rsidR="00BC6B44" w:rsidRPr="003C09D0">
        <w:rPr>
          <w:sz w:val="20"/>
          <w:szCs w:val="20"/>
          <w:lang w:val="en-US"/>
        </w:rPr>
        <w:t xml:space="preserve"> </w:t>
      </w:r>
      <w:r w:rsidRPr="003C09D0">
        <w:rPr>
          <w:sz w:val="20"/>
          <w:szCs w:val="20"/>
          <w:lang w:val="en-US"/>
        </w:rPr>
        <w:t>-</w:t>
      </w:r>
      <w:r w:rsidR="00BC6B44" w:rsidRPr="003C09D0">
        <w:rPr>
          <w:sz w:val="20"/>
          <w:szCs w:val="20"/>
          <w:lang w:val="en-US"/>
        </w:rPr>
        <w:t xml:space="preserve"> </w:t>
      </w:r>
      <w:r w:rsidRPr="003C09D0">
        <w:rPr>
          <w:sz w:val="20"/>
          <w:szCs w:val="20"/>
          <w:lang w:val="en-US"/>
        </w:rPr>
        <w:t>9)</w:t>
      </w:r>
      <w:r w:rsidR="001D01E0" w:rsidRPr="003C09D0">
        <w:rPr>
          <w:sz w:val="20"/>
          <w:szCs w:val="20"/>
          <w:lang w:val="en-US"/>
        </w:rPr>
        <w:t xml:space="preserve">. </w:t>
      </w:r>
      <m:oMath>
        <m:sSub>
          <m:sSubPr>
            <m:ctrlPr>
              <w:rPr>
                <w:rFonts w:ascii="Cambria Math" w:hAnsi="Cambria Math"/>
                <w:i/>
                <w:sz w:val="20"/>
                <w:szCs w:val="20"/>
                <w:lang w:val="en-US"/>
              </w:rPr>
            </m:ctrlPr>
          </m:sSubPr>
          <m:e>
            <m:r>
              <w:rPr>
                <w:rFonts w:ascii="Cambria Math" w:hAnsi="Cambria Math"/>
                <w:sz w:val="20"/>
                <w:szCs w:val="20"/>
                <w:lang w:val="en-US"/>
              </w:rPr>
              <m:t>S</m:t>
            </m:r>
          </m:e>
          <m:sub>
            <m:r>
              <w:rPr>
                <w:rFonts w:ascii="Cambria Math" w:hAnsi="Cambria Math"/>
                <w:sz w:val="20"/>
                <w:szCs w:val="20"/>
                <w:lang w:val="en-US"/>
              </w:rPr>
              <m:t>j</m:t>
            </m:r>
          </m:sub>
        </m:sSub>
      </m:oMath>
      <w:r w:rsidR="003C09D0" w:rsidRPr="003C09D0">
        <w:rPr>
          <w:sz w:val="20"/>
          <w:szCs w:val="20"/>
          <w:lang w:val="en-US"/>
        </w:rPr>
        <w:t xml:space="preserve"> depicts the summed treatment conditions and </w:t>
      </w:r>
      <m:oMath>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j</m:t>
            </m:r>
          </m:sub>
        </m:sSub>
      </m:oMath>
      <w:r w:rsidR="003C09D0" w:rsidRPr="003C09D0">
        <w:rPr>
          <w:sz w:val="20"/>
          <w:szCs w:val="20"/>
          <w:lang w:val="en-US"/>
        </w:rPr>
        <w:t xml:space="preserve"> is scaling the summed values from 0 to 1. </w:t>
      </w:r>
      <w:r w:rsidRPr="003C09D0">
        <w:rPr>
          <w:sz w:val="20"/>
          <w:szCs w:val="20"/>
          <w:lang w:val="en-US"/>
        </w:rPr>
        <w:t xml:space="preserve">The overall </w:t>
      </w:r>
      <w:r w:rsidR="001D01E0" w:rsidRPr="003C09D0">
        <w:rPr>
          <w:sz w:val="20"/>
          <w:szCs w:val="20"/>
          <w:lang w:val="en-US"/>
        </w:rPr>
        <w:t>final</w:t>
      </w:r>
      <w:r w:rsidRPr="003C09D0">
        <w:rPr>
          <w:sz w:val="20"/>
          <w:szCs w:val="20"/>
          <w:lang w:val="en-US"/>
        </w:rPr>
        <w:t xml:space="preserve"> </w:t>
      </w:r>
      <w:proofErr w:type="spellStart"/>
      <w:r w:rsidRPr="003C09D0">
        <w:rPr>
          <w:sz w:val="20"/>
          <w:szCs w:val="20"/>
          <w:lang w:val="en-US"/>
        </w:rPr>
        <w:t>GliaScore</w:t>
      </w:r>
      <w:proofErr w:type="spellEnd"/>
      <w:r w:rsidRPr="003C09D0">
        <w:rPr>
          <w:sz w:val="20"/>
          <w:szCs w:val="20"/>
          <w:lang w:val="en-US"/>
        </w:rPr>
        <w:t xml:space="preserve"> value is shown in the last column with scores ranging from 0</w:t>
      </w:r>
      <w:r w:rsidR="008D4DF0" w:rsidRPr="003C09D0">
        <w:rPr>
          <w:sz w:val="20"/>
          <w:szCs w:val="20"/>
          <w:lang w:val="en-US"/>
        </w:rPr>
        <w:t xml:space="preserve"> (</w:t>
      </w:r>
      <w:r w:rsidRPr="003C09D0">
        <w:rPr>
          <w:sz w:val="20"/>
          <w:szCs w:val="20"/>
          <w:lang w:val="en-US"/>
        </w:rPr>
        <w:t>showing baseline values in the NT control</w:t>
      </w:r>
      <w:r w:rsidR="008D4DF0" w:rsidRPr="003C09D0">
        <w:rPr>
          <w:sz w:val="20"/>
          <w:szCs w:val="20"/>
          <w:lang w:val="en-US"/>
        </w:rPr>
        <w:t>)</w:t>
      </w:r>
      <w:r w:rsidRPr="003C09D0">
        <w:rPr>
          <w:sz w:val="20"/>
          <w:szCs w:val="20"/>
          <w:lang w:val="en-US"/>
        </w:rPr>
        <w:t xml:space="preserve"> to 1</w:t>
      </w:r>
      <w:r w:rsidR="008D4DF0" w:rsidRPr="003C09D0">
        <w:rPr>
          <w:sz w:val="20"/>
          <w:szCs w:val="20"/>
          <w:lang w:val="en-US"/>
        </w:rPr>
        <w:t xml:space="preserve"> (</w:t>
      </w:r>
      <w:r w:rsidRPr="003C09D0">
        <w:rPr>
          <w:sz w:val="20"/>
          <w:szCs w:val="20"/>
          <w:lang w:val="en-US"/>
        </w:rPr>
        <w:t>indicating maximal possible treatment response</w:t>
      </w:r>
      <w:r w:rsidR="008D4DF0" w:rsidRPr="003C09D0">
        <w:rPr>
          <w:sz w:val="20"/>
          <w:szCs w:val="20"/>
          <w:lang w:val="en-US"/>
        </w:rPr>
        <w:t>)</w:t>
      </w:r>
      <w:r w:rsidRPr="003C09D0">
        <w:rPr>
          <w:sz w:val="20"/>
          <w:szCs w:val="20"/>
          <w:lang w:val="en-US"/>
        </w:rPr>
        <w:t xml:space="preserve">. </w:t>
      </w:r>
      <w:r w:rsidRPr="00134488">
        <w:rPr>
          <w:sz w:val="20"/>
          <w:szCs w:val="20"/>
          <w:lang w:val="en-US"/>
        </w:rPr>
        <w:t xml:space="preserve">In B) </w:t>
      </w:r>
      <w:r w:rsidR="00A30A9B" w:rsidRPr="00134488">
        <w:rPr>
          <w:sz w:val="20"/>
          <w:szCs w:val="20"/>
          <w:lang w:val="en-US"/>
        </w:rPr>
        <w:t>the calculation steps for the post-treatment performance</w:t>
      </w:r>
      <w:r w:rsidRPr="00134488">
        <w:rPr>
          <w:sz w:val="20"/>
          <w:szCs w:val="20"/>
          <w:lang w:val="en-US"/>
        </w:rPr>
        <w:t xml:space="preserve"> values are depicted</w:t>
      </w:r>
      <w:r w:rsidR="00A30A9B" w:rsidRPr="00134488">
        <w:rPr>
          <w:sz w:val="20"/>
          <w:szCs w:val="20"/>
          <w:lang w:val="en-US"/>
        </w:rPr>
        <w:t xml:space="preserve">. Scaled values for </w:t>
      </w:r>
      <w:r w:rsidRPr="00134488">
        <w:rPr>
          <w:sz w:val="20"/>
          <w:szCs w:val="20"/>
          <w:lang w:val="en-US"/>
        </w:rPr>
        <w:t>end of treatment (day 17) and relapse time point (d</w:t>
      </w:r>
      <w:r w:rsidR="00BC6B44" w:rsidRPr="00134488">
        <w:rPr>
          <w:sz w:val="20"/>
          <w:szCs w:val="20"/>
          <w:lang w:val="en-US"/>
        </w:rPr>
        <w:t xml:space="preserve">ay </w:t>
      </w:r>
      <w:r w:rsidRPr="00134488">
        <w:rPr>
          <w:sz w:val="20"/>
          <w:szCs w:val="20"/>
          <w:lang w:val="en-US"/>
        </w:rPr>
        <w:t>30)</w:t>
      </w:r>
      <w:r w:rsidR="00A30A9B" w:rsidRPr="00134488">
        <w:rPr>
          <w:sz w:val="20"/>
          <w:szCs w:val="20"/>
          <w:lang w:val="en-US"/>
        </w:rPr>
        <w:t xml:space="preserve"> as well as fold change for each readout are shown. </w:t>
      </w:r>
      <w:r w:rsidRPr="00134488">
        <w:rPr>
          <w:sz w:val="20"/>
          <w:szCs w:val="20"/>
          <w:lang w:val="en-US"/>
        </w:rPr>
        <w:t xml:space="preserve">In the last column, the </w:t>
      </w:r>
      <w:r w:rsidR="00134488" w:rsidRPr="00134488">
        <w:rPr>
          <w:sz w:val="20"/>
          <w:szCs w:val="20"/>
          <w:lang w:val="en-US"/>
        </w:rPr>
        <w:t>post-treatment</w:t>
      </w:r>
      <w:r w:rsidR="00134488">
        <w:rPr>
          <w:sz w:val="20"/>
          <w:szCs w:val="20"/>
          <w:lang w:val="en-US"/>
        </w:rPr>
        <w:t xml:space="preserve"> </w:t>
      </w:r>
      <w:r w:rsidR="00134488">
        <w:rPr>
          <w:sz w:val="20"/>
          <w:szCs w:val="20"/>
          <w:lang w:val="en-US"/>
        </w:rPr>
        <w:lastRenderedPageBreak/>
        <w:t>performance of the GBM spheroids and PDOs are shown with values greater than 1 indicating disease progression following treatment.</w:t>
      </w:r>
    </w:p>
    <w:p w14:paraId="45BFB811" w14:textId="0CDA15DE" w:rsidR="0052760B" w:rsidRPr="00FE32E9" w:rsidRDefault="0052760B" w:rsidP="0052760B">
      <w:pPr>
        <w:spacing w:line="360" w:lineRule="auto"/>
        <w:rPr>
          <w:sz w:val="20"/>
          <w:szCs w:val="20"/>
          <w:lang w:val="en-US"/>
        </w:rPr>
      </w:pPr>
      <w:r w:rsidRPr="00FE32E9">
        <w:rPr>
          <w:sz w:val="20"/>
          <w:szCs w:val="20"/>
          <w:lang w:val="en-US"/>
        </w:rPr>
        <w:br/>
      </w:r>
    </w:p>
    <w:p w14:paraId="6D280AD6" w14:textId="77777777" w:rsidR="0052760B" w:rsidRPr="00FE32E9" w:rsidRDefault="0052760B" w:rsidP="00F12F19">
      <w:pPr>
        <w:rPr>
          <w:sz w:val="20"/>
          <w:szCs w:val="20"/>
          <w:lang w:val="en-US"/>
        </w:rPr>
      </w:pPr>
    </w:p>
    <w:sectPr w:rsidR="0052760B" w:rsidRPr="00FE32E9" w:rsidSect="006047BB">
      <w:footerReference w:type="default" r:id="rId34"/>
      <w:pgSz w:w="11906" w:h="16838" w:code="9"/>
      <w:pgMar w:top="567" w:right="964" w:bottom="1134" w:left="1304" w:header="567" w:footer="567"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3246CA" w14:textId="77777777" w:rsidR="00CC699D" w:rsidRDefault="00CC699D">
      <w:r>
        <w:separator/>
      </w:r>
    </w:p>
  </w:endnote>
  <w:endnote w:type="continuationSeparator" w:id="0">
    <w:p w14:paraId="0C04CF6F" w14:textId="77777777" w:rsidR="00CC699D" w:rsidRDefault="00CC6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4418259"/>
      <w:docPartObj>
        <w:docPartGallery w:val="Page Numbers (Bottom of Page)"/>
        <w:docPartUnique/>
      </w:docPartObj>
    </w:sdtPr>
    <w:sdtEndPr>
      <w:rPr>
        <w:noProof/>
      </w:rPr>
    </w:sdtEndPr>
    <w:sdtContent>
      <w:p w14:paraId="17666ECC" w14:textId="0BF18042" w:rsidR="006047BB" w:rsidRDefault="006047B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E0D472" w14:textId="77777777" w:rsidR="006047BB" w:rsidRDefault="006047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D23511" w14:textId="77777777" w:rsidR="00CC699D" w:rsidRDefault="00CC699D">
      <w:r>
        <w:separator/>
      </w:r>
    </w:p>
  </w:footnote>
  <w:footnote w:type="continuationSeparator" w:id="0">
    <w:p w14:paraId="479EA96F" w14:textId="77777777" w:rsidR="00CC699D" w:rsidRDefault="00CC69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7408AC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EC27AE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9985A3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95E1E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6C6352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A608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FD817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DCC9AE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70292D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00C5F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B432BB"/>
    <w:multiLevelType w:val="multilevel"/>
    <w:tmpl w:val="0407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55B15D5"/>
    <w:multiLevelType w:val="multilevel"/>
    <w:tmpl w:val="3B50EC3A"/>
    <w:lvl w:ilvl="0">
      <w:start w:val="1"/>
      <w:numFmt w:val="bullet"/>
      <w:lvlText w:val="●"/>
      <w:lvlJc w:val="left"/>
      <w:pPr>
        <w:tabs>
          <w:tab w:val="num" w:pos="851"/>
        </w:tabs>
        <w:ind w:left="340" w:firstLine="170"/>
      </w:pPr>
      <w:rPr>
        <w:rFonts w:ascii="Times New Roman" w:hAnsi="Times New Roman" w:cs="Times New Roman" w:hint="default"/>
        <w:color w:val="auto"/>
      </w:rPr>
    </w:lvl>
    <w:lvl w:ilvl="1">
      <w:start w:val="1"/>
      <w:numFmt w:val="bullet"/>
      <w:lvlText w:val="○"/>
      <w:lvlJc w:val="left"/>
      <w:pPr>
        <w:tabs>
          <w:tab w:val="num" w:pos="1191"/>
        </w:tabs>
        <w:ind w:left="340" w:firstLine="511"/>
      </w:pPr>
      <w:rPr>
        <w:rFonts w:ascii="Times New Roman" w:hAnsi="Times New Roman" w:cs="Times New Roman"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 w15:restartNumberingAfterBreak="0">
    <w:nsid w:val="102B7661"/>
    <w:multiLevelType w:val="hybridMultilevel"/>
    <w:tmpl w:val="81BEC75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21A46E2"/>
    <w:multiLevelType w:val="hybridMultilevel"/>
    <w:tmpl w:val="405C5B7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4A6DB1"/>
    <w:multiLevelType w:val="multilevel"/>
    <w:tmpl w:val="F1B2DDAA"/>
    <w:lvl w:ilvl="0">
      <w:start w:val="1"/>
      <w:numFmt w:val="bullet"/>
      <w:pStyle w:val="Aufzhlung"/>
      <w:lvlText w:val="●"/>
      <w:lvlJc w:val="left"/>
      <w:pPr>
        <w:tabs>
          <w:tab w:val="num" w:pos="341"/>
        </w:tabs>
        <w:ind w:left="341" w:hanging="341"/>
      </w:pPr>
      <w:rPr>
        <w:rFonts w:ascii="Times New Roman" w:hAnsi="Times New Roman" w:cs="Times New Roman" w:hint="default"/>
        <w:color w:val="auto"/>
      </w:rPr>
    </w:lvl>
    <w:lvl w:ilvl="1">
      <w:start w:val="1"/>
      <w:numFmt w:val="bullet"/>
      <w:lvlText w:val="○"/>
      <w:lvlJc w:val="left"/>
      <w:pPr>
        <w:tabs>
          <w:tab w:val="num" w:pos="681"/>
        </w:tabs>
        <w:ind w:left="681" w:hanging="340"/>
      </w:pPr>
      <w:rPr>
        <w:rFonts w:ascii="Times New Roman" w:hAnsi="Times New Roman" w:cs="Times New Roman" w:hint="default"/>
        <w:color w:val="auto"/>
      </w:rPr>
    </w:lvl>
    <w:lvl w:ilvl="2">
      <w:start w:val="1"/>
      <w:numFmt w:val="bullet"/>
      <w:lvlText w:val="▪"/>
      <w:lvlJc w:val="left"/>
      <w:pPr>
        <w:tabs>
          <w:tab w:val="num" w:pos="1021"/>
        </w:tabs>
        <w:ind w:left="1021" w:hanging="340"/>
      </w:pPr>
      <w:rPr>
        <w:rFonts w:ascii="Times New Roman" w:hAnsi="Times New Roman" w:cs="Times New Roman" w:hint="default"/>
      </w:rPr>
    </w:lvl>
    <w:lvl w:ilvl="3">
      <w:start w:val="1"/>
      <w:numFmt w:val="bullet"/>
      <w:lvlText w:val="▫"/>
      <w:lvlJc w:val="left"/>
      <w:pPr>
        <w:tabs>
          <w:tab w:val="num" w:pos="1361"/>
        </w:tabs>
        <w:ind w:left="1361" w:hanging="340"/>
      </w:pPr>
      <w:rPr>
        <w:rFonts w:ascii="Times New Roman" w:hAnsi="Times New Roman" w:cs="Times New Roman" w:hint="default"/>
      </w:rPr>
    </w:lvl>
    <w:lvl w:ilvl="4">
      <w:start w:val="1"/>
      <w:numFmt w:val="bullet"/>
      <w:lvlText w:val=""/>
      <w:lvlJc w:val="left"/>
      <w:pPr>
        <w:tabs>
          <w:tab w:val="num" w:pos="1290"/>
        </w:tabs>
        <w:ind w:left="1290" w:hanging="360"/>
      </w:pPr>
      <w:rPr>
        <w:rFonts w:ascii="Symbol" w:hAnsi="Symbol" w:hint="default"/>
      </w:rPr>
    </w:lvl>
    <w:lvl w:ilvl="5">
      <w:start w:val="1"/>
      <w:numFmt w:val="bullet"/>
      <w:lvlText w:val=""/>
      <w:lvlJc w:val="left"/>
      <w:pPr>
        <w:tabs>
          <w:tab w:val="num" w:pos="1650"/>
        </w:tabs>
        <w:ind w:left="1650" w:hanging="360"/>
      </w:pPr>
      <w:rPr>
        <w:rFonts w:ascii="Wingdings" w:hAnsi="Wingdings" w:hint="default"/>
      </w:rPr>
    </w:lvl>
    <w:lvl w:ilvl="6">
      <w:start w:val="1"/>
      <w:numFmt w:val="bullet"/>
      <w:lvlText w:val=""/>
      <w:lvlJc w:val="left"/>
      <w:pPr>
        <w:tabs>
          <w:tab w:val="num" w:pos="2010"/>
        </w:tabs>
        <w:ind w:left="2010" w:hanging="360"/>
      </w:pPr>
      <w:rPr>
        <w:rFonts w:ascii="Wingdings" w:hAnsi="Wingdings" w:hint="default"/>
      </w:rPr>
    </w:lvl>
    <w:lvl w:ilvl="7">
      <w:start w:val="1"/>
      <w:numFmt w:val="bullet"/>
      <w:lvlText w:val=""/>
      <w:lvlJc w:val="left"/>
      <w:pPr>
        <w:tabs>
          <w:tab w:val="num" w:pos="2370"/>
        </w:tabs>
        <w:ind w:left="2370" w:hanging="360"/>
      </w:pPr>
      <w:rPr>
        <w:rFonts w:ascii="Symbol" w:hAnsi="Symbol" w:hint="default"/>
      </w:rPr>
    </w:lvl>
    <w:lvl w:ilvl="8">
      <w:start w:val="1"/>
      <w:numFmt w:val="bullet"/>
      <w:lvlText w:val=""/>
      <w:lvlJc w:val="left"/>
      <w:pPr>
        <w:tabs>
          <w:tab w:val="num" w:pos="2730"/>
        </w:tabs>
        <w:ind w:left="2730" w:hanging="360"/>
      </w:pPr>
      <w:rPr>
        <w:rFonts w:ascii="Symbol" w:hAnsi="Symbol" w:hint="default"/>
      </w:rPr>
    </w:lvl>
  </w:abstractNum>
  <w:abstractNum w:abstractNumId="15" w15:restartNumberingAfterBreak="0">
    <w:nsid w:val="421D14DE"/>
    <w:multiLevelType w:val="multilevel"/>
    <w:tmpl w:val="4AE0E988"/>
    <w:lvl w:ilvl="0">
      <w:start w:val="1"/>
      <w:numFmt w:val="decimal"/>
      <w:lvlText w:val="%1"/>
      <w:lvlJc w:val="left"/>
      <w:pPr>
        <w:tabs>
          <w:tab w:val="num" w:pos="0"/>
        </w:tabs>
        <w:ind w:left="680" w:hanging="680"/>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rPr>
    </w:lvl>
    <w:lvl w:ilvl="3">
      <w:start w:val="1"/>
      <w:numFmt w:val="decimal"/>
      <w:lvlText w:val="%1.%2.%3.%4"/>
      <w:lvlJc w:val="left"/>
      <w:pPr>
        <w:tabs>
          <w:tab w:val="num" w:pos="680"/>
        </w:tabs>
        <w:ind w:left="680" w:hanging="680"/>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15:restartNumberingAfterBreak="0">
    <w:nsid w:val="42AE5D51"/>
    <w:multiLevelType w:val="multilevel"/>
    <w:tmpl w:val="08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7" w15:restartNumberingAfterBreak="0">
    <w:nsid w:val="4A237231"/>
    <w:multiLevelType w:val="multilevel"/>
    <w:tmpl w:val="7DDE131E"/>
    <w:lvl w:ilvl="0">
      <w:start w:val="1"/>
      <w:numFmt w:val="bullet"/>
      <w:lvlText w:val="●"/>
      <w:lvlJc w:val="left"/>
      <w:pPr>
        <w:tabs>
          <w:tab w:val="num" w:pos="851"/>
        </w:tabs>
        <w:ind w:left="851" w:hanging="341"/>
      </w:pPr>
      <w:rPr>
        <w:rFonts w:ascii="Times New Roman" w:hAnsi="Times New Roman" w:cs="Times New Roman" w:hint="default"/>
        <w:color w:val="auto"/>
      </w:rPr>
    </w:lvl>
    <w:lvl w:ilvl="1">
      <w:start w:val="1"/>
      <w:numFmt w:val="bullet"/>
      <w:lvlText w:val="○"/>
      <w:lvlJc w:val="left"/>
      <w:pPr>
        <w:tabs>
          <w:tab w:val="num" w:pos="1191"/>
        </w:tabs>
        <w:ind w:left="1191" w:hanging="340"/>
      </w:pPr>
      <w:rPr>
        <w:rFonts w:ascii="Times New Roman" w:hAnsi="Times New Roman" w:cs="Times New Roman"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8" w15:restartNumberingAfterBreak="0">
    <w:nsid w:val="4D1F5562"/>
    <w:multiLevelType w:val="multilevel"/>
    <w:tmpl w:val="390E1D86"/>
    <w:lvl w:ilvl="0">
      <w:start w:val="1"/>
      <w:numFmt w:val="bullet"/>
      <w:lvlText w:val="●"/>
      <w:lvlJc w:val="left"/>
      <w:pPr>
        <w:tabs>
          <w:tab w:val="num" w:pos="851"/>
        </w:tabs>
        <w:ind w:left="851" w:hanging="341"/>
      </w:pPr>
      <w:rPr>
        <w:rFonts w:ascii="Times New Roman" w:hAnsi="Times New Roman" w:cs="Times New Roman" w:hint="default"/>
        <w:color w:val="auto"/>
      </w:rPr>
    </w:lvl>
    <w:lvl w:ilvl="1">
      <w:start w:val="1"/>
      <w:numFmt w:val="bullet"/>
      <w:lvlText w:val="○"/>
      <w:lvlJc w:val="left"/>
      <w:pPr>
        <w:tabs>
          <w:tab w:val="num" w:pos="1191"/>
        </w:tabs>
        <w:ind w:left="1191" w:hanging="340"/>
      </w:pPr>
      <w:rPr>
        <w:rFonts w:ascii="Times New Roman" w:hAnsi="Times New Roman" w:cs="Times New Roman" w:hint="default"/>
        <w:color w:val="auto"/>
      </w:rPr>
    </w:lvl>
    <w:lvl w:ilvl="2">
      <w:start w:val="1"/>
      <w:numFmt w:val="bullet"/>
      <w:lvlText w:val="▪"/>
      <w:lvlJc w:val="left"/>
      <w:pPr>
        <w:tabs>
          <w:tab w:val="num" w:pos="1531"/>
        </w:tabs>
        <w:ind w:left="1531" w:hanging="340"/>
      </w:pPr>
      <w:rPr>
        <w:rFonts w:ascii="Times New Roman" w:hAnsi="Times New Roman" w:cs="Times New Roman"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9" w15:restartNumberingAfterBreak="0">
    <w:nsid w:val="550A38C2"/>
    <w:multiLevelType w:val="multilevel"/>
    <w:tmpl w:val="611619A6"/>
    <w:lvl w:ilvl="0">
      <w:start w:val="1"/>
      <w:numFmt w:val="bullet"/>
      <w:lvlText w:val=""/>
      <w:lvlJc w:val="left"/>
      <w:pPr>
        <w:tabs>
          <w:tab w:val="num" w:pos="919"/>
        </w:tabs>
        <w:ind w:left="919" w:hanging="360"/>
      </w:pPr>
      <w:rPr>
        <w:rFonts w:ascii="Symbol" w:hAnsi="Symbol" w:hint="default"/>
      </w:rPr>
    </w:lvl>
    <w:lvl w:ilvl="1">
      <w:start w:val="1"/>
      <w:numFmt w:val="bullet"/>
      <w:lvlText w:val="o"/>
      <w:lvlJc w:val="left"/>
      <w:pPr>
        <w:tabs>
          <w:tab w:val="num" w:pos="1639"/>
        </w:tabs>
        <w:ind w:left="1639" w:hanging="360"/>
      </w:pPr>
      <w:rPr>
        <w:rFonts w:ascii="Courier New" w:hAnsi="Courier New" w:cs="Courier New" w:hint="default"/>
      </w:rPr>
    </w:lvl>
    <w:lvl w:ilvl="2">
      <w:start w:val="1"/>
      <w:numFmt w:val="bullet"/>
      <w:lvlText w:val=""/>
      <w:lvlJc w:val="left"/>
      <w:pPr>
        <w:tabs>
          <w:tab w:val="num" w:pos="2359"/>
        </w:tabs>
        <w:ind w:left="2359" w:hanging="360"/>
      </w:pPr>
      <w:rPr>
        <w:rFonts w:ascii="Wingdings" w:hAnsi="Wingdings" w:hint="default"/>
      </w:rPr>
    </w:lvl>
    <w:lvl w:ilvl="3">
      <w:start w:val="1"/>
      <w:numFmt w:val="bullet"/>
      <w:lvlText w:val=""/>
      <w:lvlJc w:val="left"/>
      <w:pPr>
        <w:tabs>
          <w:tab w:val="num" w:pos="3079"/>
        </w:tabs>
        <w:ind w:left="3079" w:hanging="360"/>
      </w:pPr>
      <w:rPr>
        <w:rFonts w:ascii="Symbol" w:hAnsi="Symbol" w:hint="default"/>
      </w:rPr>
    </w:lvl>
    <w:lvl w:ilvl="4">
      <w:start w:val="1"/>
      <w:numFmt w:val="bullet"/>
      <w:lvlText w:val="o"/>
      <w:lvlJc w:val="left"/>
      <w:pPr>
        <w:tabs>
          <w:tab w:val="num" w:pos="3799"/>
        </w:tabs>
        <w:ind w:left="3799" w:hanging="360"/>
      </w:pPr>
      <w:rPr>
        <w:rFonts w:ascii="Courier New" w:hAnsi="Courier New" w:cs="Courier New" w:hint="default"/>
      </w:rPr>
    </w:lvl>
    <w:lvl w:ilvl="5">
      <w:start w:val="1"/>
      <w:numFmt w:val="bullet"/>
      <w:lvlText w:val=""/>
      <w:lvlJc w:val="left"/>
      <w:pPr>
        <w:tabs>
          <w:tab w:val="num" w:pos="4519"/>
        </w:tabs>
        <w:ind w:left="4519" w:hanging="360"/>
      </w:pPr>
      <w:rPr>
        <w:rFonts w:ascii="Wingdings" w:hAnsi="Wingdings" w:hint="default"/>
      </w:rPr>
    </w:lvl>
    <w:lvl w:ilvl="6">
      <w:start w:val="1"/>
      <w:numFmt w:val="bullet"/>
      <w:lvlText w:val=""/>
      <w:lvlJc w:val="left"/>
      <w:pPr>
        <w:tabs>
          <w:tab w:val="num" w:pos="5239"/>
        </w:tabs>
        <w:ind w:left="5239" w:hanging="360"/>
      </w:pPr>
      <w:rPr>
        <w:rFonts w:ascii="Symbol" w:hAnsi="Symbol" w:hint="default"/>
      </w:rPr>
    </w:lvl>
    <w:lvl w:ilvl="7">
      <w:start w:val="1"/>
      <w:numFmt w:val="bullet"/>
      <w:lvlText w:val="o"/>
      <w:lvlJc w:val="left"/>
      <w:pPr>
        <w:tabs>
          <w:tab w:val="num" w:pos="5959"/>
        </w:tabs>
        <w:ind w:left="5959" w:hanging="360"/>
      </w:pPr>
      <w:rPr>
        <w:rFonts w:ascii="Courier New" w:hAnsi="Courier New" w:cs="Courier New" w:hint="default"/>
      </w:rPr>
    </w:lvl>
    <w:lvl w:ilvl="8">
      <w:start w:val="1"/>
      <w:numFmt w:val="bullet"/>
      <w:lvlText w:val=""/>
      <w:lvlJc w:val="left"/>
      <w:pPr>
        <w:tabs>
          <w:tab w:val="num" w:pos="6679"/>
        </w:tabs>
        <w:ind w:left="6679" w:hanging="360"/>
      </w:pPr>
      <w:rPr>
        <w:rFonts w:ascii="Wingdings" w:hAnsi="Wingdings" w:hint="default"/>
      </w:rPr>
    </w:lvl>
  </w:abstractNum>
  <w:abstractNum w:abstractNumId="20" w15:restartNumberingAfterBreak="0">
    <w:nsid w:val="5D566A7F"/>
    <w:multiLevelType w:val="hybridMultilevel"/>
    <w:tmpl w:val="97D44F48"/>
    <w:lvl w:ilvl="0" w:tplc="3CD87DE0">
      <w:start w:val="1"/>
      <w:numFmt w:val="decimal"/>
      <w:pStyle w:val="ListParagraph"/>
      <w:lvlText w:val="%1."/>
      <w:lvlJc w:val="left"/>
      <w:pPr>
        <w:ind w:left="360" w:hanging="360"/>
      </w:pPr>
      <w:rPr>
        <w:rFont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 w15:restartNumberingAfterBreak="0">
    <w:nsid w:val="681D6322"/>
    <w:multiLevelType w:val="multilevel"/>
    <w:tmpl w:val="7DDE131E"/>
    <w:lvl w:ilvl="0">
      <w:start w:val="1"/>
      <w:numFmt w:val="bullet"/>
      <w:lvlText w:val="●"/>
      <w:lvlJc w:val="left"/>
      <w:pPr>
        <w:tabs>
          <w:tab w:val="num" w:pos="851"/>
        </w:tabs>
        <w:ind w:left="851" w:hanging="341"/>
      </w:pPr>
      <w:rPr>
        <w:rFonts w:ascii="Times New Roman" w:hAnsi="Times New Roman" w:cs="Times New Roman" w:hint="default"/>
        <w:color w:val="auto"/>
      </w:rPr>
    </w:lvl>
    <w:lvl w:ilvl="1">
      <w:start w:val="1"/>
      <w:numFmt w:val="bullet"/>
      <w:lvlText w:val="○"/>
      <w:lvlJc w:val="left"/>
      <w:pPr>
        <w:tabs>
          <w:tab w:val="num" w:pos="1191"/>
        </w:tabs>
        <w:ind w:left="1191" w:hanging="340"/>
      </w:pPr>
      <w:rPr>
        <w:rFonts w:ascii="Times New Roman" w:hAnsi="Times New Roman" w:cs="Times New Roman"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2" w15:restartNumberingAfterBreak="0">
    <w:nsid w:val="6FE168BE"/>
    <w:multiLevelType w:val="multilevel"/>
    <w:tmpl w:val="04070023"/>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15:restartNumberingAfterBreak="0">
    <w:nsid w:val="793E07DF"/>
    <w:multiLevelType w:val="multilevel"/>
    <w:tmpl w:val="BE3C9B14"/>
    <w:lvl w:ilvl="0">
      <w:start w:val="1"/>
      <w:numFmt w:val="bullet"/>
      <w:lvlText w:val=""/>
      <w:lvlJc w:val="left"/>
      <w:pPr>
        <w:tabs>
          <w:tab w:val="num" w:pos="851"/>
        </w:tabs>
        <w:ind w:left="340" w:firstLine="170"/>
      </w:pPr>
      <w:rPr>
        <w:rFonts w:ascii="Symbol" w:hAnsi="Symbol" w:hint="default"/>
        <w:color w:val="auto"/>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4" w15:restartNumberingAfterBreak="0">
    <w:nsid w:val="7C121BDC"/>
    <w:multiLevelType w:val="multilevel"/>
    <w:tmpl w:val="03C86908"/>
    <w:lvl w:ilvl="0">
      <w:start w:val="1"/>
      <w:numFmt w:val="bullet"/>
      <w:lvlText w:val=""/>
      <w:lvlJc w:val="left"/>
      <w:pPr>
        <w:tabs>
          <w:tab w:val="num" w:pos="919"/>
        </w:tabs>
        <w:ind w:left="919" w:hanging="360"/>
      </w:pPr>
      <w:rPr>
        <w:rFonts w:ascii="Symbol" w:hAnsi="Symbol" w:hint="default"/>
      </w:rPr>
    </w:lvl>
    <w:lvl w:ilvl="1">
      <w:start w:val="1"/>
      <w:numFmt w:val="bullet"/>
      <w:lvlText w:val="o"/>
      <w:lvlJc w:val="left"/>
      <w:pPr>
        <w:tabs>
          <w:tab w:val="num" w:pos="1639"/>
        </w:tabs>
        <w:ind w:left="1639" w:hanging="360"/>
      </w:pPr>
      <w:rPr>
        <w:rFonts w:ascii="Courier New" w:hAnsi="Courier New" w:cs="Courier New" w:hint="default"/>
      </w:rPr>
    </w:lvl>
    <w:lvl w:ilvl="2">
      <w:start w:val="1"/>
      <w:numFmt w:val="bullet"/>
      <w:lvlText w:val=""/>
      <w:lvlJc w:val="left"/>
      <w:pPr>
        <w:tabs>
          <w:tab w:val="num" w:pos="2359"/>
        </w:tabs>
        <w:ind w:left="2359" w:hanging="360"/>
      </w:pPr>
      <w:rPr>
        <w:rFonts w:ascii="Wingdings" w:hAnsi="Wingdings" w:hint="default"/>
      </w:rPr>
    </w:lvl>
    <w:lvl w:ilvl="3">
      <w:start w:val="1"/>
      <w:numFmt w:val="bullet"/>
      <w:lvlText w:val=""/>
      <w:lvlJc w:val="left"/>
      <w:pPr>
        <w:tabs>
          <w:tab w:val="num" w:pos="3079"/>
        </w:tabs>
        <w:ind w:left="3079" w:hanging="360"/>
      </w:pPr>
      <w:rPr>
        <w:rFonts w:ascii="Symbol" w:hAnsi="Symbol" w:hint="default"/>
      </w:rPr>
    </w:lvl>
    <w:lvl w:ilvl="4">
      <w:start w:val="1"/>
      <w:numFmt w:val="bullet"/>
      <w:lvlText w:val="o"/>
      <w:lvlJc w:val="left"/>
      <w:pPr>
        <w:tabs>
          <w:tab w:val="num" w:pos="3799"/>
        </w:tabs>
        <w:ind w:left="3799" w:hanging="360"/>
      </w:pPr>
      <w:rPr>
        <w:rFonts w:ascii="Courier New" w:hAnsi="Courier New" w:cs="Courier New" w:hint="default"/>
      </w:rPr>
    </w:lvl>
    <w:lvl w:ilvl="5">
      <w:start w:val="1"/>
      <w:numFmt w:val="bullet"/>
      <w:lvlText w:val=""/>
      <w:lvlJc w:val="left"/>
      <w:pPr>
        <w:tabs>
          <w:tab w:val="num" w:pos="4519"/>
        </w:tabs>
        <w:ind w:left="4519" w:hanging="360"/>
      </w:pPr>
      <w:rPr>
        <w:rFonts w:ascii="Wingdings" w:hAnsi="Wingdings" w:hint="default"/>
      </w:rPr>
    </w:lvl>
    <w:lvl w:ilvl="6">
      <w:start w:val="1"/>
      <w:numFmt w:val="bullet"/>
      <w:lvlText w:val=""/>
      <w:lvlJc w:val="left"/>
      <w:pPr>
        <w:tabs>
          <w:tab w:val="num" w:pos="5239"/>
        </w:tabs>
        <w:ind w:left="5239" w:hanging="360"/>
      </w:pPr>
      <w:rPr>
        <w:rFonts w:ascii="Symbol" w:hAnsi="Symbol" w:hint="default"/>
      </w:rPr>
    </w:lvl>
    <w:lvl w:ilvl="7">
      <w:start w:val="1"/>
      <w:numFmt w:val="bullet"/>
      <w:lvlText w:val="o"/>
      <w:lvlJc w:val="left"/>
      <w:pPr>
        <w:tabs>
          <w:tab w:val="num" w:pos="5959"/>
        </w:tabs>
        <w:ind w:left="5959" w:hanging="360"/>
      </w:pPr>
      <w:rPr>
        <w:rFonts w:ascii="Courier New" w:hAnsi="Courier New" w:cs="Courier New" w:hint="default"/>
      </w:rPr>
    </w:lvl>
    <w:lvl w:ilvl="8">
      <w:start w:val="1"/>
      <w:numFmt w:val="bullet"/>
      <w:lvlText w:val=""/>
      <w:lvlJc w:val="left"/>
      <w:pPr>
        <w:tabs>
          <w:tab w:val="num" w:pos="6679"/>
        </w:tabs>
        <w:ind w:left="6679" w:hanging="360"/>
      </w:pPr>
      <w:rPr>
        <w:rFonts w:ascii="Wingdings" w:hAnsi="Wingdings" w:hint="default"/>
      </w:rPr>
    </w:lvl>
  </w:abstractNum>
  <w:num w:numId="1" w16cid:durableId="1136797332">
    <w:abstractNumId w:val="16"/>
  </w:num>
  <w:num w:numId="2" w16cid:durableId="1845125404">
    <w:abstractNumId w:val="15"/>
  </w:num>
  <w:num w:numId="3" w16cid:durableId="1157575141">
    <w:abstractNumId w:val="9"/>
  </w:num>
  <w:num w:numId="4" w16cid:durableId="1655530411">
    <w:abstractNumId w:val="9"/>
  </w:num>
  <w:num w:numId="5" w16cid:durableId="1260944493">
    <w:abstractNumId w:val="15"/>
  </w:num>
  <w:num w:numId="6" w16cid:durableId="1799446350">
    <w:abstractNumId w:val="15"/>
  </w:num>
  <w:num w:numId="7" w16cid:durableId="128517715">
    <w:abstractNumId w:val="15"/>
  </w:num>
  <w:num w:numId="8" w16cid:durableId="746341748">
    <w:abstractNumId w:val="15"/>
  </w:num>
  <w:num w:numId="9" w16cid:durableId="1097793622">
    <w:abstractNumId w:val="13"/>
  </w:num>
  <w:num w:numId="10" w16cid:durableId="1729718682">
    <w:abstractNumId w:val="12"/>
  </w:num>
  <w:num w:numId="11" w16cid:durableId="1843619117">
    <w:abstractNumId w:val="14"/>
  </w:num>
  <w:num w:numId="12" w16cid:durableId="214436029">
    <w:abstractNumId w:val="24"/>
  </w:num>
  <w:num w:numId="13" w16cid:durableId="644511690">
    <w:abstractNumId w:val="23"/>
  </w:num>
  <w:num w:numId="14" w16cid:durableId="1032804830">
    <w:abstractNumId w:val="19"/>
  </w:num>
  <w:num w:numId="15" w16cid:durableId="1948927576">
    <w:abstractNumId w:val="11"/>
  </w:num>
  <w:num w:numId="16" w16cid:durableId="1692729857">
    <w:abstractNumId w:val="21"/>
  </w:num>
  <w:num w:numId="17" w16cid:durableId="72438876">
    <w:abstractNumId w:val="17"/>
  </w:num>
  <w:num w:numId="18" w16cid:durableId="1190337179">
    <w:abstractNumId w:val="18"/>
  </w:num>
  <w:num w:numId="19" w16cid:durableId="679819528">
    <w:abstractNumId w:val="7"/>
  </w:num>
  <w:num w:numId="20" w16cid:durableId="79257595">
    <w:abstractNumId w:val="6"/>
  </w:num>
  <w:num w:numId="21" w16cid:durableId="531261100">
    <w:abstractNumId w:val="5"/>
  </w:num>
  <w:num w:numId="22" w16cid:durableId="1691837322">
    <w:abstractNumId w:val="4"/>
  </w:num>
  <w:num w:numId="23" w16cid:durableId="455874378">
    <w:abstractNumId w:val="8"/>
  </w:num>
  <w:num w:numId="24" w16cid:durableId="2062559753">
    <w:abstractNumId w:val="3"/>
  </w:num>
  <w:num w:numId="25" w16cid:durableId="585462435">
    <w:abstractNumId w:val="2"/>
  </w:num>
  <w:num w:numId="26" w16cid:durableId="883106271">
    <w:abstractNumId w:val="1"/>
  </w:num>
  <w:num w:numId="27" w16cid:durableId="1598949060">
    <w:abstractNumId w:val="0"/>
  </w:num>
  <w:num w:numId="28" w16cid:durableId="1360548412">
    <w:abstractNumId w:val="10"/>
  </w:num>
  <w:num w:numId="29" w16cid:durableId="595525880">
    <w:abstractNumId w:val="22"/>
  </w:num>
  <w:num w:numId="30" w16cid:durableId="1067455724">
    <w:abstractNumId w:val="20"/>
  </w:num>
  <w:num w:numId="31" w16cid:durableId="43386917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de-CH" w:vendorID="64" w:dllVersion="6" w:nlCheck="1" w:checkStyle="1"/>
  <w:activeWritingStyle w:appName="MSWord" w:lang="en-US" w:vendorID="64" w:dllVersion="0" w:nlCheck="1" w:checkStyle="0"/>
  <w:activeWritingStyle w:appName="MSWord" w:lang="de-CH" w:vendorID="64" w:dllVersion="0" w:nlCheck="1" w:checkStyle="0"/>
  <w:activeWritingStyle w:appName="MSWord" w:lang="de-DE" w:vendorID="64" w:dllVersion="0" w:nlCheck="1" w:checkStyle="0"/>
  <w:proofState w:spelling="clean" w:grammar="clean"/>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09"/>
  <w:autoHyphenation/>
  <w:hyphenationZone w:val="284"/>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760B"/>
    <w:rsid w:val="000030F8"/>
    <w:rsid w:val="00004E5E"/>
    <w:rsid w:val="00007824"/>
    <w:rsid w:val="000173CD"/>
    <w:rsid w:val="000209B5"/>
    <w:rsid w:val="00026289"/>
    <w:rsid w:val="000427BE"/>
    <w:rsid w:val="000558E6"/>
    <w:rsid w:val="000776B5"/>
    <w:rsid w:val="000C0636"/>
    <w:rsid w:val="000C5989"/>
    <w:rsid w:val="000E6589"/>
    <w:rsid w:val="000F3112"/>
    <w:rsid w:val="0010356A"/>
    <w:rsid w:val="00106E46"/>
    <w:rsid w:val="00120F3D"/>
    <w:rsid w:val="00134488"/>
    <w:rsid w:val="001356E5"/>
    <w:rsid w:val="00153B5F"/>
    <w:rsid w:val="001570DB"/>
    <w:rsid w:val="001673EC"/>
    <w:rsid w:val="0016779B"/>
    <w:rsid w:val="00177EF6"/>
    <w:rsid w:val="001B2535"/>
    <w:rsid w:val="001C01E1"/>
    <w:rsid w:val="001D01E0"/>
    <w:rsid w:val="001F417E"/>
    <w:rsid w:val="0020527A"/>
    <w:rsid w:val="0022125E"/>
    <w:rsid w:val="00223472"/>
    <w:rsid w:val="0023466D"/>
    <w:rsid w:val="00240CC0"/>
    <w:rsid w:val="00240E6E"/>
    <w:rsid w:val="00250DEB"/>
    <w:rsid w:val="00252BA1"/>
    <w:rsid w:val="00261A22"/>
    <w:rsid w:val="002650D7"/>
    <w:rsid w:val="00281CBB"/>
    <w:rsid w:val="002B2425"/>
    <w:rsid w:val="002B6679"/>
    <w:rsid w:val="002C2731"/>
    <w:rsid w:val="002C5039"/>
    <w:rsid w:val="002D0F6D"/>
    <w:rsid w:val="002F55CB"/>
    <w:rsid w:val="00315619"/>
    <w:rsid w:val="00330E04"/>
    <w:rsid w:val="00330FB1"/>
    <w:rsid w:val="003353DB"/>
    <w:rsid w:val="003514BA"/>
    <w:rsid w:val="003766DF"/>
    <w:rsid w:val="0038074E"/>
    <w:rsid w:val="00384D19"/>
    <w:rsid w:val="003962A2"/>
    <w:rsid w:val="003C03F1"/>
    <w:rsid w:val="003C09D0"/>
    <w:rsid w:val="003C6FB2"/>
    <w:rsid w:val="004041AC"/>
    <w:rsid w:val="00441933"/>
    <w:rsid w:val="004712A2"/>
    <w:rsid w:val="00480279"/>
    <w:rsid w:val="004A0520"/>
    <w:rsid w:val="004A29CC"/>
    <w:rsid w:val="004A45EB"/>
    <w:rsid w:val="004B6445"/>
    <w:rsid w:val="004E4836"/>
    <w:rsid w:val="004E56E7"/>
    <w:rsid w:val="004F64DE"/>
    <w:rsid w:val="0052260C"/>
    <w:rsid w:val="0052760B"/>
    <w:rsid w:val="005350CB"/>
    <w:rsid w:val="0054464E"/>
    <w:rsid w:val="00555D8F"/>
    <w:rsid w:val="005610A6"/>
    <w:rsid w:val="00561CAA"/>
    <w:rsid w:val="00566B62"/>
    <w:rsid w:val="005822FD"/>
    <w:rsid w:val="00583831"/>
    <w:rsid w:val="005851BF"/>
    <w:rsid w:val="00590EE2"/>
    <w:rsid w:val="00593B75"/>
    <w:rsid w:val="00594CBD"/>
    <w:rsid w:val="00595CBD"/>
    <w:rsid w:val="005C0E43"/>
    <w:rsid w:val="005C6233"/>
    <w:rsid w:val="005C68B9"/>
    <w:rsid w:val="005D26EB"/>
    <w:rsid w:val="005D73CE"/>
    <w:rsid w:val="005E4AE7"/>
    <w:rsid w:val="005F295D"/>
    <w:rsid w:val="005F4AC0"/>
    <w:rsid w:val="00600D78"/>
    <w:rsid w:val="006047BB"/>
    <w:rsid w:val="00616112"/>
    <w:rsid w:val="006169D4"/>
    <w:rsid w:val="00623634"/>
    <w:rsid w:val="0063200F"/>
    <w:rsid w:val="00660CAD"/>
    <w:rsid w:val="006C15CA"/>
    <w:rsid w:val="006D2D6E"/>
    <w:rsid w:val="006E4F97"/>
    <w:rsid w:val="006F04BB"/>
    <w:rsid w:val="007100D5"/>
    <w:rsid w:val="007139B1"/>
    <w:rsid w:val="00715FCB"/>
    <w:rsid w:val="00720B1B"/>
    <w:rsid w:val="00720D1F"/>
    <w:rsid w:val="00726AEA"/>
    <w:rsid w:val="007452C7"/>
    <w:rsid w:val="00761532"/>
    <w:rsid w:val="00765B17"/>
    <w:rsid w:val="007A7A8C"/>
    <w:rsid w:val="007B48DD"/>
    <w:rsid w:val="007C580A"/>
    <w:rsid w:val="007D2077"/>
    <w:rsid w:val="00817624"/>
    <w:rsid w:val="00893282"/>
    <w:rsid w:val="008A67AA"/>
    <w:rsid w:val="008C080D"/>
    <w:rsid w:val="008C1FFE"/>
    <w:rsid w:val="008C5E35"/>
    <w:rsid w:val="008C70E0"/>
    <w:rsid w:val="008C7966"/>
    <w:rsid w:val="008D4DF0"/>
    <w:rsid w:val="008E5CA5"/>
    <w:rsid w:val="008F7DC3"/>
    <w:rsid w:val="00912538"/>
    <w:rsid w:val="00931D7B"/>
    <w:rsid w:val="00963E2F"/>
    <w:rsid w:val="0097100A"/>
    <w:rsid w:val="00986B2F"/>
    <w:rsid w:val="009B4B1F"/>
    <w:rsid w:val="009C7E9A"/>
    <w:rsid w:val="009D3DA5"/>
    <w:rsid w:val="009E74FC"/>
    <w:rsid w:val="00A30A9B"/>
    <w:rsid w:val="00A37A88"/>
    <w:rsid w:val="00A4066D"/>
    <w:rsid w:val="00A42301"/>
    <w:rsid w:val="00A5408F"/>
    <w:rsid w:val="00A5447F"/>
    <w:rsid w:val="00A73136"/>
    <w:rsid w:val="00A87D08"/>
    <w:rsid w:val="00AA5A30"/>
    <w:rsid w:val="00AE3EE6"/>
    <w:rsid w:val="00B13362"/>
    <w:rsid w:val="00B2240D"/>
    <w:rsid w:val="00B26E35"/>
    <w:rsid w:val="00B37A49"/>
    <w:rsid w:val="00B419D9"/>
    <w:rsid w:val="00B537A5"/>
    <w:rsid w:val="00B67766"/>
    <w:rsid w:val="00B87E45"/>
    <w:rsid w:val="00B96E03"/>
    <w:rsid w:val="00BA4EA3"/>
    <w:rsid w:val="00BB0341"/>
    <w:rsid w:val="00BB5CAB"/>
    <w:rsid w:val="00BC6B44"/>
    <w:rsid w:val="00BD15D7"/>
    <w:rsid w:val="00BD41D8"/>
    <w:rsid w:val="00C02C42"/>
    <w:rsid w:val="00C0567D"/>
    <w:rsid w:val="00C1698E"/>
    <w:rsid w:val="00C223EB"/>
    <w:rsid w:val="00C30992"/>
    <w:rsid w:val="00C407C3"/>
    <w:rsid w:val="00C471B4"/>
    <w:rsid w:val="00C5596C"/>
    <w:rsid w:val="00C73D6D"/>
    <w:rsid w:val="00C7567E"/>
    <w:rsid w:val="00C94DB9"/>
    <w:rsid w:val="00CA0A10"/>
    <w:rsid w:val="00CC699D"/>
    <w:rsid w:val="00CD3E6C"/>
    <w:rsid w:val="00CE27AA"/>
    <w:rsid w:val="00CF21F8"/>
    <w:rsid w:val="00CF693E"/>
    <w:rsid w:val="00D37AE9"/>
    <w:rsid w:val="00D53B2B"/>
    <w:rsid w:val="00D56DF4"/>
    <w:rsid w:val="00DA2EFC"/>
    <w:rsid w:val="00DB4831"/>
    <w:rsid w:val="00DE3CA2"/>
    <w:rsid w:val="00E10891"/>
    <w:rsid w:val="00E3478C"/>
    <w:rsid w:val="00E45AB4"/>
    <w:rsid w:val="00E561AE"/>
    <w:rsid w:val="00E62876"/>
    <w:rsid w:val="00E63003"/>
    <w:rsid w:val="00E777DC"/>
    <w:rsid w:val="00EC41F2"/>
    <w:rsid w:val="00EC7142"/>
    <w:rsid w:val="00ED0C26"/>
    <w:rsid w:val="00EE356E"/>
    <w:rsid w:val="00EE5C57"/>
    <w:rsid w:val="00F12F19"/>
    <w:rsid w:val="00F14E6F"/>
    <w:rsid w:val="00F25CC2"/>
    <w:rsid w:val="00F40324"/>
    <w:rsid w:val="00F4234A"/>
    <w:rsid w:val="00F64EE9"/>
    <w:rsid w:val="00F75CE1"/>
    <w:rsid w:val="00F772C2"/>
    <w:rsid w:val="00F908A4"/>
    <w:rsid w:val="00FA3D08"/>
    <w:rsid w:val="00FC6B3D"/>
    <w:rsid w:val="00FC7A0A"/>
    <w:rsid w:val="00FD18D1"/>
    <w:rsid w:val="00FD3E02"/>
    <w:rsid w:val="00FE32E9"/>
    <w:rsid w:val="00FE7D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783F0BA"/>
  <w15:chartTrackingRefBased/>
  <w15:docId w15:val="{75709931-A638-411F-B903-B4E575EAB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goe UI" w:eastAsia="Times New Roman" w:hAnsi="Segoe UI" w:cs="Times New Roman"/>
        <w:kern w:val="2"/>
        <w:lang w:val="de-DE" w:eastAsia="de-DE" w:bidi="ar-SA"/>
        <w14:ligatures w14:val="standardContextual"/>
      </w:rPr>
    </w:rPrDefault>
    <w:pPrDefault/>
  </w:docDefaults>
  <w:latentStyles w:defLockedState="0" w:defUIPriority="0" w:defSemiHidden="0" w:defUnhideWhenUsed="0" w:defQFormat="0" w:count="376">
    <w:lsdException w:name="Normal" w:qFormat="1"/>
    <w:lsdException w:name="heading 1" w:uiPriority="4" w:qFormat="1"/>
    <w:lsdException w:name="heading 2" w:uiPriority="4" w:qFormat="1"/>
    <w:lsdException w:name="heading 3" w:uiPriority="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760B"/>
    <w:pPr>
      <w:spacing w:after="160" w:line="252" w:lineRule="auto"/>
      <w:jc w:val="both"/>
    </w:pPr>
    <w:rPr>
      <w:rFonts w:asciiTheme="minorHAnsi" w:eastAsiaTheme="minorEastAsia" w:hAnsiTheme="minorHAnsi" w:cstheme="minorBidi"/>
      <w:kern w:val="0"/>
      <w:sz w:val="22"/>
      <w:szCs w:val="22"/>
      <w14:ligatures w14:val="none"/>
    </w:rPr>
  </w:style>
  <w:style w:type="paragraph" w:styleId="Heading1">
    <w:name w:val="heading 1"/>
    <w:basedOn w:val="Normal"/>
    <w:next w:val="BodyText"/>
    <w:link w:val="Heading1Char"/>
    <w:uiPriority w:val="4"/>
    <w:qFormat/>
    <w:rsid w:val="005851BF"/>
    <w:pPr>
      <w:keepNext/>
      <w:tabs>
        <w:tab w:val="left" w:pos="851"/>
      </w:tabs>
      <w:spacing w:before="240" w:after="240" w:line="288" w:lineRule="auto"/>
      <w:jc w:val="left"/>
      <w:outlineLvl w:val="0"/>
    </w:pPr>
    <w:rPr>
      <w:rFonts w:ascii="Segoe UI" w:eastAsia="Times New Roman" w:hAnsi="Segoe UI" w:cs="Arial"/>
      <w:b/>
      <w:bCs/>
      <w:kern w:val="28"/>
      <w:sz w:val="28"/>
      <w:szCs w:val="28"/>
      <w:lang w:val="en-US"/>
      <w14:ligatures w14:val="standardContextual"/>
    </w:rPr>
  </w:style>
  <w:style w:type="paragraph" w:styleId="Heading2">
    <w:name w:val="heading 2"/>
    <w:basedOn w:val="Heading1"/>
    <w:next w:val="BodyText"/>
    <w:uiPriority w:val="4"/>
    <w:qFormat/>
    <w:rsid w:val="005851BF"/>
    <w:pPr>
      <w:numPr>
        <w:ilvl w:val="1"/>
      </w:numPr>
      <w:ind w:left="851" w:hanging="851"/>
      <w:outlineLvl w:val="1"/>
    </w:pPr>
    <w:rPr>
      <w:bCs w:val="0"/>
      <w:iCs/>
      <w:kern w:val="24"/>
      <w:sz w:val="24"/>
      <w:szCs w:val="24"/>
    </w:rPr>
  </w:style>
  <w:style w:type="paragraph" w:styleId="Heading3">
    <w:name w:val="heading 3"/>
    <w:basedOn w:val="Heading1"/>
    <w:next w:val="BodyText"/>
    <w:link w:val="Heading3Char"/>
    <w:uiPriority w:val="4"/>
    <w:qFormat/>
    <w:rsid w:val="005851BF"/>
    <w:pPr>
      <w:numPr>
        <w:ilvl w:val="2"/>
      </w:numPr>
      <w:ind w:left="851" w:hanging="851"/>
      <w:outlineLvl w:val="2"/>
    </w:pPr>
    <w:rPr>
      <w:bCs w:val="0"/>
      <w:kern w:val="22"/>
      <w:sz w:val="22"/>
      <w:szCs w:val="22"/>
    </w:rPr>
  </w:style>
  <w:style w:type="paragraph" w:styleId="Heading4">
    <w:name w:val="heading 4"/>
    <w:basedOn w:val="Heading1"/>
    <w:next w:val="Normal"/>
    <w:rsid w:val="00261A22"/>
    <w:pPr>
      <w:numPr>
        <w:ilvl w:val="3"/>
      </w:numPr>
      <w:ind w:left="851" w:hanging="851"/>
      <w:outlineLvl w:val="3"/>
    </w:pPr>
    <w:rPr>
      <w:bCs w:val="0"/>
      <w:kern w:val="20"/>
      <w:sz w:val="20"/>
      <w:szCs w:val="20"/>
    </w:rPr>
  </w:style>
  <w:style w:type="paragraph" w:styleId="Heading5">
    <w:name w:val="heading 5"/>
    <w:basedOn w:val="Normal"/>
    <w:next w:val="Normal"/>
    <w:rsid w:val="00E63003"/>
    <w:pPr>
      <w:numPr>
        <w:ilvl w:val="4"/>
        <w:numId w:val="2"/>
      </w:numPr>
      <w:spacing w:before="240" w:after="60" w:line="312" w:lineRule="auto"/>
      <w:jc w:val="left"/>
      <w:outlineLvl w:val="4"/>
    </w:pPr>
    <w:rPr>
      <w:rFonts w:ascii="Segoe UI" w:eastAsia="Times New Roman" w:hAnsi="Segoe UI" w:cs="Times New Roman"/>
      <w:b/>
      <w:bCs/>
      <w:i/>
      <w:iCs/>
      <w:kern w:val="2"/>
      <w:sz w:val="26"/>
      <w:szCs w:val="26"/>
      <w:lang w:val="en-US"/>
      <w14:ligatures w14:val="standardContextual"/>
    </w:rPr>
  </w:style>
  <w:style w:type="paragraph" w:styleId="Heading6">
    <w:name w:val="heading 6"/>
    <w:basedOn w:val="Normal"/>
    <w:next w:val="Normal"/>
    <w:rsid w:val="00E63003"/>
    <w:pPr>
      <w:numPr>
        <w:ilvl w:val="5"/>
        <w:numId w:val="2"/>
      </w:numPr>
      <w:spacing w:before="240" w:after="60" w:line="312" w:lineRule="auto"/>
      <w:jc w:val="left"/>
      <w:outlineLvl w:val="5"/>
    </w:pPr>
    <w:rPr>
      <w:rFonts w:ascii="Times New Roman" w:eastAsia="Times New Roman" w:hAnsi="Times New Roman" w:cs="Times New Roman"/>
      <w:b/>
      <w:bCs/>
      <w:kern w:val="2"/>
      <w:sz w:val="20"/>
      <w:lang w:val="en-US"/>
      <w14:ligatures w14:val="standardContextual"/>
    </w:rPr>
  </w:style>
  <w:style w:type="paragraph" w:styleId="Heading7">
    <w:name w:val="heading 7"/>
    <w:basedOn w:val="Normal"/>
    <w:next w:val="Normal"/>
    <w:rsid w:val="00E63003"/>
    <w:pPr>
      <w:numPr>
        <w:ilvl w:val="6"/>
        <w:numId w:val="2"/>
      </w:numPr>
      <w:spacing w:before="240" w:after="60" w:line="312" w:lineRule="auto"/>
      <w:jc w:val="left"/>
      <w:outlineLvl w:val="6"/>
    </w:pPr>
    <w:rPr>
      <w:rFonts w:ascii="Times New Roman" w:eastAsia="Times New Roman" w:hAnsi="Times New Roman" w:cs="Times New Roman"/>
      <w:kern w:val="2"/>
      <w:sz w:val="24"/>
      <w:szCs w:val="24"/>
      <w:lang w:val="en-US"/>
      <w14:ligatures w14:val="standardContextual"/>
    </w:rPr>
  </w:style>
  <w:style w:type="paragraph" w:styleId="Heading8">
    <w:name w:val="heading 8"/>
    <w:basedOn w:val="Normal"/>
    <w:next w:val="Normal"/>
    <w:rsid w:val="00E63003"/>
    <w:pPr>
      <w:numPr>
        <w:ilvl w:val="7"/>
        <w:numId w:val="2"/>
      </w:numPr>
      <w:spacing w:before="240" w:after="60" w:line="312" w:lineRule="auto"/>
      <w:jc w:val="left"/>
      <w:outlineLvl w:val="7"/>
    </w:pPr>
    <w:rPr>
      <w:rFonts w:ascii="Times New Roman" w:eastAsia="Times New Roman" w:hAnsi="Times New Roman" w:cs="Times New Roman"/>
      <w:i/>
      <w:iCs/>
      <w:kern w:val="2"/>
      <w:sz w:val="24"/>
      <w:szCs w:val="24"/>
      <w:lang w:val="en-US"/>
      <w14:ligatures w14:val="standardContextual"/>
    </w:rPr>
  </w:style>
  <w:style w:type="paragraph" w:styleId="Heading9">
    <w:name w:val="heading 9"/>
    <w:basedOn w:val="Normal"/>
    <w:next w:val="Normal"/>
    <w:rsid w:val="00E63003"/>
    <w:pPr>
      <w:numPr>
        <w:ilvl w:val="8"/>
        <w:numId w:val="2"/>
      </w:numPr>
      <w:spacing w:before="240" w:after="60" w:line="312" w:lineRule="auto"/>
      <w:jc w:val="left"/>
      <w:outlineLvl w:val="8"/>
    </w:pPr>
    <w:rPr>
      <w:rFonts w:ascii="Segoe UI" w:eastAsia="Times New Roman" w:hAnsi="Segoe UI" w:cs="Arial"/>
      <w:kern w:val="2"/>
      <w:sz w:val="20"/>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61A22"/>
    <w:pPr>
      <w:tabs>
        <w:tab w:val="center" w:pos="4820"/>
        <w:tab w:val="right" w:pos="9639"/>
      </w:tabs>
      <w:spacing w:before="60" w:after="0" w:line="240" w:lineRule="auto"/>
      <w:jc w:val="left"/>
    </w:pPr>
    <w:rPr>
      <w:rFonts w:ascii="Segoe UI" w:eastAsia="Times New Roman" w:hAnsi="Segoe UI" w:cs="Times New Roman"/>
      <w:kern w:val="2"/>
      <w:sz w:val="16"/>
      <w:szCs w:val="20"/>
      <w:lang w:val="en-US"/>
      <w14:ligatures w14:val="standardContextual"/>
    </w:rPr>
  </w:style>
  <w:style w:type="paragraph" w:styleId="Footer">
    <w:name w:val="footer"/>
    <w:basedOn w:val="Normal"/>
    <w:link w:val="FooterChar"/>
    <w:uiPriority w:val="99"/>
    <w:rsid w:val="00261A22"/>
    <w:pPr>
      <w:tabs>
        <w:tab w:val="center" w:pos="4820"/>
        <w:tab w:val="right" w:pos="9639"/>
      </w:tabs>
      <w:spacing w:before="60" w:after="0" w:line="240" w:lineRule="auto"/>
      <w:jc w:val="left"/>
    </w:pPr>
    <w:rPr>
      <w:rFonts w:ascii="Segoe UI" w:eastAsia="Times New Roman" w:hAnsi="Segoe UI" w:cs="Times New Roman"/>
      <w:kern w:val="2"/>
      <w:sz w:val="16"/>
      <w:szCs w:val="20"/>
      <w:lang w:val="en-US"/>
      <w14:ligatures w14:val="standardContextual"/>
    </w:rPr>
  </w:style>
  <w:style w:type="character" w:styleId="PageNumber">
    <w:name w:val="page number"/>
    <w:basedOn w:val="DefaultParagraphFont"/>
    <w:semiHidden/>
    <w:rsid w:val="000776B5"/>
  </w:style>
  <w:style w:type="numbering" w:styleId="111111">
    <w:name w:val="Outline List 2"/>
    <w:basedOn w:val="NoList"/>
    <w:semiHidden/>
    <w:rsid w:val="00E63003"/>
    <w:pPr>
      <w:numPr>
        <w:numId w:val="1"/>
      </w:numPr>
    </w:pPr>
  </w:style>
  <w:style w:type="paragraph" w:customStyle="1" w:styleId="Aufzhlung">
    <w:name w:val="Aufzählung"/>
    <w:basedOn w:val="Normal"/>
    <w:uiPriority w:val="2"/>
    <w:qFormat/>
    <w:rsid w:val="005851BF"/>
    <w:pPr>
      <w:numPr>
        <w:numId w:val="31"/>
      </w:numPr>
      <w:spacing w:before="60" w:after="60" w:line="312" w:lineRule="auto"/>
      <w:contextualSpacing/>
      <w:jc w:val="left"/>
    </w:pPr>
    <w:rPr>
      <w:rFonts w:ascii="Segoe UI" w:eastAsia="Times New Roman" w:hAnsi="Segoe UI" w:cs="Times New Roman"/>
      <w:kern w:val="2"/>
      <w:sz w:val="20"/>
      <w:szCs w:val="20"/>
      <w:lang w:val="en-US"/>
      <w14:ligatures w14:val="standardContextual"/>
    </w:rPr>
  </w:style>
  <w:style w:type="paragraph" w:styleId="Caption">
    <w:name w:val="caption"/>
    <w:basedOn w:val="BodyText"/>
    <w:next w:val="BodyText"/>
    <w:rsid w:val="000F3112"/>
    <w:pPr>
      <w:spacing w:before="120"/>
    </w:pPr>
    <w:rPr>
      <w:b/>
      <w:bCs/>
      <w:sz w:val="22"/>
    </w:rPr>
  </w:style>
  <w:style w:type="paragraph" w:styleId="BodyText">
    <w:name w:val="Body Text"/>
    <w:basedOn w:val="Normal"/>
    <w:rsid w:val="00261A22"/>
    <w:pPr>
      <w:spacing w:before="60" w:after="60" w:line="312" w:lineRule="auto"/>
      <w:jc w:val="left"/>
    </w:pPr>
    <w:rPr>
      <w:rFonts w:ascii="Segoe UI" w:eastAsia="Times New Roman" w:hAnsi="Segoe UI" w:cs="Times New Roman"/>
      <w:kern w:val="2"/>
      <w:sz w:val="20"/>
      <w:szCs w:val="20"/>
      <w:lang w:val="en-US"/>
      <w14:ligatures w14:val="standardContextual"/>
    </w:rPr>
  </w:style>
  <w:style w:type="table" w:customStyle="1" w:styleId="NormaleTabelleEmpa">
    <w:name w:val="Normale Tabelle Empa"/>
    <w:basedOn w:val="TableNormal"/>
    <w:rsid w:val="00261A22"/>
    <w:rPr>
      <w:rFonts w:ascii="Arial" w:hAnsi="Arial"/>
    </w:rPr>
    <w:tblPr/>
  </w:style>
  <w:style w:type="table" w:styleId="TableGrid">
    <w:name w:val="Table Grid"/>
    <w:basedOn w:val="NormaleTabelleEmpa"/>
    <w:rsid w:val="000F3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BodyText"/>
    <w:link w:val="TitleChar"/>
    <w:uiPriority w:val="5"/>
    <w:qFormat/>
    <w:rsid w:val="005851BF"/>
    <w:pPr>
      <w:spacing w:before="240" w:after="240" w:line="288" w:lineRule="auto"/>
      <w:jc w:val="left"/>
      <w:outlineLvl w:val="0"/>
    </w:pPr>
    <w:rPr>
      <w:rFonts w:ascii="Segoe UI" w:eastAsia="Times New Roman" w:hAnsi="Segoe UI" w:cs="Arial"/>
      <w:b/>
      <w:bCs/>
      <w:kern w:val="32"/>
      <w:sz w:val="32"/>
      <w:szCs w:val="32"/>
      <w:lang w:val="en-US"/>
      <w14:ligatures w14:val="standardContextual"/>
    </w:rPr>
  </w:style>
  <w:style w:type="character" w:customStyle="1" w:styleId="Heading1Char">
    <w:name w:val="Heading 1 Char"/>
    <w:basedOn w:val="DefaultParagraphFont"/>
    <w:link w:val="Heading1"/>
    <w:uiPriority w:val="4"/>
    <w:rsid w:val="005851BF"/>
    <w:rPr>
      <w:rFonts w:cs="Arial"/>
      <w:b/>
      <w:bCs/>
      <w:kern w:val="28"/>
      <w:sz w:val="28"/>
      <w:szCs w:val="28"/>
    </w:rPr>
  </w:style>
  <w:style w:type="character" w:customStyle="1" w:styleId="Heading3Char">
    <w:name w:val="Heading 3 Char"/>
    <w:basedOn w:val="Heading1Char"/>
    <w:link w:val="Heading3"/>
    <w:uiPriority w:val="4"/>
    <w:rsid w:val="005851BF"/>
    <w:rPr>
      <w:rFonts w:cs="Arial"/>
      <w:b/>
      <w:bCs w:val="0"/>
      <w:kern w:val="22"/>
      <w:sz w:val="22"/>
      <w:szCs w:val="22"/>
    </w:rPr>
  </w:style>
  <w:style w:type="paragraph" w:styleId="TableofFigures">
    <w:name w:val="table of figures"/>
    <w:basedOn w:val="Normal"/>
    <w:next w:val="Normal"/>
    <w:semiHidden/>
    <w:rsid w:val="00261A22"/>
    <w:pPr>
      <w:spacing w:before="60" w:after="60" w:line="312" w:lineRule="auto"/>
      <w:jc w:val="left"/>
    </w:pPr>
    <w:rPr>
      <w:rFonts w:ascii="Segoe UI" w:eastAsia="Times New Roman" w:hAnsi="Segoe UI" w:cs="Times New Roman"/>
      <w:kern w:val="2"/>
      <w:sz w:val="20"/>
      <w:szCs w:val="20"/>
      <w:lang w:val="en-US"/>
      <w14:ligatures w14:val="standardContextual"/>
    </w:rPr>
  </w:style>
  <w:style w:type="paragraph" w:styleId="TOC1">
    <w:name w:val="toc 1"/>
    <w:basedOn w:val="Normal"/>
    <w:next w:val="Normal"/>
    <w:autoRedefine/>
    <w:rsid w:val="00E561AE"/>
    <w:pPr>
      <w:tabs>
        <w:tab w:val="left" w:pos="720"/>
        <w:tab w:val="right" w:leader="dot" w:pos="9628"/>
      </w:tabs>
      <w:spacing w:before="60" w:after="60" w:line="312" w:lineRule="auto"/>
      <w:jc w:val="left"/>
    </w:pPr>
    <w:rPr>
      <w:rFonts w:ascii="Segoe UI" w:eastAsia="Times New Roman" w:hAnsi="Segoe UI" w:cs="Times New Roman"/>
      <w:b/>
      <w:noProof/>
      <w:kern w:val="2"/>
      <w:sz w:val="20"/>
      <w:szCs w:val="20"/>
      <w:lang w:val="en-US"/>
      <w14:ligatures w14:val="standardContextual"/>
    </w:rPr>
  </w:style>
  <w:style w:type="paragraph" w:styleId="TOC2">
    <w:name w:val="toc 2"/>
    <w:basedOn w:val="Normal"/>
    <w:next w:val="Normal"/>
    <w:autoRedefine/>
    <w:rsid w:val="00E561AE"/>
    <w:pPr>
      <w:tabs>
        <w:tab w:val="left" w:pos="720"/>
        <w:tab w:val="right" w:leader="dot" w:pos="9628"/>
      </w:tabs>
      <w:spacing w:before="60" w:after="60" w:line="312" w:lineRule="auto"/>
      <w:jc w:val="left"/>
    </w:pPr>
    <w:rPr>
      <w:rFonts w:ascii="Segoe UI" w:eastAsia="Times New Roman" w:hAnsi="Segoe UI" w:cs="Times New Roman"/>
      <w:noProof/>
      <w:kern w:val="2"/>
      <w:sz w:val="20"/>
      <w:szCs w:val="20"/>
      <w:lang w:val="en-US"/>
      <w14:ligatures w14:val="standardContextual"/>
    </w:rPr>
  </w:style>
  <w:style w:type="paragraph" w:styleId="TOC3">
    <w:name w:val="toc 3"/>
    <w:basedOn w:val="Normal"/>
    <w:next w:val="Normal"/>
    <w:autoRedefine/>
    <w:rsid w:val="00E561AE"/>
    <w:pPr>
      <w:tabs>
        <w:tab w:val="left" w:pos="720"/>
        <w:tab w:val="right" w:leader="dot" w:pos="9628"/>
      </w:tabs>
      <w:spacing w:before="60" w:after="60" w:line="312" w:lineRule="auto"/>
      <w:jc w:val="left"/>
    </w:pPr>
    <w:rPr>
      <w:rFonts w:ascii="Segoe UI" w:eastAsia="Times New Roman" w:hAnsi="Segoe UI" w:cs="Times New Roman"/>
      <w:noProof/>
      <w:kern w:val="2"/>
      <w:sz w:val="20"/>
      <w:szCs w:val="20"/>
      <w:lang w:val="en-US"/>
      <w14:ligatures w14:val="standardContextual"/>
    </w:rPr>
  </w:style>
  <w:style w:type="character" w:styleId="Hyperlink">
    <w:name w:val="Hyperlink"/>
    <w:basedOn w:val="DefaultParagraphFont"/>
    <w:rsid w:val="00E561AE"/>
    <w:rPr>
      <w:color w:val="0000FF"/>
      <w:u w:val="single"/>
    </w:rPr>
  </w:style>
  <w:style w:type="numbering" w:styleId="1ai">
    <w:name w:val="Outline List 1"/>
    <w:basedOn w:val="NoList"/>
    <w:semiHidden/>
    <w:rsid w:val="00B37A49"/>
    <w:pPr>
      <w:numPr>
        <w:numId w:val="28"/>
      </w:numPr>
    </w:pPr>
  </w:style>
  <w:style w:type="paragraph" w:styleId="Salutation">
    <w:name w:val="Salutation"/>
    <w:basedOn w:val="Normal"/>
    <w:next w:val="Normal"/>
    <w:semiHidden/>
    <w:rsid w:val="00B37A49"/>
    <w:pPr>
      <w:spacing w:before="60" w:after="60" w:line="312" w:lineRule="auto"/>
      <w:jc w:val="left"/>
    </w:pPr>
    <w:rPr>
      <w:rFonts w:ascii="Segoe UI" w:eastAsia="Times New Roman" w:hAnsi="Segoe UI" w:cs="Times New Roman"/>
      <w:kern w:val="2"/>
      <w:sz w:val="20"/>
      <w:szCs w:val="20"/>
      <w:lang w:val="en-US"/>
      <w14:ligatures w14:val="standardContextual"/>
    </w:rPr>
  </w:style>
  <w:style w:type="numbering" w:styleId="ArticleSection">
    <w:name w:val="Outline List 3"/>
    <w:basedOn w:val="NoList"/>
    <w:semiHidden/>
    <w:rsid w:val="00B37A49"/>
    <w:pPr>
      <w:numPr>
        <w:numId w:val="29"/>
      </w:numPr>
    </w:pPr>
  </w:style>
  <w:style w:type="paragraph" w:styleId="BalloonText">
    <w:name w:val="Balloon Text"/>
    <w:basedOn w:val="Normal"/>
    <w:link w:val="BalloonTextChar"/>
    <w:rsid w:val="00D37AE9"/>
    <w:pPr>
      <w:spacing w:after="0" w:line="240" w:lineRule="auto"/>
      <w:jc w:val="left"/>
    </w:pPr>
    <w:rPr>
      <w:rFonts w:ascii="Tahoma" w:eastAsia="Times New Roman" w:hAnsi="Tahoma" w:cs="Tahoma"/>
      <w:kern w:val="2"/>
      <w:sz w:val="16"/>
      <w:szCs w:val="16"/>
      <w:lang w:val="en-US"/>
      <w14:ligatures w14:val="standardContextual"/>
    </w:rPr>
  </w:style>
  <w:style w:type="character" w:customStyle="1" w:styleId="BalloonTextChar">
    <w:name w:val="Balloon Text Char"/>
    <w:basedOn w:val="DefaultParagraphFont"/>
    <w:link w:val="BalloonText"/>
    <w:rsid w:val="00D37AE9"/>
    <w:rPr>
      <w:rFonts w:ascii="Tahoma" w:hAnsi="Tahoma" w:cs="Tahoma"/>
      <w:sz w:val="16"/>
      <w:szCs w:val="16"/>
      <w:lang w:val="de-CH" w:eastAsia="de-CH"/>
    </w:rPr>
  </w:style>
  <w:style w:type="character" w:customStyle="1" w:styleId="TitleChar">
    <w:name w:val="Title Char"/>
    <w:basedOn w:val="DefaultParagraphFont"/>
    <w:link w:val="Title"/>
    <w:uiPriority w:val="5"/>
    <w:rsid w:val="005851BF"/>
    <w:rPr>
      <w:rFonts w:cs="Arial"/>
      <w:b/>
      <w:bCs/>
      <w:kern w:val="32"/>
      <w:sz w:val="32"/>
      <w:szCs w:val="32"/>
    </w:rPr>
  </w:style>
  <w:style w:type="paragraph" w:styleId="Subtitle">
    <w:name w:val="Subtitle"/>
    <w:basedOn w:val="Normal"/>
    <w:next w:val="Normal"/>
    <w:link w:val="SubtitleChar"/>
    <w:uiPriority w:val="5"/>
    <w:qFormat/>
    <w:rsid w:val="005851BF"/>
    <w:pPr>
      <w:numPr>
        <w:ilvl w:val="1"/>
      </w:numPr>
      <w:spacing w:before="60" w:after="60" w:line="312" w:lineRule="auto"/>
      <w:jc w:val="left"/>
    </w:pPr>
    <w:rPr>
      <w:rFonts w:ascii="Segoe UI" w:eastAsiaTheme="majorEastAsia" w:hAnsi="Segoe UI" w:cstheme="majorBidi"/>
      <w:b/>
      <w:iCs/>
      <w:kern w:val="2"/>
      <w:sz w:val="24"/>
      <w:szCs w:val="24"/>
      <w:lang w:val="en-US"/>
      <w14:ligatures w14:val="standardContextual"/>
    </w:rPr>
  </w:style>
  <w:style w:type="character" w:customStyle="1" w:styleId="SubtitleChar">
    <w:name w:val="Subtitle Char"/>
    <w:basedOn w:val="DefaultParagraphFont"/>
    <w:link w:val="Subtitle"/>
    <w:uiPriority w:val="5"/>
    <w:rsid w:val="005851BF"/>
    <w:rPr>
      <w:rFonts w:eastAsiaTheme="majorEastAsia" w:cstheme="majorBidi"/>
      <w:b/>
      <w:iCs/>
      <w:sz w:val="24"/>
      <w:szCs w:val="24"/>
    </w:rPr>
  </w:style>
  <w:style w:type="paragraph" w:styleId="NoSpacing">
    <w:name w:val="No Spacing"/>
    <w:uiPriority w:val="1"/>
    <w:qFormat/>
    <w:rsid w:val="005851BF"/>
  </w:style>
  <w:style w:type="paragraph" w:styleId="ListParagraph">
    <w:name w:val="List Paragraph"/>
    <w:basedOn w:val="Normal"/>
    <w:uiPriority w:val="3"/>
    <w:qFormat/>
    <w:rsid w:val="005851BF"/>
    <w:pPr>
      <w:numPr>
        <w:numId w:val="30"/>
      </w:numPr>
      <w:spacing w:before="60" w:after="60" w:line="312" w:lineRule="auto"/>
      <w:contextualSpacing/>
      <w:jc w:val="left"/>
    </w:pPr>
    <w:rPr>
      <w:rFonts w:ascii="Segoe UI" w:eastAsia="Times New Roman" w:hAnsi="Segoe UI" w:cs="Times New Roman"/>
      <w:kern w:val="2"/>
      <w:sz w:val="20"/>
      <w:szCs w:val="20"/>
      <w:lang w:val="en-US"/>
      <w14:ligatures w14:val="standardContextual"/>
    </w:rPr>
  </w:style>
  <w:style w:type="paragraph" w:styleId="Quote">
    <w:name w:val="Quote"/>
    <w:basedOn w:val="Normal"/>
    <w:next w:val="Normal"/>
    <w:link w:val="QuoteChar"/>
    <w:uiPriority w:val="29"/>
    <w:rsid w:val="0052760B"/>
    <w:pPr>
      <w:spacing w:before="160" w:line="312" w:lineRule="auto"/>
      <w:jc w:val="center"/>
    </w:pPr>
    <w:rPr>
      <w:rFonts w:ascii="Segoe UI" w:eastAsia="Times New Roman" w:hAnsi="Segoe UI" w:cs="Times New Roman"/>
      <w:i/>
      <w:iCs/>
      <w:color w:val="404040" w:themeColor="text1" w:themeTint="BF"/>
      <w:kern w:val="2"/>
      <w:sz w:val="20"/>
      <w:szCs w:val="20"/>
      <w:lang w:val="en-US"/>
      <w14:ligatures w14:val="standardContextual"/>
    </w:rPr>
  </w:style>
  <w:style w:type="character" w:customStyle="1" w:styleId="QuoteChar">
    <w:name w:val="Quote Char"/>
    <w:basedOn w:val="DefaultParagraphFont"/>
    <w:link w:val="Quote"/>
    <w:uiPriority w:val="29"/>
    <w:rsid w:val="0052760B"/>
    <w:rPr>
      <w:i/>
      <w:iCs/>
      <w:color w:val="404040" w:themeColor="text1" w:themeTint="BF"/>
      <w:lang w:val="en-US"/>
    </w:rPr>
  </w:style>
  <w:style w:type="character" w:styleId="IntenseEmphasis">
    <w:name w:val="Intense Emphasis"/>
    <w:basedOn w:val="DefaultParagraphFont"/>
    <w:uiPriority w:val="21"/>
    <w:rsid w:val="0052760B"/>
    <w:rPr>
      <w:i/>
      <w:iCs/>
      <w:color w:val="474747" w:themeColor="accent1" w:themeShade="BF"/>
    </w:rPr>
  </w:style>
  <w:style w:type="paragraph" w:styleId="IntenseQuote">
    <w:name w:val="Intense Quote"/>
    <w:basedOn w:val="Normal"/>
    <w:next w:val="Normal"/>
    <w:link w:val="IntenseQuoteChar"/>
    <w:uiPriority w:val="30"/>
    <w:rsid w:val="0052760B"/>
    <w:pPr>
      <w:pBdr>
        <w:top w:val="single" w:sz="4" w:space="10" w:color="474747" w:themeColor="accent1" w:themeShade="BF"/>
        <w:bottom w:val="single" w:sz="4" w:space="10" w:color="474747" w:themeColor="accent1" w:themeShade="BF"/>
      </w:pBdr>
      <w:spacing w:before="360" w:after="360" w:line="312" w:lineRule="auto"/>
      <w:ind w:left="864" w:right="864"/>
      <w:jc w:val="center"/>
    </w:pPr>
    <w:rPr>
      <w:rFonts w:ascii="Segoe UI" w:eastAsia="Times New Roman" w:hAnsi="Segoe UI" w:cs="Times New Roman"/>
      <w:i/>
      <w:iCs/>
      <w:color w:val="474747" w:themeColor="accent1" w:themeShade="BF"/>
      <w:kern w:val="2"/>
      <w:sz w:val="20"/>
      <w:szCs w:val="20"/>
      <w:lang w:val="en-US"/>
      <w14:ligatures w14:val="standardContextual"/>
    </w:rPr>
  </w:style>
  <w:style w:type="character" w:customStyle="1" w:styleId="IntenseQuoteChar">
    <w:name w:val="Intense Quote Char"/>
    <w:basedOn w:val="DefaultParagraphFont"/>
    <w:link w:val="IntenseQuote"/>
    <w:uiPriority w:val="30"/>
    <w:rsid w:val="0052760B"/>
    <w:rPr>
      <w:i/>
      <w:iCs/>
      <w:color w:val="474747" w:themeColor="accent1" w:themeShade="BF"/>
      <w:lang w:val="en-US"/>
    </w:rPr>
  </w:style>
  <w:style w:type="character" w:styleId="IntenseReference">
    <w:name w:val="Intense Reference"/>
    <w:basedOn w:val="DefaultParagraphFont"/>
    <w:uiPriority w:val="32"/>
    <w:rsid w:val="0052760B"/>
    <w:rPr>
      <w:b/>
      <w:bCs/>
      <w:smallCaps/>
      <w:color w:val="474747" w:themeColor="accent1" w:themeShade="BF"/>
      <w:spacing w:val="5"/>
    </w:rPr>
  </w:style>
  <w:style w:type="character" w:styleId="LineNumber">
    <w:name w:val="line number"/>
    <w:basedOn w:val="DefaultParagraphFont"/>
    <w:semiHidden/>
    <w:unhideWhenUsed/>
    <w:rsid w:val="006047BB"/>
  </w:style>
  <w:style w:type="character" w:customStyle="1" w:styleId="FooterChar">
    <w:name w:val="Footer Char"/>
    <w:basedOn w:val="DefaultParagraphFont"/>
    <w:link w:val="Footer"/>
    <w:uiPriority w:val="99"/>
    <w:rsid w:val="006047BB"/>
    <w:rPr>
      <w:sz w:val="16"/>
      <w:lang w:val="en-US"/>
    </w:rPr>
  </w:style>
  <w:style w:type="character" w:styleId="PlaceholderText">
    <w:name w:val="Placeholder Text"/>
    <w:basedOn w:val="DefaultParagraphFont"/>
    <w:uiPriority w:val="99"/>
    <w:semiHidden/>
    <w:rsid w:val="00FE32E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E943FD99-0EC3-4685-B7F2-26084705B6EF}"/>
      </w:docPartPr>
      <w:docPartBody>
        <w:p w:rsidR="00B7375A" w:rsidRDefault="00463417">
          <w:r w:rsidRPr="004A7FB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417"/>
    <w:rsid w:val="001C6277"/>
    <w:rsid w:val="004041AC"/>
    <w:rsid w:val="004177F8"/>
    <w:rsid w:val="00463417"/>
    <w:rsid w:val="005822FD"/>
    <w:rsid w:val="00852D7D"/>
    <w:rsid w:val="00893282"/>
    <w:rsid w:val="00B7375A"/>
    <w:rsid w:val="00C471B4"/>
    <w:rsid w:val="00E02F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375A"/>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Empa_Word">
  <a:themeElements>
    <a:clrScheme name="Empa_Farben">
      <a:dk1>
        <a:sysClr val="windowText" lastClr="000000"/>
      </a:dk1>
      <a:lt1>
        <a:sysClr val="window" lastClr="FFFFFF"/>
      </a:lt1>
      <a:dk2>
        <a:srgbClr val="9F9F9F"/>
      </a:dk2>
      <a:lt2>
        <a:srgbClr val="DFDFDF"/>
      </a:lt2>
      <a:accent1>
        <a:srgbClr val="5F5F5F"/>
      </a:accent1>
      <a:accent2>
        <a:srgbClr val="5C2E00"/>
      </a:accent2>
      <a:accent3>
        <a:srgbClr val="005400"/>
      </a:accent3>
      <a:accent4>
        <a:srgbClr val="003366"/>
      </a:accent4>
      <a:accent5>
        <a:srgbClr val="C00000"/>
      </a:accent5>
      <a:accent6>
        <a:srgbClr val="C0BC00"/>
      </a:accent6>
      <a:hlink>
        <a:srgbClr val="475A8D"/>
      </a:hlink>
      <a:folHlink>
        <a:srgbClr val="C32D2E"/>
      </a:folHlink>
    </a:clrScheme>
    <a:fontScheme name="Empa_Word">
      <a:majorFont>
        <a:latin typeface="Segoe UI"/>
        <a:ea typeface=""/>
        <a:cs typeface=""/>
      </a:majorFont>
      <a:minorFont>
        <a:latin typeface="Segoe UI"/>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880388D-9594-4FF8-B549-1D0542A2A539}">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96da3728-84ef-4cc2-b3d7-21f1c2b29bd3&quot;,&quot;properties&quot;:{&quot;noteIndex&quot;:0},&quot;isEdited&quot;:false,&quot;manualOverride&quot;:{&quot;isManuallyOverridden&quot;:false,&quot;citeprocText&quot;:&quot;(Bell et al., 2025)&quot;,&quot;manualOverrideText&quot;:&quot;&quot;},&quot;citationTag&quot;:&quot;MENDELEY_CITATION_v3_eyJjaXRhdGlvbklEIjoiTUVOREVMRVlfQ0lUQVRJT05fOTZkYTM3MjgtODRlZi00Y2MyLWIzZDctMjFmMWMyYjI5YmQzIiwicHJvcGVydGllcyI6eyJub3RlSW5kZXgiOjB9LCJpc0VkaXRlZCI6ZmFsc2UsIm1hbnVhbE92ZXJyaWRlIjp7ImlzTWFudWFsbHlPdmVycmlkZGVuIjpmYWxzZSwiY2l0ZXByb2NUZXh0IjoiKEJlbGwgZXQgYWwuLCAyMDI1KSIsIm1hbnVhbE92ZXJyaWRlVGV4dCI6IiJ9LCJjaXRhdGlvbkl0ZW1zIjpbeyJpZCI6IjgxMjkwODA0LTczZDItMzM4OS1iMzBhLWY4NjM4YzNiODE1NiIsIml0ZW1EYXRhIjp7InR5cGUiOiJhcnRpY2xlLWpvdXJuYWwiLCJpZCI6IjgxMjkwODA0LTczZDItMzM4OS1iMzBhLWY4NjM4YzNiODE1NiIsInRpdGxlIjoiQWR2YW5jZWQgdGlzc3VlIHRlY2hub2xvZ2llcyBvZiBibG9vZC1icmFpbiBiYXJyaWVyIG9yZ2Fub2lkcyBhcyBoaWdoIHRocm91Z2hwdXQgdG94aWNpdHkgcmVhZG91dHMgaW4gZHJ1ZyBkZXZlbG9wbWVudCIsImF1dGhvciI6W3siZmFtaWx5IjoiQmVsbCIsImdpdmVuIjoiTHVpc2EiLCJwYXJzZS1uYW1lcyI6ZmFsc2UsImRyb3BwaW5nLXBhcnRpY2xlIjoiIiwibm9uLWRyb3BwaW5nLXBhcnRpY2xlIjoiIn0seyJmYW1pbHkiOiJTaW1vbm5lYXUiLCJnaXZlbiI6IkNsYWlyZSIsInBhcnNlLW5hbWVzIjpmYWxzZSwiZHJvcHBpbmctcGFydGljbGUiOiIiLCJub24tZHJvcHBpbmctcGFydGljbGUiOiIifSx7ImZhbWlseSI6IlphbmluaSIsImdpdmVuIjoiQ2hpYXJhIiwicGFyc2UtbmFtZXMiOmZhbHNlLCJkcm9wcGluZy1wYXJ0aWNsZSI6IiIsIm5vbi1kcm9wcGluZy1wYXJ0aWNsZSI6IiJ9LHsiZmFtaWx5IjoiS2Fzc2lhbmlkb3UiLCJnaXZlbiI6IkVsZW5hIiwicGFyc2UtbmFtZXMiOmZhbHNlLCJkcm9wcGluZy1wYXJ0aWNsZSI6IiIsIm5vbi1kcm9wcGluZy1wYXJ0aWNsZSI6IiJ9LHsiZmFtaWx5IjoiWnVuZGVsIiwiZ2l2ZW4iOiJDaHJpc3RlbGxlIiwicGFyc2UtbmFtZXMiOmZhbHNlLCJkcm9wcGluZy1wYXJ0aWNsZSI6IiIsIm5vbi1kcm9wcGluZy1wYXJ0aWNsZSI6IiJ9LHsiZmFtaWx5IjoiTmVmZiIsImdpdmVuIjoiUmFjaGVsIiwicGFyc2UtbmFtZXMiOmZhbHNlLCJkcm9wcGluZy1wYXJ0aWNsZSI6IiIsIm5vbi1kcm9wcGluZy1wYXJ0aWNsZSI6IiJ9LHsiZmFtaWx5IjoiU3RlaW5odWJlciIsImdpdmVuIjoiQmVybmQiLCJwYXJzZS1uYW1lcyI6ZmFsc2UsImRyb3BwaW5nLXBhcnRpY2xlIjoiIiwibm9uLWRyb3BwaW5nLXBhcnRpY2xlIjoiIn0seyJmYW1pbHkiOiJUZWNpbGxhIiwiZ2l2ZW4iOiJNYXJjbyIsInBhcnNlLW5hbWVzIjpmYWxzZSwiZHJvcHBpbmctcGFydGljbGUiOiIiLCJub24tZHJvcHBpbmctcGFydGljbGUiOiIifSx7ImZhbWlseSI6Ik9kZXJtYXR0IiwiZ2l2ZW4iOiJBbGV4IiwicGFyc2UtbmFtZXMiOmZhbHNlLCJkcm9wcGluZy1wYXJ0aWNsZSI6IiIsIm5vbi1kcm9wcGluZy1wYXJ0aWNsZSI6IiJ9LHsiZmFtaWx5IjoiVmlsbGFzZcOxb3IiLCJnaXZlbiI6IlJvYmVydG8iLCJwYXJzZS1uYW1lcyI6ZmFsc2UsImRyb3BwaW5nLXBhcnRpY2xlIjoiIiwibm9uLWRyb3BwaW5nLXBhcnRpY2xlIjoiIn0seyJmYW1pbHkiOiJTdG9rYXItUmVnZW5zY2hlaXQiLCJnaXZlbiI6Ik5hZGluZSIsInBhcnNlLW5hbWVzIjpmYWxzZSwiZHJvcHBpbmctcGFydGljbGUiOiIiLCJub24tZHJvcHBpbmctcGFydGljbGUiOiIifV0sImNvbnRhaW5lci10aXRsZSI6IkhlbGl5b24iLCJjb250YWluZXItdGl0bGUtc2hvcnQiOiJIZWxpeW9uIiwiYWNjZXNzZWQiOnsiZGF0ZS1wYXJ0cyI6W1syMDI1LDcsMjVdXX0sIkRPSSI6IjEwLjEwMTYvSi5IRUxJWU9OLjIwMjQuRTQwODEzIiwiSVNTTiI6IjI0MDUtODQ0MCIsIlVSTCI6Imh0dHBzOi8vd3d3LnNjaWVuY2VkaXJlY3QuY29tL3NjaWVuY2UvYXJ0aWNsZS9waWkvUzI0MDU4NDQwMjQxNjg0NDIiLCJpc3N1ZWQiOnsiZGF0ZS1wYXJ0cyI6W1syMDI1LDEsMTVdXX0sInBhZ2UiOiJlNDA4MTMiLCJhYnN0cmFjdCI6IlJlY2VudCBhZHZhbmNlbWVudHMgaW4gZW5naW5lZXJpbmcgQ29tcGxleCBpbiB2aXRybyBtb2RlbHMgKENJVk1zKSBzdWNoIGFzIEJsb29kLWJyYWluIGJhcnJpZXIgKEJCQikgb3JnYW5vaWRzIG9mZmVyIHByb21pc2luZyBwbGF0Zm9ybXMgZm9yIHByZWNsaW5pY2FsIGRydWcgdGVzdGluZy4gSG93ZXZlciwgdGhlaXIgYXBwbGljYXRpb24gaW4gZHJ1ZyBkZXZlbG9wbWVudCwgYW5kIGVzcGVjaWFsbHkgZm9yIHRoZSByZWd1bGF0b3J5IHB1cnBvc2VzIG9mIHRveGljaXR5IGFzc2Vzc21lbnQsIHJlcXVpcmVzIHJvYnVzdCBhbmQgcmVwcm9kdWNpYmxlIHRlY2huaXF1ZXMuIEhlcmUsIHdlIGRldmVsb3BlZCBhbiBhZGFwdGVkIHNldCBvZiBvcnRob2dvbmFsIGltYWdlLWJhc2VkIHRpc3N1ZSBtZXRob2RzIGluY2x1ZGluZyBoZW1hdG94eWxpbiBhbmQgZW9zaW4gc3RhaW5pbmcgKEhFKSwgaW1tdW5vaGlzdG9jaGVtaXN0cnkgKElIQyksIG11bHRpcGxleCBpbW11bm9mbHVvcmVzY2VuY2UgKG1JRiksIGFuZCBNYXRyaXggQXNzaXN0ZWQgTGFzZXIgRGVzb3JwdGlvbi9Jb25pemF0aW9uIE1hc3MgU3BlY3Ryb21ldHJ5IEltYWdpbmcgKE1BTERJLU1TSSkgdG8gdmFsaWRhdGUgQ0lWTXMgZm9yIGRydWcgdG94aWNpdHkgYXNzZXNzbWVudHMuIFdlIGRldmVsb3BlZCBhbiBhcnRpZmljaWFsIGludGVsbGlnZW5jZSAoQUkpIGFsZ29yaXRobSB0byBpbmNyZWFzZSB0aGUgdGhyb3VnaHB1dCBhbmQgdGhlIHJlbGlhYmlsaXR5IG9mIGhpc3RvbW9ycGhvbG9naWMgZXZhbHVhdGlvbnMgb2YgYXBvcHRvc2lzIGZvciBpbiB2aXRybyB0b3hpY2l0eSBzdHVkaWVzLiBPdXIgZGF0YSBoaWdobGlnaHQgdGhlIHBvdGVudGlhbCB0byBpbnRlZ3JhdGUgYWR2YW5jZWQgbW9ycGhvbG9neS1iYXNlZCByZWFkb3V0cyBzdWNoIGFzIGhpc3RvbG9naWNhbCB0ZWNobmlxdWVzIGFuZCBkaWdpdGFsIHBhdGhvbG9neSBhbGdvcml0aG1zIGZvciB1c2Ugb24gQ0lWTXMsIGFzIHBhcnQgb2YgYSBzdGFuZGFyZCBwcmVjbGluaWNhbCBkcnVnIGRldmVsb3BtZW50IGFzc2Vzc21lbnQuIiwicHVibGlzaGVyIjoiRWxzZXZpZXIiLCJpc3N1ZSI6IjEiLCJ2b2x1bWUiOiIxMSJ9LCJpc1RlbXBvcmFyeSI6ZmFsc2V9XX0=&quot;,&quot;citationItems&quot;:[{&quot;id&quot;:&quot;81290804-73d2-3389-b30a-f8638c3b8156&quot;,&quot;itemData&quot;:{&quot;type&quot;:&quot;article-journal&quot;,&quot;id&quot;:&quot;81290804-73d2-3389-b30a-f8638c3b8156&quot;,&quot;title&quot;:&quot;Advanced tissue technologies of blood-brain barrier organoids as high throughput toxicity readouts in drug development&quot;,&quot;author&quot;:[{&quot;family&quot;:&quot;Bell&quot;,&quot;given&quot;:&quot;Luisa&quot;,&quot;parse-names&quot;:false,&quot;dropping-particle&quot;:&quot;&quot;,&quot;non-dropping-particle&quot;:&quot;&quot;},{&quot;family&quot;:&quot;Simonneau&quot;,&quot;given&quot;:&quot;Claire&quot;,&quot;parse-names&quot;:false,&quot;dropping-particle&quot;:&quot;&quot;,&quot;non-dropping-particle&quot;:&quot;&quot;},{&quot;family&quot;:&quot;Zanini&quot;,&quot;given&quot;:&quot;Chiara&quot;,&quot;parse-names&quot;:false,&quot;dropping-particle&quot;:&quot;&quot;,&quot;non-dropping-particle&quot;:&quot;&quot;},{&quot;family&quot;:&quot;Kassianidou&quot;,&quot;given&quot;:&quot;Elena&quot;,&quot;parse-names&quot;:false,&quot;dropping-particle&quot;:&quot;&quot;,&quot;non-dropping-particle&quot;:&quot;&quot;},{&quot;family&quot;:&quot;Zundel&quot;,&quot;given&quot;:&quot;Christelle&quot;,&quot;parse-names&quot;:false,&quot;dropping-particle&quot;:&quot;&quot;,&quot;non-dropping-particle&quot;:&quot;&quot;},{&quot;family&quot;:&quot;Neff&quot;,&quot;given&quot;:&quot;Rachel&quot;,&quot;parse-names&quot;:false,&quot;dropping-particle&quot;:&quot;&quot;,&quot;non-dropping-particle&quot;:&quot;&quot;},{&quot;family&quot;:&quot;Steinhuber&quot;,&quot;given&quot;:&quot;Bernd&quot;,&quot;parse-names&quot;:false,&quot;dropping-particle&quot;:&quot;&quot;,&quot;non-dropping-particle&quot;:&quot;&quot;},{&quot;family&quot;:&quot;Tecilla&quot;,&quot;given&quot;:&quot;Marco&quot;,&quot;parse-names&quot;:false,&quot;dropping-particle&quot;:&quot;&quot;,&quot;non-dropping-particle&quot;:&quot;&quot;},{&quot;family&quot;:&quot;Odermatt&quot;,&quot;given&quot;:&quot;Alex&quot;,&quot;parse-names&quot;:false,&quot;dropping-particle&quot;:&quot;&quot;,&quot;non-dropping-particle&quot;:&quot;&quot;},{&quot;family&quot;:&quot;Villaseñor&quot;,&quot;given&quot;:&quot;Roberto&quot;,&quot;parse-names&quot;:false,&quot;dropping-particle&quot;:&quot;&quot;,&quot;non-dropping-particle&quot;:&quot;&quot;},{&quot;family&quot;:&quot;Stokar-Regenscheit&quot;,&quot;given&quot;:&quot;Nadine&quot;,&quot;parse-names&quot;:false,&quot;dropping-particle&quot;:&quot;&quot;,&quot;non-dropping-particle&quot;:&quot;&quot;}],&quot;container-title&quot;:&quot;Heliyon&quot;,&quot;container-title-short&quot;:&quot;Heliyon&quot;,&quot;accessed&quot;:{&quot;date-parts&quot;:[[2025,7,25]]},&quot;DOI&quot;:&quot;10.1016/J.HELIYON.2024.E40813&quot;,&quot;ISSN&quot;:&quot;2405-8440&quot;,&quot;URL&quot;:&quot;https://www.sciencedirect.com/science/article/pii/S2405844024168442&quot;,&quot;issued&quot;:{&quot;date-parts&quot;:[[2025,1,15]]},&quot;page&quot;:&quot;e40813&quot;,&quot;abstract&quot;:&quot;Recent advancements in engineering Complex in vitro models (CIVMs) such as Blood-brain barrier (BBB) organoids offer promising platforms for preclinical drug testing. However, their application in drug development, and especially for the regulatory purposes of toxicity assessment, requires robust and reproducible techniques. Here, we developed an adapted set of orthogonal image-based tissue methods including hematoxylin and eosin staining (HE), immunohistochemistry (IHC), multiplex immunofluorescence (mIF), and Matrix Assisted Laser Desorption/Ionization Mass Spectrometry Imaging (MALDI-MSI) to validate CIVMs for drug toxicity assessments. We developed an artificial intelligence (AI) algorithm to increase the throughput and the reliability of histomorphologic evaluations of apoptosis for in vitro toxicity studies. Our data highlight the potential to integrate advanced morphology-based readouts such as histological techniques and digital pathology algorithms for use on CIVMs, as part of a standard preclinical drug development assessment.&quot;,&quot;publisher&quot;:&quot;Elsevier&quot;,&quot;issue&quot;:&quot;1&quot;,&quot;volume&quot;:&quot;11&quot;},&quot;isTemporary&quot;:false}]}]"/>
    <we:property name="MENDELEY_CITATIONS_STYLE" value="{&quot;id&quot;:&quot;https://www.zotero.org/styles/apa&quot;,&quot;title&quot;:&quot;APA Style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8B123-E4BC-43C5-8563-AABD094390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2865</Words>
  <Characters>16331</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Empa</Company>
  <LinksUpToDate>false</LinksUpToDate>
  <CharactersWithSpaces>19158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Camenisch, Selina</dc:creator>
  <cp:keywords/>
  <dc:description/>
  <cp:lastModifiedBy>Camenisch, Selina</cp:lastModifiedBy>
  <cp:revision>42</cp:revision>
  <cp:lastPrinted>2026-04-22T11:47:00Z</cp:lastPrinted>
  <dcterms:created xsi:type="dcterms:W3CDTF">2025-09-12T12:07:00Z</dcterms:created>
  <dcterms:modified xsi:type="dcterms:W3CDTF">2026-04-22T11:48:00Z</dcterms:modified>
</cp:coreProperties>
</file>