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363A79" w14:textId="77777777" w:rsidR="00C11C87" w:rsidRDefault="00C11C87" w:rsidP="00C11C87">
      <w:pPr>
        <w:spacing w:before="240" w:after="240" w:line="240" w:lineRule="auto"/>
        <w:jc w:val="center"/>
        <w:rPr>
          <w:rFonts w:asciiTheme="majorBidi" w:hAnsiTheme="majorBidi" w:cstheme="majorBidi"/>
          <w:b/>
          <w:color w:val="000000" w:themeColor="text1"/>
          <w:kern w:val="0"/>
          <w:sz w:val="32"/>
          <w:szCs w:val="32"/>
          <w14:ligatures w14:val="none"/>
        </w:rPr>
      </w:pPr>
      <w:r w:rsidRPr="00892C95">
        <w:rPr>
          <w:rFonts w:asciiTheme="majorBidi" w:hAnsiTheme="majorBidi" w:cstheme="majorBidi"/>
          <w:b/>
          <w:color w:val="000000" w:themeColor="text1"/>
          <w:kern w:val="0"/>
          <w:sz w:val="32"/>
          <w:szCs w:val="32"/>
          <w14:ligatures w14:val="none"/>
        </w:rPr>
        <w:t xml:space="preserve">Gut Microbiota–Derived SCFA Postbiotics Enhance DCF Chemotherapy </w:t>
      </w:r>
      <w:r w:rsidRPr="00892C95">
        <w:rPr>
          <w:rFonts w:asciiTheme="majorBidi" w:hAnsiTheme="majorBidi" w:cstheme="majorBidi"/>
          <w:b/>
          <w:i/>
          <w:iCs/>
          <w:color w:val="000000" w:themeColor="text1"/>
          <w:kern w:val="0"/>
          <w:sz w:val="32"/>
          <w:szCs w:val="32"/>
          <w14:ligatures w14:val="none"/>
        </w:rPr>
        <w:t>via</w:t>
      </w:r>
      <w:r w:rsidRPr="00892C95">
        <w:rPr>
          <w:rFonts w:asciiTheme="majorBidi" w:hAnsiTheme="majorBidi" w:cstheme="majorBidi"/>
          <w:b/>
          <w:color w:val="000000" w:themeColor="text1"/>
          <w:kern w:val="0"/>
          <w:sz w:val="32"/>
          <w:szCs w:val="32"/>
          <w14:ligatures w14:val="none"/>
        </w:rPr>
        <w:t xml:space="preserve"> Apoptosis and Oncogenic Pathway Modulation in Gastric Cancer</w:t>
      </w:r>
    </w:p>
    <w:p w14:paraId="176DE124" w14:textId="77777777" w:rsidR="00C11C87" w:rsidRPr="00CD2C7B" w:rsidRDefault="00C11C87" w:rsidP="00C11C87">
      <w:pPr>
        <w:spacing w:before="240" w:after="240" w:line="240" w:lineRule="auto"/>
        <w:ind w:left="360" w:hanging="360"/>
        <w:jc w:val="center"/>
        <w:rPr>
          <w:rFonts w:asciiTheme="majorBidi" w:hAnsiTheme="majorBidi"/>
          <w:b/>
          <w:bCs/>
          <w:color w:val="000000" w:themeColor="text1"/>
          <w:kern w:val="0"/>
          <w14:ligatures w14:val="none"/>
        </w:rPr>
      </w:pPr>
      <w:r w:rsidRPr="00CD2C7B">
        <w:rPr>
          <w:rFonts w:asciiTheme="majorBidi" w:hAnsiTheme="majorBidi" w:cstheme="majorBidi"/>
          <w:b/>
          <w:color w:val="000000" w:themeColor="text1"/>
          <w:kern w:val="0"/>
          <w14:ligatures w14:val="none"/>
        </w:rPr>
        <w:t>Radwa A Eladwy</w:t>
      </w:r>
      <w:r w:rsidRPr="00CD2C7B">
        <w:rPr>
          <w:rFonts w:asciiTheme="majorBidi" w:hAnsiTheme="majorBidi" w:cstheme="majorBidi"/>
          <w:b/>
          <w:color w:val="000000" w:themeColor="text1"/>
          <w:kern w:val="0"/>
          <w:vertAlign w:val="superscript"/>
          <w14:ligatures w14:val="none"/>
        </w:rPr>
        <w:t>1,</w:t>
      </w:r>
      <w:proofErr w:type="gramStart"/>
      <w:r w:rsidRPr="00CD2C7B">
        <w:rPr>
          <w:rFonts w:asciiTheme="majorBidi" w:hAnsiTheme="majorBidi" w:cstheme="majorBidi"/>
          <w:b/>
          <w:color w:val="000000" w:themeColor="text1"/>
          <w:kern w:val="0"/>
          <w:vertAlign w:val="superscript"/>
          <w14:ligatures w14:val="none"/>
        </w:rPr>
        <w:t>2,*</w:t>
      </w:r>
      <w:proofErr w:type="gramEnd"/>
      <w:r w:rsidRPr="00CD2C7B">
        <w:rPr>
          <w:rFonts w:asciiTheme="majorBidi" w:hAnsiTheme="majorBidi" w:cstheme="majorBidi"/>
          <w:b/>
          <w:color w:val="000000" w:themeColor="text1"/>
          <w:kern w:val="0"/>
          <w14:ligatures w14:val="none"/>
        </w:rPr>
        <w:t>, Mohamed Fares</w:t>
      </w:r>
      <w:r w:rsidRPr="00CD2C7B">
        <w:rPr>
          <w:rFonts w:asciiTheme="majorBidi" w:hAnsiTheme="majorBidi" w:cstheme="majorBidi"/>
          <w:b/>
          <w:color w:val="000000" w:themeColor="text1"/>
          <w:kern w:val="0"/>
          <w:vertAlign w:val="superscript"/>
          <w14:ligatures w14:val="none"/>
        </w:rPr>
        <w:t>3</w:t>
      </w:r>
      <w:r w:rsidRPr="00CD2C7B">
        <w:rPr>
          <w:rFonts w:asciiTheme="majorBidi" w:hAnsiTheme="majorBidi" w:cstheme="majorBidi"/>
          <w:b/>
          <w:color w:val="000000" w:themeColor="text1"/>
          <w:kern w:val="0"/>
          <w14:ligatures w14:val="none"/>
        </w:rPr>
        <w:t xml:space="preserve">, </w:t>
      </w:r>
      <w:proofErr w:type="spellStart"/>
      <w:r w:rsidRPr="00CD2C7B">
        <w:rPr>
          <w:rFonts w:asciiTheme="majorBidi" w:hAnsiTheme="majorBidi"/>
          <w:b/>
          <w:bCs/>
          <w:color w:val="000000" w:themeColor="text1"/>
          <w:kern w:val="0"/>
          <w14:ligatures w14:val="none"/>
        </w:rPr>
        <w:t>Seungeon</w:t>
      </w:r>
      <w:proofErr w:type="spellEnd"/>
      <w:r w:rsidRPr="00CD2C7B">
        <w:rPr>
          <w:rFonts w:asciiTheme="majorBidi" w:hAnsiTheme="majorBidi"/>
          <w:b/>
          <w:bCs/>
          <w:color w:val="000000" w:themeColor="text1"/>
          <w:kern w:val="0"/>
          <w14:ligatures w14:val="none"/>
        </w:rPr>
        <w:t xml:space="preserve"> Yeon</w:t>
      </w:r>
      <w:r w:rsidRPr="00CD2C7B">
        <w:rPr>
          <w:rFonts w:asciiTheme="majorBidi" w:hAnsiTheme="majorBidi"/>
          <w:b/>
          <w:bCs/>
          <w:color w:val="000000" w:themeColor="text1"/>
          <w:kern w:val="0"/>
          <w:vertAlign w:val="superscript"/>
          <w14:ligatures w14:val="none"/>
        </w:rPr>
        <w:t>1</w:t>
      </w:r>
      <w:r w:rsidRPr="00CD2C7B">
        <w:rPr>
          <w:rFonts w:asciiTheme="majorBidi" w:hAnsiTheme="majorBidi" w:cstheme="majorBidi"/>
          <w:b/>
          <w:color w:val="000000" w:themeColor="text1"/>
          <w:kern w:val="0"/>
          <w14:ligatures w14:val="none"/>
        </w:rPr>
        <w:t>, Muhammad A. Alsherbiny</w:t>
      </w:r>
      <w:r w:rsidRPr="00CD2C7B">
        <w:rPr>
          <w:rFonts w:asciiTheme="majorBidi" w:hAnsiTheme="majorBidi" w:cstheme="majorBidi"/>
          <w:b/>
          <w:color w:val="000000" w:themeColor="text1"/>
          <w:kern w:val="0"/>
          <w:vertAlign w:val="superscript"/>
          <w14:ligatures w14:val="none"/>
        </w:rPr>
        <w:t>4</w:t>
      </w:r>
      <w:r w:rsidRPr="00CD2C7B">
        <w:rPr>
          <w:rFonts w:asciiTheme="majorBidi" w:hAnsiTheme="majorBidi" w:cstheme="majorBidi"/>
          <w:b/>
          <w:color w:val="000000" w:themeColor="text1"/>
          <w:kern w:val="0"/>
          <w14:ligatures w14:val="none"/>
        </w:rPr>
        <w:t>, Dennis Chang</w:t>
      </w:r>
      <w:r w:rsidRPr="00CD2C7B">
        <w:rPr>
          <w:rFonts w:asciiTheme="majorBidi" w:hAnsiTheme="majorBidi" w:cstheme="majorBidi"/>
          <w:b/>
          <w:color w:val="000000" w:themeColor="text1"/>
          <w:kern w:val="0"/>
          <w:vertAlign w:val="superscript"/>
          <w14:ligatures w14:val="none"/>
        </w:rPr>
        <w:t>1</w:t>
      </w:r>
      <w:r w:rsidRPr="00CD2C7B">
        <w:rPr>
          <w:rFonts w:asciiTheme="majorBidi" w:hAnsiTheme="majorBidi" w:cstheme="majorBidi"/>
          <w:b/>
          <w:color w:val="000000" w:themeColor="text1"/>
          <w:kern w:val="0"/>
          <w14:ligatures w14:val="none"/>
        </w:rPr>
        <w:t>, Chun-Guang Li</w:t>
      </w:r>
      <w:r w:rsidRPr="00CD2C7B">
        <w:rPr>
          <w:rFonts w:asciiTheme="majorBidi" w:hAnsiTheme="majorBidi" w:cstheme="majorBidi"/>
          <w:b/>
          <w:color w:val="000000" w:themeColor="text1"/>
          <w:kern w:val="0"/>
          <w:vertAlign w:val="superscript"/>
          <w14:ligatures w14:val="none"/>
        </w:rPr>
        <w:t>1</w:t>
      </w:r>
      <w:r w:rsidRPr="00CD2C7B">
        <w:rPr>
          <w:rFonts w:asciiTheme="majorBidi" w:hAnsiTheme="majorBidi" w:cstheme="majorBidi"/>
          <w:b/>
          <w:color w:val="000000" w:themeColor="text1"/>
          <w:kern w:val="0"/>
          <w14:ligatures w14:val="none"/>
        </w:rPr>
        <w:t xml:space="preserve">, Deep Jyoti Bhuyan </w:t>
      </w:r>
      <w:r w:rsidRPr="00CD2C7B">
        <w:rPr>
          <w:rFonts w:asciiTheme="majorBidi" w:hAnsiTheme="majorBidi" w:cstheme="majorBidi"/>
          <w:b/>
          <w:color w:val="000000" w:themeColor="text1"/>
          <w:kern w:val="0"/>
          <w:vertAlign w:val="superscript"/>
          <w14:ligatures w14:val="none"/>
        </w:rPr>
        <w:t>1,</w:t>
      </w:r>
      <w:proofErr w:type="gramStart"/>
      <w:r w:rsidRPr="00CD2C7B">
        <w:rPr>
          <w:rFonts w:asciiTheme="majorBidi" w:hAnsiTheme="majorBidi" w:cstheme="majorBidi"/>
          <w:b/>
          <w:color w:val="000000" w:themeColor="text1"/>
          <w:kern w:val="0"/>
          <w:vertAlign w:val="superscript"/>
          <w14:ligatures w14:val="none"/>
        </w:rPr>
        <w:t>5,*</w:t>
      </w:r>
      <w:proofErr w:type="gramEnd"/>
    </w:p>
    <w:p w14:paraId="6D62E9DB" w14:textId="77777777" w:rsidR="00C11C87" w:rsidRPr="006960FE" w:rsidRDefault="00C11C87" w:rsidP="00C11C87">
      <w:pPr>
        <w:tabs>
          <w:tab w:val="left" w:pos="9639"/>
        </w:tabs>
        <w:spacing w:after="0" w:line="240" w:lineRule="auto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6960FE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>1</w:t>
      </w:r>
      <w:r w:rsidRPr="006960FE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NICM Health Research Institute, Western Sydney University, Penrith, NSW, Australia</w:t>
      </w:r>
    </w:p>
    <w:p w14:paraId="06B27737" w14:textId="77777777" w:rsidR="00C11C87" w:rsidRPr="006960FE" w:rsidRDefault="00C11C87" w:rsidP="00C11C87">
      <w:pPr>
        <w:tabs>
          <w:tab w:val="left" w:pos="9639"/>
        </w:tabs>
        <w:spacing w:after="0" w:line="240" w:lineRule="auto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6960FE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>2</w:t>
      </w:r>
      <w:r w:rsidRPr="006960FE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Department of Pharmacology, Faculty of Pharmacy, ERU, Badr City, Egypt</w:t>
      </w:r>
    </w:p>
    <w:p w14:paraId="079427D0" w14:textId="77777777" w:rsidR="00C11C87" w:rsidRPr="006960FE" w:rsidRDefault="00C11C87" w:rsidP="00C11C87">
      <w:pPr>
        <w:tabs>
          <w:tab w:val="left" w:pos="9639"/>
        </w:tabs>
        <w:spacing w:after="0" w:line="240" w:lineRule="auto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6960FE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>3</w:t>
      </w:r>
      <w:r w:rsidRPr="006960FE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Sydney Pharmacy School, The University of Sydney, Sydney, NSW, Australia</w:t>
      </w:r>
    </w:p>
    <w:p w14:paraId="59C81E31" w14:textId="77777777" w:rsidR="00C11C87" w:rsidRPr="006960FE" w:rsidRDefault="00C11C87" w:rsidP="00C11C87">
      <w:pPr>
        <w:tabs>
          <w:tab w:val="left" w:pos="9639"/>
        </w:tabs>
        <w:spacing w:after="0" w:line="240" w:lineRule="auto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6960FE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>4</w:t>
      </w:r>
      <w:r w:rsidRPr="006960FE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Freedman Foundation Metabolomics Facility, Victor Chang Cardiac Research Institute, Darlinghurst, NSW, Australia</w:t>
      </w:r>
    </w:p>
    <w:p w14:paraId="6D3B3083" w14:textId="77777777" w:rsidR="00C11C87" w:rsidRPr="006960FE" w:rsidRDefault="00C11C87" w:rsidP="00C11C87">
      <w:pPr>
        <w:tabs>
          <w:tab w:val="left" w:pos="9639"/>
        </w:tabs>
        <w:spacing w:after="0" w:line="240" w:lineRule="auto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6960FE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 xml:space="preserve">5 </w:t>
      </w:r>
      <w:r w:rsidRPr="006960FE">
        <w:rPr>
          <w:rFonts w:asciiTheme="majorBidi" w:hAnsiTheme="majorBidi" w:cstheme="majorBidi"/>
          <w:color w:val="000000" w:themeColor="text1"/>
          <w:sz w:val="20"/>
          <w:szCs w:val="20"/>
        </w:rPr>
        <w:t>School of Science, Western Sydney University, Penrith, NSW, Australia</w:t>
      </w:r>
    </w:p>
    <w:p w14:paraId="12C11551" w14:textId="77777777" w:rsidR="00C11C87" w:rsidRPr="006960FE" w:rsidRDefault="00C11C87" w:rsidP="00C11C87">
      <w:pPr>
        <w:tabs>
          <w:tab w:val="left" w:pos="9639"/>
        </w:tabs>
        <w:spacing w:after="0" w:line="240" w:lineRule="auto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6960FE">
        <w:rPr>
          <w:rFonts w:asciiTheme="majorBidi" w:hAnsiTheme="majorBidi" w:cstheme="majorBidi"/>
          <w:color w:val="000000" w:themeColor="text1"/>
          <w:sz w:val="20"/>
          <w:szCs w:val="20"/>
        </w:rPr>
        <w:t>* Corresponding authors. e-mail addresses: Deep Jyoti Bhuyan (d.bhuyan@westernsydney.edu.au), Radwa A. Eladwy (</w:t>
      </w:r>
      <w:hyperlink r:id="rId6" w:history="1">
        <w:r w:rsidRPr="006960FE">
          <w:rPr>
            <w:rFonts w:asciiTheme="majorBidi" w:hAnsiTheme="majorBidi" w:cstheme="majorBidi"/>
            <w:color w:val="000000" w:themeColor="text1"/>
            <w:sz w:val="20"/>
            <w:szCs w:val="20"/>
            <w:u w:val="single"/>
          </w:rPr>
          <w:t>r.eladwy@westernsydney.edu.au</w:t>
        </w:r>
      </w:hyperlink>
      <w:r w:rsidRPr="006960FE">
        <w:rPr>
          <w:rFonts w:asciiTheme="majorBidi" w:hAnsiTheme="majorBidi" w:cstheme="majorBidi"/>
          <w:color w:val="000000" w:themeColor="text1"/>
          <w:sz w:val="20"/>
          <w:szCs w:val="20"/>
        </w:rPr>
        <w:t>)</w:t>
      </w:r>
    </w:p>
    <w:p w14:paraId="6AB9E653" w14:textId="77777777" w:rsidR="00553F62" w:rsidRDefault="00553F62" w:rsidP="00964EFE"/>
    <w:p w14:paraId="5A0D10A8" w14:textId="77777777" w:rsidR="00553F62" w:rsidRDefault="00553F62" w:rsidP="00964EFE"/>
    <w:p w14:paraId="6A7786B1" w14:textId="77777777" w:rsidR="00553F62" w:rsidRDefault="00553F62" w:rsidP="00964EFE"/>
    <w:p w14:paraId="25069778" w14:textId="77777777" w:rsidR="00553F62" w:rsidRDefault="00553F62" w:rsidP="00964EFE"/>
    <w:p w14:paraId="2009B5D8" w14:textId="77777777" w:rsidR="00553F62" w:rsidRDefault="00553F62" w:rsidP="00964EFE"/>
    <w:p w14:paraId="0D0229CA" w14:textId="77777777" w:rsidR="00553F62" w:rsidRDefault="00553F62" w:rsidP="00964EFE"/>
    <w:p w14:paraId="424BBEAD" w14:textId="77777777" w:rsidR="00553F62" w:rsidRDefault="00553F62" w:rsidP="00964EFE"/>
    <w:p w14:paraId="76EEB01F" w14:textId="77777777" w:rsidR="00553F62" w:rsidRDefault="00553F62" w:rsidP="00964EFE"/>
    <w:p w14:paraId="757DE915" w14:textId="77777777" w:rsidR="00553F62" w:rsidRDefault="00553F62" w:rsidP="00964EFE"/>
    <w:p w14:paraId="5F83550E" w14:textId="77777777" w:rsidR="00553F62" w:rsidRDefault="00553F62" w:rsidP="00964EFE"/>
    <w:p w14:paraId="09545B26" w14:textId="77777777" w:rsidR="00553F62" w:rsidRDefault="00553F62" w:rsidP="00964EFE"/>
    <w:p w14:paraId="2B84FBF3" w14:textId="77777777" w:rsidR="00553F62" w:rsidRDefault="00553F62" w:rsidP="00964EFE"/>
    <w:p w14:paraId="686E2716" w14:textId="77777777" w:rsidR="00553F62" w:rsidRDefault="00553F62" w:rsidP="00964EFE"/>
    <w:p w14:paraId="44DD52DB" w14:textId="77777777" w:rsidR="00553F62" w:rsidRDefault="00553F62" w:rsidP="00964EFE"/>
    <w:p w14:paraId="655F3301" w14:textId="77777777" w:rsidR="00553F62" w:rsidRDefault="00553F62" w:rsidP="00964EFE"/>
    <w:p w14:paraId="4C1691D6" w14:textId="77777777" w:rsidR="00553F62" w:rsidRDefault="00553F62" w:rsidP="00964EFE"/>
    <w:p w14:paraId="3AC521AE" w14:textId="77777777" w:rsidR="00553F62" w:rsidRDefault="00553F62" w:rsidP="00964EFE"/>
    <w:p w14:paraId="244AE652" w14:textId="77777777" w:rsidR="004B66F8" w:rsidRDefault="004B66F8" w:rsidP="00964EFE"/>
    <w:p w14:paraId="0FC8252F" w14:textId="77777777" w:rsidR="004B66F8" w:rsidRDefault="004B66F8" w:rsidP="00964EFE"/>
    <w:p w14:paraId="253F6022" w14:textId="77777777" w:rsidR="004B66F8" w:rsidRDefault="004B66F8" w:rsidP="00964EFE"/>
    <w:p w14:paraId="0392CF3B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tbl>
      <w:tblPr>
        <w:tblStyle w:val="TableGrid1"/>
        <w:tblpPr w:leftFromText="180" w:rightFromText="180" w:vertAnchor="text" w:horzAnchor="page" w:tblpX="913" w:tblpY="330"/>
        <w:tblW w:w="90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2410"/>
        <w:gridCol w:w="2693"/>
        <w:gridCol w:w="2410"/>
        <w:gridCol w:w="425"/>
      </w:tblGrid>
      <w:tr w:rsidR="00C11C87" w:rsidRPr="00C11C87" w14:paraId="47B8B841" w14:textId="77777777" w:rsidTr="00C11C87">
        <w:trPr>
          <w:trHeight w:val="281"/>
        </w:trPr>
        <w:tc>
          <w:tcPr>
            <w:tcW w:w="9072" w:type="dxa"/>
            <w:gridSpan w:val="5"/>
            <w:tcBorders>
              <w:bottom w:val="single" w:sz="12" w:space="0" w:color="auto"/>
            </w:tcBorders>
          </w:tcPr>
          <w:p w14:paraId="3224C57A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4"/>
                <w:szCs w:val="24"/>
              </w:rPr>
            </w:pPr>
            <w:r w:rsidRPr="00C11C87">
              <w:rPr>
                <w:rFonts w:ascii="Times New Roman" w:eastAsia="Segoe UI" w:hAnsi="Times New Roman" w:cs="Times New Roman"/>
                <w:b/>
                <w:bCs/>
                <w:color w:val="000000"/>
                <w:sz w:val="24"/>
                <w:szCs w:val="24"/>
                <w:lang w:bidi="en-US"/>
              </w:rPr>
              <w:lastRenderedPageBreak/>
              <w:t>Table S1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4"/>
                <w:szCs w:val="24"/>
                <w:lang w:bidi="en-US"/>
              </w:rPr>
              <w:t>: Cell growth inhibition (%) of NCI-N87 gastric adenocarcinoma cells at different concentrations of postbiotics [SCFAs: acetate (A), propionate (P) and butyrate (B)]</w:t>
            </w:r>
          </w:p>
        </w:tc>
      </w:tr>
      <w:tr w:rsidR="00C11C87" w:rsidRPr="00C11C87" w14:paraId="128D4744" w14:textId="77777777" w:rsidTr="00C11C87">
        <w:trPr>
          <w:gridAfter w:val="1"/>
          <w:wAfter w:w="425" w:type="dxa"/>
          <w:trHeight w:val="281"/>
        </w:trPr>
        <w:tc>
          <w:tcPr>
            <w:tcW w:w="1134" w:type="dxa"/>
            <w:vMerge w:val="restart"/>
            <w:tcBorders>
              <w:top w:val="single" w:sz="12" w:space="0" w:color="auto"/>
            </w:tcBorders>
          </w:tcPr>
          <w:p w14:paraId="148174C6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Conc.</w:t>
            </w:r>
          </w:p>
          <w:p w14:paraId="45699DA1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lang w:val="el-GR"/>
              </w:rPr>
              <w:t>μ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g/mL</w:t>
            </w:r>
          </w:p>
        </w:tc>
        <w:tc>
          <w:tcPr>
            <w:tcW w:w="7513" w:type="dxa"/>
            <w:gridSpan w:val="3"/>
            <w:tcBorders>
              <w:top w:val="single" w:sz="12" w:space="0" w:color="auto"/>
            </w:tcBorders>
          </w:tcPr>
          <w:p w14:paraId="7FD1112F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Cell Growth Inhibition (%) in NCI-N87 gastric carcinoma cells</w:t>
            </w:r>
          </w:p>
        </w:tc>
      </w:tr>
      <w:tr w:rsidR="00C11C87" w:rsidRPr="00C11C87" w14:paraId="1D344F65" w14:textId="77777777" w:rsidTr="00C11C87">
        <w:trPr>
          <w:gridAfter w:val="1"/>
          <w:wAfter w:w="425" w:type="dxa"/>
          <w:trHeight w:val="336"/>
        </w:trPr>
        <w:tc>
          <w:tcPr>
            <w:tcW w:w="1134" w:type="dxa"/>
            <w:vMerge/>
            <w:tcBorders>
              <w:bottom w:val="single" w:sz="12" w:space="0" w:color="auto"/>
            </w:tcBorders>
          </w:tcPr>
          <w:p w14:paraId="50F3B3AD" w14:textId="77777777" w:rsidR="00C11C87" w:rsidRPr="00C11C87" w:rsidRDefault="00C11C87" w:rsidP="00C11C87">
            <w:pPr>
              <w:spacing w:before="120" w:line="360" w:lineRule="auto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bottom w:val="single" w:sz="12" w:space="0" w:color="auto"/>
            </w:tcBorders>
          </w:tcPr>
          <w:p w14:paraId="3040C1A0" w14:textId="46379049" w:rsidR="00C11C87" w:rsidRPr="00C11C87" w:rsidRDefault="00C11C87" w:rsidP="00C11C87">
            <w:pPr>
              <w:tabs>
                <w:tab w:val="center" w:pos="709"/>
              </w:tabs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Magnesium acetate</w:t>
            </w:r>
            <w:r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 xml:space="preserve"> (A)</w:t>
            </w:r>
          </w:p>
        </w:tc>
        <w:tc>
          <w:tcPr>
            <w:tcW w:w="2693" w:type="dxa"/>
            <w:tcBorders>
              <w:bottom w:val="single" w:sz="12" w:space="0" w:color="auto"/>
            </w:tcBorders>
          </w:tcPr>
          <w:p w14:paraId="3F50DF6E" w14:textId="250ED476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Sodium propionate</w:t>
            </w:r>
            <w:r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 xml:space="preserve"> (P)</w:t>
            </w:r>
          </w:p>
        </w:tc>
        <w:tc>
          <w:tcPr>
            <w:tcW w:w="2410" w:type="dxa"/>
            <w:tcBorders>
              <w:bottom w:val="single" w:sz="12" w:space="0" w:color="auto"/>
            </w:tcBorders>
          </w:tcPr>
          <w:p w14:paraId="1C9863AB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Sodium Butyrate</w:t>
            </w:r>
          </w:p>
        </w:tc>
      </w:tr>
      <w:tr w:rsidR="00C11C87" w:rsidRPr="00C11C87" w14:paraId="6262848D" w14:textId="77777777" w:rsidTr="00C11C87">
        <w:trPr>
          <w:gridAfter w:val="1"/>
          <w:wAfter w:w="425" w:type="dxa"/>
          <w:trHeight w:val="216"/>
        </w:trPr>
        <w:tc>
          <w:tcPr>
            <w:tcW w:w="1134" w:type="dxa"/>
            <w:tcBorders>
              <w:top w:val="single" w:sz="12" w:space="0" w:color="auto"/>
            </w:tcBorders>
          </w:tcPr>
          <w:p w14:paraId="7AD698F9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3000</w:t>
            </w:r>
          </w:p>
        </w:tc>
        <w:tc>
          <w:tcPr>
            <w:tcW w:w="2410" w:type="dxa"/>
            <w:tcBorders>
              <w:top w:val="single" w:sz="12" w:space="0" w:color="auto"/>
            </w:tcBorders>
          </w:tcPr>
          <w:p w14:paraId="15B78D02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 xml:space="preserve">10.24 ± 28.33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a,x</w:t>
            </w:r>
            <w:proofErr w:type="spellEnd"/>
            <w:proofErr w:type="gramEnd"/>
          </w:p>
        </w:tc>
        <w:tc>
          <w:tcPr>
            <w:tcW w:w="2693" w:type="dxa"/>
            <w:tcBorders>
              <w:top w:val="single" w:sz="12" w:space="0" w:color="auto"/>
            </w:tcBorders>
          </w:tcPr>
          <w:p w14:paraId="3DA945A4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82.76 ± 6.05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a,y</w:t>
            </w:r>
            <w:proofErr w:type="spellEnd"/>
            <w:proofErr w:type="gramEnd"/>
          </w:p>
        </w:tc>
        <w:tc>
          <w:tcPr>
            <w:tcW w:w="2410" w:type="dxa"/>
            <w:tcBorders>
              <w:top w:val="single" w:sz="12" w:space="0" w:color="auto"/>
            </w:tcBorders>
          </w:tcPr>
          <w:p w14:paraId="21E17C19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96.05 ± 1.87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a,z</w:t>
            </w:r>
            <w:proofErr w:type="spellEnd"/>
            <w:proofErr w:type="gramEnd"/>
          </w:p>
        </w:tc>
      </w:tr>
      <w:tr w:rsidR="00C11C87" w:rsidRPr="00C11C87" w14:paraId="29EC55AB" w14:textId="77777777" w:rsidTr="00C11C87">
        <w:trPr>
          <w:gridAfter w:val="1"/>
          <w:wAfter w:w="425" w:type="dxa"/>
          <w:trHeight w:val="264"/>
        </w:trPr>
        <w:tc>
          <w:tcPr>
            <w:tcW w:w="1134" w:type="dxa"/>
          </w:tcPr>
          <w:p w14:paraId="7883FB46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1500</w:t>
            </w:r>
          </w:p>
        </w:tc>
        <w:tc>
          <w:tcPr>
            <w:tcW w:w="2410" w:type="dxa"/>
          </w:tcPr>
          <w:p w14:paraId="7A4B9567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-8.00 ± 35.86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a,x</w:t>
            </w:r>
            <w:proofErr w:type="spellEnd"/>
            <w:proofErr w:type="gramEnd"/>
          </w:p>
        </w:tc>
        <w:tc>
          <w:tcPr>
            <w:tcW w:w="2693" w:type="dxa"/>
          </w:tcPr>
          <w:p w14:paraId="40AF7CB1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67.06 ± 8.61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a,y</w:t>
            </w:r>
            <w:proofErr w:type="spellEnd"/>
            <w:proofErr w:type="gramEnd"/>
          </w:p>
        </w:tc>
        <w:tc>
          <w:tcPr>
            <w:tcW w:w="2410" w:type="dxa"/>
          </w:tcPr>
          <w:p w14:paraId="274F57E9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91.99 ± 1.58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a,z</w:t>
            </w:r>
            <w:proofErr w:type="spellEnd"/>
            <w:proofErr w:type="gramEnd"/>
          </w:p>
        </w:tc>
      </w:tr>
      <w:tr w:rsidR="00C11C87" w:rsidRPr="00C11C87" w14:paraId="19460DEE" w14:textId="77777777" w:rsidTr="00C11C87">
        <w:trPr>
          <w:gridAfter w:val="1"/>
          <w:wAfter w:w="425" w:type="dxa"/>
          <w:trHeight w:val="270"/>
        </w:trPr>
        <w:tc>
          <w:tcPr>
            <w:tcW w:w="1134" w:type="dxa"/>
          </w:tcPr>
          <w:p w14:paraId="6A9F5AA8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750</w:t>
            </w:r>
          </w:p>
        </w:tc>
        <w:tc>
          <w:tcPr>
            <w:tcW w:w="2410" w:type="dxa"/>
          </w:tcPr>
          <w:p w14:paraId="7E65E18E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-8.57 ± 46.48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a,x</w:t>
            </w:r>
            <w:proofErr w:type="spellEnd"/>
            <w:proofErr w:type="gramEnd"/>
          </w:p>
        </w:tc>
        <w:tc>
          <w:tcPr>
            <w:tcW w:w="2693" w:type="dxa"/>
          </w:tcPr>
          <w:p w14:paraId="258AEE76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44.12 ± 15.67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a,y</w:t>
            </w:r>
            <w:proofErr w:type="spellEnd"/>
            <w:proofErr w:type="gramEnd"/>
          </w:p>
        </w:tc>
        <w:tc>
          <w:tcPr>
            <w:tcW w:w="2410" w:type="dxa"/>
          </w:tcPr>
          <w:p w14:paraId="5DEAF1AB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84.16 ± 4.04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a,z</w:t>
            </w:r>
            <w:proofErr w:type="spellEnd"/>
            <w:proofErr w:type="gramEnd"/>
          </w:p>
        </w:tc>
      </w:tr>
      <w:tr w:rsidR="00C11C87" w:rsidRPr="00C11C87" w14:paraId="2EAA3CEB" w14:textId="77777777" w:rsidTr="00C11C87">
        <w:trPr>
          <w:gridAfter w:val="1"/>
          <w:wAfter w:w="425" w:type="dxa"/>
          <w:trHeight w:val="276"/>
        </w:trPr>
        <w:tc>
          <w:tcPr>
            <w:tcW w:w="1134" w:type="dxa"/>
          </w:tcPr>
          <w:p w14:paraId="2F913103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375</w:t>
            </w:r>
          </w:p>
        </w:tc>
        <w:tc>
          <w:tcPr>
            <w:tcW w:w="2410" w:type="dxa"/>
          </w:tcPr>
          <w:p w14:paraId="701219DA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-14.24 ± 33.92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a,x</w:t>
            </w:r>
            <w:proofErr w:type="spellEnd"/>
            <w:proofErr w:type="gramEnd"/>
          </w:p>
        </w:tc>
        <w:tc>
          <w:tcPr>
            <w:tcW w:w="2693" w:type="dxa"/>
          </w:tcPr>
          <w:p w14:paraId="0176B144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18.45 ± 13.64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a,y</w:t>
            </w:r>
            <w:proofErr w:type="spellEnd"/>
            <w:proofErr w:type="gramEnd"/>
          </w:p>
        </w:tc>
        <w:tc>
          <w:tcPr>
            <w:tcW w:w="2410" w:type="dxa"/>
          </w:tcPr>
          <w:p w14:paraId="417B34ED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65.24 ± 9.26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a,z</w:t>
            </w:r>
            <w:proofErr w:type="spellEnd"/>
            <w:proofErr w:type="gramEnd"/>
          </w:p>
        </w:tc>
      </w:tr>
      <w:tr w:rsidR="00C11C87" w:rsidRPr="00C11C87" w14:paraId="5DE474EA" w14:textId="77777777" w:rsidTr="00C11C87">
        <w:trPr>
          <w:gridAfter w:val="1"/>
          <w:wAfter w:w="425" w:type="dxa"/>
          <w:trHeight w:val="138"/>
        </w:trPr>
        <w:tc>
          <w:tcPr>
            <w:tcW w:w="1134" w:type="dxa"/>
          </w:tcPr>
          <w:p w14:paraId="53EFD9FD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187.5</w:t>
            </w:r>
          </w:p>
        </w:tc>
        <w:tc>
          <w:tcPr>
            <w:tcW w:w="2410" w:type="dxa"/>
          </w:tcPr>
          <w:p w14:paraId="338A97DA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-16.73 ± 30.42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a,x</w:t>
            </w:r>
            <w:proofErr w:type="spellEnd"/>
            <w:proofErr w:type="gramEnd"/>
          </w:p>
        </w:tc>
        <w:tc>
          <w:tcPr>
            <w:tcW w:w="2693" w:type="dxa"/>
          </w:tcPr>
          <w:p w14:paraId="66F050F9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1.86 ± 19.75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a,x</w:t>
            </w:r>
            <w:proofErr w:type="spellEnd"/>
            <w:proofErr w:type="gramEnd"/>
          </w:p>
        </w:tc>
        <w:tc>
          <w:tcPr>
            <w:tcW w:w="2410" w:type="dxa"/>
          </w:tcPr>
          <w:p w14:paraId="2C5F44F0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47.56 ± 8.39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a,z</w:t>
            </w:r>
            <w:proofErr w:type="spellEnd"/>
            <w:proofErr w:type="gramEnd"/>
          </w:p>
        </w:tc>
      </w:tr>
      <w:tr w:rsidR="00C11C87" w:rsidRPr="00C11C87" w14:paraId="7F7C0F99" w14:textId="77777777" w:rsidTr="00C11C87">
        <w:trPr>
          <w:gridAfter w:val="1"/>
          <w:wAfter w:w="425" w:type="dxa"/>
          <w:trHeight w:val="164"/>
        </w:trPr>
        <w:tc>
          <w:tcPr>
            <w:tcW w:w="1134" w:type="dxa"/>
          </w:tcPr>
          <w:p w14:paraId="20662B06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93.75</w:t>
            </w:r>
          </w:p>
        </w:tc>
        <w:tc>
          <w:tcPr>
            <w:tcW w:w="2410" w:type="dxa"/>
          </w:tcPr>
          <w:p w14:paraId="0A8D3BE2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-12.57 ± 30.97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a,x</w:t>
            </w:r>
            <w:proofErr w:type="spellEnd"/>
            <w:proofErr w:type="gramEnd"/>
          </w:p>
        </w:tc>
        <w:tc>
          <w:tcPr>
            <w:tcW w:w="2693" w:type="dxa"/>
          </w:tcPr>
          <w:p w14:paraId="673EF124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-0.37 ± 14.58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a,x</w:t>
            </w:r>
            <w:proofErr w:type="spellEnd"/>
            <w:proofErr w:type="gramEnd"/>
          </w:p>
        </w:tc>
        <w:tc>
          <w:tcPr>
            <w:tcW w:w="2410" w:type="dxa"/>
          </w:tcPr>
          <w:p w14:paraId="74B5DA13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26.31 ± 10.06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spellStart"/>
            <w:proofErr w:type="gramStart"/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perscript"/>
              </w:rPr>
              <w:t>a,z</w:t>
            </w:r>
            <w:proofErr w:type="spellEnd"/>
            <w:proofErr w:type="gramEnd"/>
          </w:p>
        </w:tc>
      </w:tr>
      <w:tr w:rsidR="00C11C87" w:rsidRPr="00C11C87" w14:paraId="6498E6F5" w14:textId="77777777" w:rsidTr="00C11C87">
        <w:trPr>
          <w:gridAfter w:val="1"/>
          <w:wAfter w:w="425" w:type="dxa"/>
          <w:trHeight w:val="288"/>
        </w:trPr>
        <w:tc>
          <w:tcPr>
            <w:tcW w:w="1134" w:type="dxa"/>
            <w:tcBorders>
              <w:bottom w:val="single" w:sz="12" w:space="0" w:color="auto"/>
            </w:tcBorders>
          </w:tcPr>
          <w:p w14:paraId="556F54CB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IC</w:t>
            </w: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2410" w:type="dxa"/>
            <w:tcBorders>
              <w:bottom w:val="single" w:sz="12" w:space="0" w:color="auto"/>
            </w:tcBorders>
          </w:tcPr>
          <w:p w14:paraId="2B14E576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b/>
                <w:bCs/>
                <w:color w:val="000000"/>
                <w:sz w:val="20"/>
                <w:szCs w:val="20"/>
              </w:rPr>
              <w:t>ND</w:t>
            </w:r>
          </w:p>
        </w:tc>
        <w:tc>
          <w:tcPr>
            <w:tcW w:w="2693" w:type="dxa"/>
            <w:tcBorders>
              <w:bottom w:val="single" w:sz="12" w:space="0" w:color="auto"/>
            </w:tcBorders>
          </w:tcPr>
          <w:p w14:paraId="5BB3A10E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b/>
                <w:bCs/>
                <w:color w:val="000000"/>
                <w:sz w:val="20"/>
                <w:szCs w:val="20"/>
              </w:rPr>
              <w:t>674.23 ± 51.84</w:t>
            </w:r>
          </w:p>
        </w:tc>
        <w:tc>
          <w:tcPr>
            <w:tcW w:w="2410" w:type="dxa"/>
            <w:tcBorders>
              <w:bottom w:val="single" w:sz="12" w:space="0" w:color="auto"/>
            </w:tcBorders>
          </w:tcPr>
          <w:p w14:paraId="153670FA" w14:textId="77777777" w:rsidR="00C11C87" w:rsidRPr="00C11C87" w:rsidRDefault="00C11C87" w:rsidP="00C11C87">
            <w:pPr>
              <w:spacing w:before="120" w:line="360" w:lineRule="auto"/>
              <w:jc w:val="center"/>
              <w:rPr>
                <w:rFonts w:ascii="Times New Roman" w:eastAsia="Aptos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b/>
                <w:bCs/>
                <w:color w:val="000000"/>
                <w:sz w:val="20"/>
                <w:szCs w:val="20"/>
              </w:rPr>
              <w:t>327.00 ± 42.73</w:t>
            </w:r>
          </w:p>
        </w:tc>
      </w:tr>
    </w:tbl>
    <w:p w14:paraId="58E1316D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5231F611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61B9D15A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30A1481B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3658088E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6A4CF3C5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2530B1A6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581BE20E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40BC0821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0890BA0D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333E32F4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74359740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5870E4D1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7E06FB31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6CDF7BC3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549BD682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79811E00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6968F1F7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7A177641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7120A089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0BBB8A9A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34C0FFE7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6B25FF1B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2BB8A5DF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65C0279D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17BC9671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38E42FD0" w14:textId="77777777" w:rsidR="00C11C87" w:rsidRPr="00C11C87" w:rsidRDefault="00C11C87" w:rsidP="00C11C87">
      <w:pPr>
        <w:spacing w:before="120" w:line="278" w:lineRule="auto"/>
        <w:rPr>
          <w:rFonts w:ascii="Times New Roman" w:eastAsia="Aptos" w:hAnsi="Times New Roman" w:cs="Times New Roman"/>
          <w:noProof/>
          <w:color w:val="000000"/>
          <w:sz w:val="24"/>
          <w:szCs w:val="24"/>
        </w:rPr>
      </w:pPr>
    </w:p>
    <w:p w14:paraId="5D42C094" w14:textId="77777777" w:rsidR="004B66F8" w:rsidRDefault="004B66F8" w:rsidP="00964EFE"/>
    <w:tbl>
      <w:tblPr>
        <w:tblStyle w:val="TableGrid1"/>
        <w:tblpPr w:leftFromText="180" w:rightFromText="180" w:vertAnchor="page" w:horzAnchor="margin" w:tblpY="1659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6A0" w:firstRow="1" w:lastRow="0" w:firstColumn="1" w:lastColumn="0" w:noHBand="1" w:noVBand="1"/>
      </w:tblPr>
      <w:tblGrid>
        <w:gridCol w:w="1418"/>
        <w:gridCol w:w="1701"/>
        <w:gridCol w:w="1134"/>
        <w:gridCol w:w="1843"/>
        <w:gridCol w:w="1276"/>
        <w:gridCol w:w="1984"/>
      </w:tblGrid>
      <w:tr w:rsidR="00C11C87" w:rsidRPr="00C11C87" w14:paraId="6869C3D1" w14:textId="77777777" w:rsidTr="006E0E92">
        <w:trPr>
          <w:trHeight w:val="300"/>
        </w:trPr>
        <w:tc>
          <w:tcPr>
            <w:tcW w:w="9356" w:type="dxa"/>
            <w:gridSpan w:val="6"/>
            <w:tcBorders>
              <w:bottom w:val="single" w:sz="12" w:space="0" w:color="auto"/>
            </w:tcBorders>
            <w:tcMar>
              <w:left w:w="105" w:type="dxa"/>
              <w:right w:w="105" w:type="dxa"/>
            </w:tcMar>
          </w:tcPr>
          <w:p w14:paraId="58AFB96F" w14:textId="77777777" w:rsidR="00C11C87" w:rsidRPr="00C11C87" w:rsidRDefault="00C11C87" w:rsidP="00C11C87">
            <w:pPr>
              <w:spacing w:before="120" w:line="360" w:lineRule="auto"/>
              <w:ind w:right="-106"/>
              <w:jc w:val="both"/>
              <w:rPr>
                <w:rFonts w:ascii="Times New Roman" w:eastAsia="Segoe UI" w:hAnsi="Times New Roman" w:cs="Times New Roman"/>
                <w:color w:val="000000"/>
                <w:sz w:val="24"/>
                <w:szCs w:val="24"/>
                <w:lang w:bidi="en-US"/>
              </w:rPr>
            </w:pPr>
            <w:r w:rsidRPr="00C11C87">
              <w:rPr>
                <w:rFonts w:ascii="Times New Roman" w:eastAsia="Segoe UI" w:hAnsi="Times New Roman" w:cs="Times New Roman"/>
                <w:b/>
                <w:bCs/>
                <w:color w:val="000000"/>
                <w:sz w:val="24"/>
                <w:szCs w:val="24"/>
                <w:lang w:bidi="en-US"/>
              </w:rPr>
              <w:t>Table S2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4"/>
                <w:szCs w:val="24"/>
                <w:lang w:bidi="en-US"/>
              </w:rPr>
              <w:t>: Cell growth inhibition (%) against AGS gastric adenocarcinoma at different concentrations of the capecitabine, paclitaxel, and the chemotherapy combination for 72 h using the Alamar Blue assay (n = 3).</w:t>
            </w:r>
          </w:p>
        </w:tc>
      </w:tr>
      <w:tr w:rsidR="00C11C87" w:rsidRPr="00C11C87" w14:paraId="770F13D9" w14:textId="77777777" w:rsidTr="00C11C87">
        <w:trPr>
          <w:trHeight w:val="300"/>
        </w:trPr>
        <w:tc>
          <w:tcPr>
            <w:tcW w:w="1418" w:type="dxa"/>
            <w:tcBorders>
              <w:top w:val="single" w:sz="12" w:space="0" w:color="auto"/>
              <w:bottom w:val="single" w:sz="12" w:space="0" w:color="auto"/>
            </w:tcBorders>
            <w:tcMar>
              <w:left w:w="105" w:type="dxa"/>
              <w:right w:w="105" w:type="dxa"/>
            </w:tcMar>
          </w:tcPr>
          <w:p w14:paraId="3C8A29BA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Capecitabine</w:t>
            </w:r>
          </w:p>
          <w:p w14:paraId="1B6FA7A1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snapToGrid w:val="0"/>
                <w:color w:val="000000"/>
                <w:sz w:val="20"/>
                <w:szCs w:val="20"/>
              </w:rPr>
              <w:t>Conc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μg</w:t>
            </w:r>
            <w:proofErr w:type="spellEnd"/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/mL)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tcMar>
              <w:left w:w="105" w:type="dxa"/>
              <w:right w:w="105" w:type="dxa"/>
            </w:tcMar>
          </w:tcPr>
          <w:p w14:paraId="257E83E9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Cell Growth Inhibition (%)</w:t>
            </w:r>
          </w:p>
          <w:p w14:paraId="019752DF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of AGS cells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tcMar>
              <w:left w:w="105" w:type="dxa"/>
              <w:right w:w="105" w:type="dxa"/>
            </w:tcMar>
          </w:tcPr>
          <w:p w14:paraId="2552E498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Paclitaxel</w:t>
            </w:r>
          </w:p>
          <w:p w14:paraId="78185BCE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Conc (</w:t>
            </w:r>
            <w:proofErr w:type="spellStart"/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μg</w:t>
            </w:r>
            <w:proofErr w:type="spellEnd"/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/mL)</w:t>
            </w:r>
          </w:p>
        </w:tc>
        <w:tc>
          <w:tcPr>
            <w:tcW w:w="1843" w:type="dxa"/>
            <w:tcBorders>
              <w:top w:val="single" w:sz="12" w:space="0" w:color="auto"/>
              <w:bottom w:val="single" w:sz="12" w:space="0" w:color="auto"/>
            </w:tcBorders>
            <w:tcMar>
              <w:left w:w="105" w:type="dxa"/>
              <w:right w:w="105" w:type="dxa"/>
            </w:tcMar>
          </w:tcPr>
          <w:p w14:paraId="5986E934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Cell Growth Inhibition (%)</w:t>
            </w:r>
          </w:p>
          <w:p w14:paraId="27AD5FC3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of AGS cells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tcMar>
              <w:left w:w="105" w:type="dxa"/>
              <w:right w:w="105" w:type="dxa"/>
            </w:tcMar>
          </w:tcPr>
          <w:p w14:paraId="413F7695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Cap+Pacli</w:t>
            </w:r>
            <w:proofErr w:type="spellEnd"/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 xml:space="preserve"> Combination</w:t>
            </w:r>
          </w:p>
        </w:tc>
        <w:tc>
          <w:tcPr>
            <w:tcW w:w="1984" w:type="dxa"/>
            <w:tcBorders>
              <w:bottom w:val="single" w:sz="12" w:space="0" w:color="auto"/>
            </w:tcBorders>
            <w:tcMar>
              <w:left w:w="105" w:type="dxa"/>
              <w:right w:w="105" w:type="dxa"/>
            </w:tcMar>
          </w:tcPr>
          <w:p w14:paraId="3AB51B8E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Cell Growth Inhibition (%)</w:t>
            </w:r>
          </w:p>
          <w:p w14:paraId="50EEDFDD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of AGS cells</w:t>
            </w:r>
          </w:p>
        </w:tc>
      </w:tr>
      <w:tr w:rsidR="00C11C87" w:rsidRPr="00C11C87" w14:paraId="2FDE8FA8" w14:textId="77777777" w:rsidTr="00C11C87">
        <w:trPr>
          <w:trHeight w:val="210"/>
        </w:trPr>
        <w:tc>
          <w:tcPr>
            <w:tcW w:w="1418" w:type="dxa"/>
            <w:tcMar>
              <w:left w:w="105" w:type="dxa"/>
              <w:right w:w="105" w:type="dxa"/>
            </w:tcMar>
          </w:tcPr>
          <w:p w14:paraId="1879619F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520</w:t>
            </w:r>
          </w:p>
        </w:tc>
        <w:tc>
          <w:tcPr>
            <w:tcW w:w="1701" w:type="dxa"/>
            <w:tcMar>
              <w:left w:w="105" w:type="dxa"/>
              <w:right w:w="105" w:type="dxa"/>
            </w:tcMar>
          </w:tcPr>
          <w:p w14:paraId="03A2D8EC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 xml:space="preserve"> 4.16 ± 5.20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a</w:t>
            </w:r>
          </w:p>
        </w:tc>
        <w:tc>
          <w:tcPr>
            <w:tcW w:w="1134" w:type="dxa"/>
            <w:tcMar>
              <w:left w:w="105" w:type="dxa"/>
              <w:right w:w="105" w:type="dxa"/>
            </w:tcMar>
            <w:vAlign w:val="bottom"/>
          </w:tcPr>
          <w:p w14:paraId="19688624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0.2</w:t>
            </w:r>
          </w:p>
        </w:tc>
        <w:tc>
          <w:tcPr>
            <w:tcW w:w="1843" w:type="dxa"/>
            <w:tcMar>
              <w:left w:w="105" w:type="dxa"/>
              <w:right w:w="105" w:type="dxa"/>
            </w:tcMar>
          </w:tcPr>
          <w:p w14:paraId="59EED397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86.55 ± 3.22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a</w:t>
            </w:r>
          </w:p>
        </w:tc>
        <w:tc>
          <w:tcPr>
            <w:tcW w:w="1276" w:type="dxa"/>
            <w:tcBorders>
              <w:top w:val="single" w:sz="12" w:space="0" w:color="auto"/>
            </w:tcBorders>
            <w:tcMar>
              <w:left w:w="105" w:type="dxa"/>
              <w:right w:w="105" w:type="dxa"/>
            </w:tcMar>
          </w:tcPr>
          <w:p w14:paraId="3A3830C1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520.2</w:t>
            </w:r>
          </w:p>
        </w:tc>
        <w:tc>
          <w:tcPr>
            <w:tcW w:w="1984" w:type="dxa"/>
            <w:tcBorders>
              <w:top w:val="single" w:sz="12" w:space="0" w:color="auto"/>
            </w:tcBorders>
            <w:tcMar>
              <w:left w:w="105" w:type="dxa"/>
              <w:right w:w="105" w:type="dxa"/>
            </w:tcMar>
          </w:tcPr>
          <w:p w14:paraId="18B34158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86.29 ± 2.01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a</w:t>
            </w:r>
          </w:p>
        </w:tc>
      </w:tr>
      <w:tr w:rsidR="00C11C87" w:rsidRPr="00C11C87" w14:paraId="4DD1B7CD" w14:textId="77777777" w:rsidTr="006E0E92">
        <w:trPr>
          <w:trHeight w:val="242"/>
        </w:trPr>
        <w:tc>
          <w:tcPr>
            <w:tcW w:w="1418" w:type="dxa"/>
            <w:tcMar>
              <w:left w:w="105" w:type="dxa"/>
              <w:right w:w="105" w:type="dxa"/>
            </w:tcMar>
          </w:tcPr>
          <w:p w14:paraId="0839ECD6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260</w:t>
            </w:r>
          </w:p>
        </w:tc>
        <w:tc>
          <w:tcPr>
            <w:tcW w:w="1701" w:type="dxa"/>
            <w:tcMar>
              <w:left w:w="105" w:type="dxa"/>
              <w:right w:w="105" w:type="dxa"/>
            </w:tcMar>
          </w:tcPr>
          <w:p w14:paraId="313F8830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-0.71 ± 4.48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a</w:t>
            </w:r>
          </w:p>
        </w:tc>
        <w:tc>
          <w:tcPr>
            <w:tcW w:w="1134" w:type="dxa"/>
            <w:tcMar>
              <w:left w:w="105" w:type="dxa"/>
              <w:right w:w="105" w:type="dxa"/>
            </w:tcMar>
            <w:vAlign w:val="bottom"/>
          </w:tcPr>
          <w:p w14:paraId="6D5866FC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0.1</w:t>
            </w:r>
          </w:p>
        </w:tc>
        <w:tc>
          <w:tcPr>
            <w:tcW w:w="1843" w:type="dxa"/>
            <w:tcMar>
              <w:left w:w="105" w:type="dxa"/>
              <w:right w:w="105" w:type="dxa"/>
            </w:tcMar>
          </w:tcPr>
          <w:p w14:paraId="7373D1AC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85.16 ± 2.59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a</w:t>
            </w:r>
          </w:p>
        </w:tc>
        <w:tc>
          <w:tcPr>
            <w:tcW w:w="1276" w:type="dxa"/>
            <w:tcMar>
              <w:left w:w="105" w:type="dxa"/>
              <w:right w:w="105" w:type="dxa"/>
            </w:tcMar>
          </w:tcPr>
          <w:p w14:paraId="3D3FA4B4" w14:textId="77777777" w:rsidR="00C11C87" w:rsidRPr="00C11C87" w:rsidRDefault="00C11C87" w:rsidP="006E0E92">
            <w:pPr>
              <w:tabs>
                <w:tab w:val="left" w:pos="677"/>
              </w:tabs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260.1</w:t>
            </w:r>
          </w:p>
        </w:tc>
        <w:tc>
          <w:tcPr>
            <w:tcW w:w="1984" w:type="dxa"/>
            <w:tcMar>
              <w:left w:w="105" w:type="dxa"/>
              <w:right w:w="105" w:type="dxa"/>
            </w:tcMar>
          </w:tcPr>
          <w:p w14:paraId="4D9E528D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83.28 ± 2.14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a</w:t>
            </w:r>
          </w:p>
        </w:tc>
      </w:tr>
      <w:tr w:rsidR="00C11C87" w:rsidRPr="00C11C87" w14:paraId="22BAA75B" w14:textId="77777777" w:rsidTr="006E0E92">
        <w:trPr>
          <w:trHeight w:val="230"/>
        </w:trPr>
        <w:tc>
          <w:tcPr>
            <w:tcW w:w="1418" w:type="dxa"/>
            <w:tcMar>
              <w:left w:w="105" w:type="dxa"/>
              <w:right w:w="105" w:type="dxa"/>
            </w:tcMar>
          </w:tcPr>
          <w:p w14:paraId="0184FF61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1701" w:type="dxa"/>
            <w:tcMar>
              <w:left w:w="105" w:type="dxa"/>
              <w:right w:w="105" w:type="dxa"/>
            </w:tcMar>
          </w:tcPr>
          <w:p w14:paraId="6645DFC9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-7.98 ± 3.62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134" w:type="dxa"/>
            <w:tcMar>
              <w:left w:w="105" w:type="dxa"/>
              <w:right w:w="105" w:type="dxa"/>
            </w:tcMar>
            <w:vAlign w:val="bottom"/>
          </w:tcPr>
          <w:p w14:paraId="21A72107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0.05</w:t>
            </w:r>
          </w:p>
        </w:tc>
        <w:tc>
          <w:tcPr>
            <w:tcW w:w="1843" w:type="dxa"/>
            <w:tcMar>
              <w:left w:w="105" w:type="dxa"/>
              <w:right w:w="105" w:type="dxa"/>
            </w:tcMar>
          </w:tcPr>
          <w:p w14:paraId="23AAC3EA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78.38 ± 3.33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276" w:type="dxa"/>
            <w:tcMar>
              <w:left w:w="105" w:type="dxa"/>
              <w:right w:w="105" w:type="dxa"/>
            </w:tcMar>
          </w:tcPr>
          <w:p w14:paraId="692AAE97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130.05</w:t>
            </w:r>
          </w:p>
        </w:tc>
        <w:tc>
          <w:tcPr>
            <w:tcW w:w="1984" w:type="dxa"/>
            <w:tcMar>
              <w:left w:w="105" w:type="dxa"/>
              <w:right w:w="105" w:type="dxa"/>
            </w:tcMar>
          </w:tcPr>
          <w:p w14:paraId="2578B4BE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79.74 ± 1.69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a</w:t>
            </w:r>
          </w:p>
        </w:tc>
      </w:tr>
      <w:tr w:rsidR="00C11C87" w:rsidRPr="00C11C87" w14:paraId="00C43C32" w14:textId="77777777" w:rsidTr="006E0E92">
        <w:trPr>
          <w:trHeight w:val="185"/>
        </w:trPr>
        <w:tc>
          <w:tcPr>
            <w:tcW w:w="1418" w:type="dxa"/>
            <w:tcMar>
              <w:left w:w="105" w:type="dxa"/>
              <w:right w:w="105" w:type="dxa"/>
            </w:tcMar>
          </w:tcPr>
          <w:p w14:paraId="6DB308BA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1701" w:type="dxa"/>
            <w:tcMar>
              <w:left w:w="105" w:type="dxa"/>
              <w:right w:w="105" w:type="dxa"/>
            </w:tcMar>
          </w:tcPr>
          <w:p w14:paraId="0862AA08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-5.09 ± 4.38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134" w:type="dxa"/>
            <w:tcMar>
              <w:left w:w="105" w:type="dxa"/>
              <w:right w:w="105" w:type="dxa"/>
            </w:tcMar>
            <w:vAlign w:val="bottom"/>
          </w:tcPr>
          <w:p w14:paraId="4C219C18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0.025</w:t>
            </w:r>
          </w:p>
        </w:tc>
        <w:tc>
          <w:tcPr>
            <w:tcW w:w="1843" w:type="dxa"/>
            <w:tcMar>
              <w:left w:w="105" w:type="dxa"/>
              <w:right w:w="105" w:type="dxa"/>
            </w:tcMar>
          </w:tcPr>
          <w:p w14:paraId="406E1E7C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61.16 ± 2.88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c</w:t>
            </w:r>
          </w:p>
        </w:tc>
        <w:tc>
          <w:tcPr>
            <w:tcW w:w="1276" w:type="dxa"/>
            <w:tcMar>
              <w:left w:w="105" w:type="dxa"/>
              <w:right w:w="105" w:type="dxa"/>
            </w:tcMar>
          </w:tcPr>
          <w:p w14:paraId="5B9445C0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65.025</w:t>
            </w:r>
          </w:p>
        </w:tc>
        <w:tc>
          <w:tcPr>
            <w:tcW w:w="1984" w:type="dxa"/>
            <w:tcMar>
              <w:left w:w="105" w:type="dxa"/>
              <w:right w:w="105" w:type="dxa"/>
            </w:tcMar>
          </w:tcPr>
          <w:p w14:paraId="6244B442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60.85 ± 0.58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b</w:t>
            </w:r>
          </w:p>
        </w:tc>
      </w:tr>
      <w:tr w:rsidR="00C11C87" w:rsidRPr="00C11C87" w14:paraId="554DF76E" w14:textId="77777777" w:rsidTr="006E0E92">
        <w:trPr>
          <w:trHeight w:val="211"/>
        </w:trPr>
        <w:tc>
          <w:tcPr>
            <w:tcW w:w="1418" w:type="dxa"/>
            <w:tcMar>
              <w:left w:w="105" w:type="dxa"/>
              <w:right w:w="105" w:type="dxa"/>
            </w:tcMar>
          </w:tcPr>
          <w:p w14:paraId="0345F314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32.5</w:t>
            </w:r>
          </w:p>
        </w:tc>
        <w:tc>
          <w:tcPr>
            <w:tcW w:w="1701" w:type="dxa"/>
            <w:tcMar>
              <w:left w:w="105" w:type="dxa"/>
              <w:right w:w="105" w:type="dxa"/>
            </w:tcMar>
          </w:tcPr>
          <w:p w14:paraId="2D8B007D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-6.12 ± 2.09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134" w:type="dxa"/>
            <w:tcMar>
              <w:left w:w="105" w:type="dxa"/>
              <w:right w:w="105" w:type="dxa"/>
            </w:tcMar>
            <w:vAlign w:val="bottom"/>
          </w:tcPr>
          <w:p w14:paraId="489E7F8E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0.0125</w:t>
            </w:r>
          </w:p>
        </w:tc>
        <w:tc>
          <w:tcPr>
            <w:tcW w:w="1843" w:type="dxa"/>
            <w:tcMar>
              <w:left w:w="105" w:type="dxa"/>
              <w:right w:w="105" w:type="dxa"/>
            </w:tcMar>
          </w:tcPr>
          <w:p w14:paraId="0390485D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48.62 ± 4.15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d</w:t>
            </w:r>
          </w:p>
        </w:tc>
        <w:tc>
          <w:tcPr>
            <w:tcW w:w="1276" w:type="dxa"/>
            <w:tcMar>
              <w:left w:w="105" w:type="dxa"/>
              <w:right w:w="105" w:type="dxa"/>
            </w:tcMar>
          </w:tcPr>
          <w:p w14:paraId="5134C471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32.5125</w:t>
            </w:r>
          </w:p>
        </w:tc>
        <w:tc>
          <w:tcPr>
            <w:tcW w:w="1984" w:type="dxa"/>
            <w:tcMar>
              <w:left w:w="105" w:type="dxa"/>
              <w:right w:w="105" w:type="dxa"/>
            </w:tcMar>
          </w:tcPr>
          <w:p w14:paraId="706106C7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52.13 ± 3.89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c</w:t>
            </w:r>
          </w:p>
        </w:tc>
      </w:tr>
      <w:tr w:rsidR="00C11C87" w:rsidRPr="00C11C87" w14:paraId="7DBE2D6F" w14:textId="77777777" w:rsidTr="006E0E92">
        <w:trPr>
          <w:trHeight w:val="197"/>
        </w:trPr>
        <w:tc>
          <w:tcPr>
            <w:tcW w:w="1418" w:type="dxa"/>
            <w:tcMar>
              <w:left w:w="105" w:type="dxa"/>
              <w:right w:w="105" w:type="dxa"/>
            </w:tcMar>
          </w:tcPr>
          <w:p w14:paraId="2B1A099C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16.25</w:t>
            </w:r>
          </w:p>
        </w:tc>
        <w:tc>
          <w:tcPr>
            <w:tcW w:w="1701" w:type="dxa"/>
            <w:tcMar>
              <w:left w:w="105" w:type="dxa"/>
              <w:right w:w="105" w:type="dxa"/>
            </w:tcMar>
          </w:tcPr>
          <w:p w14:paraId="20EF6690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 xml:space="preserve"> 2.23 ± 4.29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c</w:t>
            </w:r>
          </w:p>
        </w:tc>
        <w:tc>
          <w:tcPr>
            <w:tcW w:w="1134" w:type="dxa"/>
            <w:tcMar>
              <w:left w:w="105" w:type="dxa"/>
              <w:right w:w="105" w:type="dxa"/>
            </w:tcMar>
            <w:vAlign w:val="bottom"/>
          </w:tcPr>
          <w:p w14:paraId="1B3E6154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  <w:t>0.00625</w:t>
            </w:r>
          </w:p>
        </w:tc>
        <w:tc>
          <w:tcPr>
            <w:tcW w:w="1843" w:type="dxa"/>
            <w:tcMar>
              <w:left w:w="105" w:type="dxa"/>
              <w:right w:w="105" w:type="dxa"/>
            </w:tcMar>
          </w:tcPr>
          <w:p w14:paraId="4328A423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43.38 ± 4.45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d</w:t>
            </w:r>
          </w:p>
        </w:tc>
        <w:tc>
          <w:tcPr>
            <w:tcW w:w="1276" w:type="dxa"/>
            <w:tcMar>
              <w:left w:w="105" w:type="dxa"/>
              <w:right w:w="105" w:type="dxa"/>
            </w:tcMar>
          </w:tcPr>
          <w:p w14:paraId="092DBDA4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16.25625</w:t>
            </w:r>
          </w:p>
        </w:tc>
        <w:tc>
          <w:tcPr>
            <w:tcW w:w="1984" w:type="dxa"/>
            <w:tcMar>
              <w:left w:w="105" w:type="dxa"/>
              <w:right w:w="105" w:type="dxa"/>
            </w:tcMar>
          </w:tcPr>
          <w:p w14:paraId="3AD0F7C6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Aptos" w:hAnsi="Times New Roman" w:cs="Times New Roman"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</w:rPr>
              <w:t>37.55 ± 5.04</w:t>
            </w:r>
            <w:r w:rsidRPr="00C11C87">
              <w:rPr>
                <w:rFonts w:ascii="Times New Roman" w:eastAsia="Segoe UI" w:hAnsi="Times New Roman" w:cs="Times New Roman"/>
                <w:color w:val="000000"/>
                <w:sz w:val="20"/>
                <w:szCs w:val="20"/>
                <w:vertAlign w:val="superscript"/>
              </w:rPr>
              <w:t>d</w:t>
            </w:r>
          </w:p>
        </w:tc>
      </w:tr>
      <w:tr w:rsidR="00C11C87" w:rsidRPr="00C11C87" w14:paraId="2A3C0268" w14:textId="77777777" w:rsidTr="006E0E92">
        <w:trPr>
          <w:trHeight w:val="300"/>
        </w:trPr>
        <w:tc>
          <w:tcPr>
            <w:tcW w:w="1418" w:type="dxa"/>
            <w:tcBorders>
              <w:bottom w:val="single" w:sz="12" w:space="0" w:color="auto"/>
            </w:tcBorders>
            <w:tcMar>
              <w:left w:w="105" w:type="dxa"/>
              <w:right w:w="105" w:type="dxa"/>
            </w:tcMar>
          </w:tcPr>
          <w:p w14:paraId="03E1F89C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b/>
                <w:bCs/>
                <w:color w:val="000000"/>
                <w:sz w:val="20"/>
                <w:szCs w:val="20"/>
              </w:rPr>
              <w:t>IC</w:t>
            </w:r>
            <w:r w:rsidRPr="00C11C87">
              <w:rPr>
                <w:rFonts w:ascii="Times New Roman" w:eastAsia="Aptos" w:hAnsi="Times New Roman" w:cs="Times New Roman"/>
                <w:b/>
                <w:bCs/>
                <w:color w:val="000000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1701" w:type="dxa"/>
            <w:tcBorders>
              <w:bottom w:val="single" w:sz="12" w:space="0" w:color="auto"/>
            </w:tcBorders>
            <w:tcMar>
              <w:left w:w="105" w:type="dxa"/>
              <w:right w:w="105" w:type="dxa"/>
            </w:tcMar>
          </w:tcPr>
          <w:p w14:paraId="0F0B20C3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  <w:t>NA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tcMar>
              <w:left w:w="105" w:type="dxa"/>
              <w:right w:w="105" w:type="dxa"/>
            </w:tcMar>
          </w:tcPr>
          <w:p w14:paraId="38F49323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b/>
                <w:bCs/>
                <w:color w:val="000000"/>
                <w:sz w:val="20"/>
                <w:szCs w:val="20"/>
              </w:rPr>
              <w:t>IC</w:t>
            </w:r>
            <w:r w:rsidRPr="00C11C87">
              <w:rPr>
                <w:rFonts w:ascii="Times New Roman" w:eastAsia="Aptos" w:hAnsi="Times New Roman" w:cs="Times New Roman"/>
                <w:b/>
                <w:bCs/>
                <w:color w:val="000000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1843" w:type="dxa"/>
            <w:tcBorders>
              <w:bottom w:val="single" w:sz="12" w:space="0" w:color="auto"/>
            </w:tcBorders>
            <w:tcMar>
              <w:left w:w="105" w:type="dxa"/>
              <w:right w:w="105" w:type="dxa"/>
            </w:tcMar>
          </w:tcPr>
          <w:p w14:paraId="19BD6555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  <w:t xml:space="preserve">0.030 ± 0.00 </w:t>
            </w:r>
            <w:proofErr w:type="spellStart"/>
            <w:r w:rsidRPr="00C11C87"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  <w:t>μg</w:t>
            </w:r>
            <w:proofErr w:type="spellEnd"/>
            <w:r w:rsidRPr="00C11C87"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  <w:t>/mL</w:t>
            </w:r>
          </w:p>
        </w:tc>
        <w:tc>
          <w:tcPr>
            <w:tcW w:w="1276" w:type="dxa"/>
            <w:tcBorders>
              <w:bottom w:val="single" w:sz="12" w:space="0" w:color="auto"/>
            </w:tcBorders>
            <w:tcMar>
              <w:left w:w="105" w:type="dxa"/>
              <w:right w:w="105" w:type="dxa"/>
            </w:tcMar>
          </w:tcPr>
          <w:p w14:paraId="11E52986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Aptos" w:hAnsi="Times New Roman" w:cs="Times New Roman"/>
                <w:b/>
                <w:bCs/>
                <w:color w:val="000000"/>
                <w:sz w:val="20"/>
                <w:szCs w:val="20"/>
              </w:rPr>
              <w:t>IC</w:t>
            </w:r>
            <w:r w:rsidRPr="00C11C87">
              <w:rPr>
                <w:rFonts w:ascii="Times New Roman" w:eastAsia="Aptos" w:hAnsi="Times New Roman" w:cs="Times New Roman"/>
                <w:b/>
                <w:bCs/>
                <w:color w:val="000000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1984" w:type="dxa"/>
            <w:tcMar>
              <w:left w:w="105" w:type="dxa"/>
              <w:right w:w="105" w:type="dxa"/>
            </w:tcMar>
          </w:tcPr>
          <w:p w14:paraId="1F76C3A3" w14:textId="77777777" w:rsidR="00C11C87" w:rsidRPr="00C11C87" w:rsidRDefault="00C11C87" w:rsidP="006E0E92">
            <w:pPr>
              <w:spacing w:before="120" w:line="360" w:lineRule="auto"/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11C87"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  <w:t xml:space="preserve">60.42 ± 0.44 </w:t>
            </w:r>
            <w:proofErr w:type="spellStart"/>
            <w:r w:rsidRPr="00C11C87"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  <w:t>μg</w:t>
            </w:r>
            <w:proofErr w:type="spellEnd"/>
            <w:r w:rsidRPr="00C11C87">
              <w:rPr>
                <w:rFonts w:ascii="Times New Roman" w:eastAsia="Segoe UI" w:hAnsi="Times New Roman" w:cs="Times New Roman"/>
                <w:b/>
                <w:bCs/>
                <w:color w:val="000000"/>
                <w:sz w:val="20"/>
                <w:szCs w:val="20"/>
              </w:rPr>
              <w:t>/mL</w:t>
            </w:r>
          </w:p>
        </w:tc>
      </w:tr>
      <w:tr w:rsidR="00C11C87" w:rsidRPr="00C11C87" w14:paraId="202BDA37" w14:textId="77777777" w:rsidTr="006E0E92">
        <w:trPr>
          <w:trHeight w:val="300"/>
        </w:trPr>
        <w:tc>
          <w:tcPr>
            <w:tcW w:w="9356" w:type="dxa"/>
            <w:gridSpan w:val="6"/>
            <w:tcBorders>
              <w:top w:val="single" w:sz="12" w:space="0" w:color="auto"/>
            </w:tcBorders>
            <w:tcMar>
              <w:left w:w="105" w:type="dxa"/>
              <w:right w:w="105" w:type="dxa"/>
            </w:tcMar>
          </w:tcPr>
          <w:p w14:paraId="5B35207A" w14:textId="77777777" w:rsidR="00C11C87" w:rsidRPr="00C11C87" w:rsidRDefault="00C11C87" w:rsidP="006E0E92">
            <w:pPr>
              <w:shd w:val="clear" w:color="auto" w:fill="FFFFFF"/>
              <w:spacing w:before="120" w:line="360" w:lineRule="auto"/>
              <w:ind w:right="-52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proofErr w:type="spellStart"/>
            <w:proofErr w:type="gramStart"/>
            <w:r w:rsidRPr="00C11C8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vertAlign w:val="superscript"/>
              </w:rPr>
              <w:t>a,b</w:t>
            </w:r>
            <w:proofErr w:type="gramEnd"/>
            <w:r w:rsidRPr="00C11C8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vertAlign w:val="superscript"/>
              </w:rPr>
              <w:t>,c</w:t>
            </w:r>
            <w:proofErr w:type="spellEnd"/>
            <w:r w:rsidRPr="00C11C8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vertAlign w:val="superscript"/>
              </w:rPr>
              <w:t xml:space="preserve"> </w:t>
            </w:r>
            <w:proofErr w:type="gramStart"/>
            <w:r w:rsidRPr="00C11C87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The</w:t>
            </w:r>
            <w:proofErr w:type="gramEnd"/>
            <w:r w:rsidRPr="00C11C87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 different superscript values in the same column for each cell line indicate statistically significant difference (</w:t>
            </w:r>
            <w:r w:rsidRPr="00C11C87">
              <w:rPr>
                <w:rFonts w:ascii="Times New Roman" w:eastAsia="Calibri" w:hAnsi="Times New Roman" w:cs="Times New Roman"/>
                <w:i/>
                <w:iCs/>
                <w:color w:val="000000"/>
                <w:sz w:val="20"/>
                <w:szCs w:val="20"/>
              </w:rPr>
              <w:t xml:space="preserve">p </w:t>
            </w:r>
            <w:r w:rsidRPr="00C11C87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&lt; 0.05) compared to the highest concentration.</w:t>
            </w:r>
          </w:p>
        </w:tc>
      </w:tr>
    </w:tbl>
    <w:p w14:paraId="6D0A4037" w14:textId="77777777" w:rsidR="004B66F8" w:rsidRDefault="004B66F8" w:rsidP="00964EFE"/>
    <w:p w14:paraId="07C45D65" w14:textId="77777777" w:rsidR="004B66F8" w:rsidRDefault="004B66F8" w:rsidP="00964EFE"/>
    <w:p w14:paraId="37570E3C" w14:textId="77777777" w:rsidR="004B66F8" w:rsidRDefault="004B66F8" w:rsidP="00964EFE"/>
    <w:p w14:paraId="11E162AE" w14:textId="77777777" w:rsidR="00EB040F" w:rsidRDefault="00EB040F" w:rsidP="00964EFE"/>
    <w:p w14:paraId="022EEC00" w14:textId="77777777" w:rsidR="00EB040F" w:rsidRDefault="00EB040F" w:rsidP="00964EFE"/>
    <w:p w14:paraId="2C306299" w14:textId="4D27FC1B" w:rsidR="00936BD9" w:rsidRPr="00936BD9" w:rsidRDefault="00936BD9" w:rsidP="00936BD9">
      <w:r w:rsidRPr="00936BD9">
        <w:lastRenderedPageBreak/>
        <w:drawing>
          <wp:inline distT="0" distB="0" distL="0" distR="0" wp14:anchorId="12178AB1" wp14:editId="5ED1CF73">
            <wp:extent cx="4156582" cy="7198822"/>
            <wp:effectExtent l="0" t="0" r="0" b="2540"/>
            <wp:docPr id="63009613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6" b="12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367" cy="7201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AB67AF" w14:textId="338DB7D2" w:rsidR="00936BD9" w:rsidRPr="008D7A36" w:rsidRDefault="00936BD9" w:rsidP="00936BD9">
      <w:pPr>
        <w:rPr>
          <w:rFonts w:asciiTheme="majorBidi" w:eastAsia="Aptos" w:hAnsiTheme="majorBidi" w:cstheme="majorBidi"/>
          <w:kern w:val="0"/>
          <w14:ligatures w14:val="none"/>
        </w:rPr>
      </w:pPr>
      <w:r w:rsidRPr="008D7A36">
        <w:rPr>
          <w:rFonts w:asciiTheme="majorBidi" w:eastAsia="Aptos" w:hAnsiTheme="majorBidi" w:cstheme="majorBidi"/>
          <w:b/>
          <w:bCs/>
          <w:kern w:val="0"/>
          <w14:ligatures w14:val="none"/>
        </w:rPr>
        <w:t>Figure S</w:t>
      </w:r>
      <w:r>
        <w:rPr>
          <w:rFonts w:asciiTheme="majorBidi" w:eastAsia="Aptos" w:hAnsiTheme="majorBidi" w:cstheme="majorBidi"/>
          <w:b/>
          <w:bCs/>
          <w:kern w:val="0"/>
          <w14:ligatures w14:val="none"/>
        </w:rPr>
        <w:t>1</w:t>
      </w:r>
      <w:r w:rsidRPr="008D7A36">
        <w:rPr>
          <w:rFonts w:asciiTheme="majorBidi" w:eastAsia="Aptos" w:hAnsiTheme="majorBidi" w:cstheme="majorBidi"/>
          <w:kern w:val="0"/>
          <w14:ligatures w14:val="none"/>
        </w:rPr>
        <w:t xml:space="preserve">. Hierarchical Clustering of </w:t>
      </w:r>
      <w:r>
        <w:rPr>
          <w:rFonts w:asciiTheme="majorBidi" w:eastAsia="Aptos" w:hAnsiTheme="majorBidi" w:cstheme="majorBidi"/>
          <w:kern w:val="0"/>
          <w14:ligatures w14:val="none"/>
        </w:rPr>
        <w:t>the canonical pathways</w:t>
      </w:r>
      <w:r w:rsidRPr="008D7A36">
        <w:rPr>
          <w:rFonts w:asciiTheme="majorBidi" w:eastAsia="Aptos" w:hAnsiTheme="majorBidi" w:cstheme="majorBidi"/>
          <w:kern w:val="0"/>
          <w14:ligatures w14:val="none"/>
        </w:rPr>
        <w:t xml:space="preserve"> in Response to APB, CTC (DCF), 1:9 and 2:8 (DCF+APB) combinations. </w:t>
      </w:r>
    </w:p>
    <w:p w14:paraId="06975DDE" w14:textId="77777777" w:rsidR="00936BD9" w:rsidRDefault="00936BD9" w:rsidP="00964EFE"/>
    <w:p w14:paraId="406FCC59" w14:textId="77777777" w:rsidR="00EB040F" w:rsidRDefault="00EB040F" w:rsidP="00964EFE"/>
    <w:p w14:paraId="22CB0922" w14:textId="3CA8203B" w:rsidR="004B66F8" w:rsidRPr="004B66F8" w:rsidRDefault="004B66F8" w:rsidP="004B66F8">
      <w:r w:rsidRPr="004B66F8">
        <w:rPr>
          <w:noProof/>
        </w:rPr>
        <w:lastRenderedPageBreak/>
        <w:drawing>
          <wp:inline distT="0" distB="0" distL="0" distR="0" wp14:anchorId="39202F80" wp14:editId="031D8099">
            <wp:extent cx="5731510" cy="3757930"/>
            <wp:effectExtent l="0" t="0" r="2540" b="0"/>
            <wp:docPr id="859644726" name="Picture 4" descr="A network of lines and do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644726" name="Picture 4" descr="A network of lines and dot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5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6083B" w14:textId="52C4AA40" w:rsidR="003F5665" w:rsidRPr="00EB040F" w:rsidRDefault="004B66F8" w:rsidP="003F5665">
      <w:pPr>
        <w:rPr>
          <w:rFonts w:asciiTheme="majorBidi" w:eastAsia="Aptos" w:hAnsiTheme="majorBidi" w:cstheme="majorBidi"/>
          <w:b/>
          <w:bCs/>
          <w:kern w:val="0"/>
          <w14:ligatures w14:val="none"/>
        </w:rPr>
      </w:pPr>
      <w:r w:rsidRPr="00EB040F">
        <w:rPr>
          <w:rFonts w:asciiTheme="majorBidi" w:eastAsia="Aptos" w:hAnsiTheme="majorBidi" w:cstheme="majorBidi"/>
          <w:b/>
          <w:bCs/>
          <w:kern w:val="0"/>
          <w14:ligatures w14:val="none"/>
        </w:rPr>
        <w:t>Figure S</w:t>
      </w:r>
      <w:r w:rsidR="00D63CA6">
        <w:rPr>
          <w:rFonts w:asciiTheme="majorBidi" w:eastAsia="Aptos" w:hAnsiTheme="majorBidi" w:cstheme="majorBidi"/>
          <w:b/>
          <w:bCs/>
          <w:kern w:val="0"/>
          <w14:ligatures w14:val="none"/>
        </w:rPr>
        <w:t>2</w:t>
      </w:r>
      <w:r w:rsidRPr="00EB040F">
        <w:rPr>
          <w:rFonts w:asciiTheme="majorBidi" w:eastAsia="Aptos" w:hAnsiTheme="majorBidi" w:cstheme="majorBidi"/>
          <w:b/>
          <w:bCs/>
          <w:kern w:val="0"/>
          <w14:ligatures w14:val="none"/>
        </w:rPr>
        <w:t xml:space="preserve">. </w:t>
      </w:r>
      <w:r w:rsidRPr="00EB040F">
        <w:rPr>
          <w:rFonts w:asciiTheme="majorBidi" w:eastAsia="Aptos" w:hAnsiTheme="majorBidi" w:cstheme="majorBidi"/>
          <w:kern w:val="0"/>
          <w14:ligatures w14:val="none"/>
        </w:rPr>
        <w:t>Machine Learning-Based Prediction of DCF's Molecular Effects on Upper Gastrointestinal Carcinoma Signalling Pathway</w:t>
      </w:r>
    </w:p>
    <w:p w14:paraId="260F1C07" w14:textId="5029A775" w:rsidR="003F5665" w:rsidRDefault="003F5665" w:rsidP="003F5665">
      <w:pPr>
        <w:spacing w:after="0"/>
        <w:jc w:val="both"/>
      </w:pPr>
      <w:r w:rsidRPr="00C849B0">
        <w:rPr>
          <w:rFonts w:asciiTheme="majorBidi" w:hAnsiTheme="majorBidi"/>
          <w:noProof/>
          <w:color w:val="000000" w:themeColor="text1"/>
          <w:kern w:val="0"/>
          <w14:ligatures w14:val="none"/>
        </w:rPr>
        <w:drawing>
          <wp:inline distT="0" distB="0" distL="0" distR="0" wp14:anchorId="690A0BC4" wp14:editId="1D460CC2">
            <wp:extent cx="5731510" cy="4144908"/>
            <wp:effectExtent l="0" t="0" r="2540" b="8255"/>
            <wp:docPr id="1363331972" name="Picture 4" descr="A close-up of a networ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748645" name="Picture 4" descr="A close-up of a network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44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DA0A5" w14:textId="4B44C6E3" w:rsidR="003F5665" w:rsidRPr="00C849B0" w:rsidRDefault="003F5665" w:rsidP="003F5665">
      <w:pPr>
        <w:spacing w:after="120"/>
        <w:contextualSpacing/>
        <w:rPr>
          <w:rFonts w:asciiTheme="majorBidi" w:eastAsia="Aptos" w:hAnsiTheme="majorBidi" w:cstheme="majorBidi"/>
          <w:b/>
          <w:bCs/>
          <w:color w:val="000000" w:themeColor="text1"/>
          <w:kern w:val="0"/>
          <w:lang w:val="en-US"/>
          <w14:ligatures w14:val="none"/>
        </w:rPr>
      </w:pPr>
      <w:r w:rsidRPr="00C849B0">
        <w:rPr>
          <w:rFonts w:asciiTheme="majorBidi" w:eastAsia="Aptos" w:hAnsiTheme="majorBidi" w:cstheme="majorBidi"/>
          <w:b/>
          <w:bCs/>
          <w:color w:val="000000" w:themeColor="text1"/>
          <w:kern w:val="0"/>
          <w:lang w:val="en-US"/>
          <w14:ligatures w14:val="none"/>
        </w:rPr>
        <w:t xml:space="preserve">Figure </w:t>
      </w:r>
      <w:r>
        <w:rPr>
          <w:rFonts w:asciiTheme="majorBidi" w:eastAsia="Aptos" w:hAnsiTheme="majorBidi" w:cstheme="majorBidi"/>
          <w:b/>
          <w:bCs/>
          <w:color w:val="000000" w:themeColor="text1"/>
          <w:kern w:val="0"/>
          <w:lang w:val="en-US"/>
          <w14:ligatures w14:val="none"/>
        </w:rPr>
        <w:t>S</w:t>
      </w:r>
      <w:r w:rsidR="00D63CA6">
        <w:rPr>
          <w:rFonts w:asciiTheme="majorBidi" w:eastAsia="Aptos" w:hAnsiTheme="majorBidi" w:cstheme="majorBidi"/>
          <w:b/>
          <w:bCs/>
          <w:color w:val="000000" w:themeColor="text1"/>
          <w:kern w:val="0"/>
          <w:lang w:val="en-US"/>
          <w14:ligatures w14:val="none"/>
        </w:rPr>
        <w:t>3</w:t>
      </w:r>
      <w:r w:rsidRPr="00C849B0">
        <w:rPr>
          <w:rFonts w:asciiTheme="majorBidi" w:eastAsia="Aptos" w:hAnsiTheme="majorBidi" w:cstheme="majorBidi"/>
          <w:b/>
          <w:bCs/>
          <w:color w:val="000000" w:themeColor="text1"/>
          <w:kern w:val="0"/>
          <w14:ligatures w14:val="none"/>
        </w:rPr>
        <w:t xml:space="preserve">. </w:t>
      </w:r>
      <w:r w:rsidRPr="00C849B0">
        <w:rPr>
          <w:rFonts w:asciiTheme="majorBidi" w:eastAsia="Aptos" w:hAnsiTheme="majorBidi" w:cstheme="majorBidi"/>
          <w:color w:val="000000" w:themeColor="text1"/>
          <w:kern w:val="0"/>
          <w14:ligatures w14:val="none"/>
        </w:rPr>
        <w:t>Machine Learning-Based Prediction of APB's Molecular Effects on Upper Gastrointestinal Carcinoma Signalling Pathway.</w:t>
      </w:r>
    </w:p>
    <w:p w14:paraId="06C6EF79" w14:textId="77777777" w:rsidR="003F5665" w:rsidRPr="003F5665" w:rsidRDefault="003F5665" w:rsidP="008429F9">
      <w:pPr>
        <w:jc w:val="both"/>
        <w:rPr>
          <w:lang w:val="en-US"/>
        </w:rPr>
      </w:pPr>
    </w:p>
    <w:p w14:paraId="5754FFE7" w14:textId="0C6B398B" w:rsidR="003F5665" w:rsidRDefault="003F5665" w:rsidP="003F5665">
      <w:pPr>
        <w:jc w:val="both"/>
        <w:rPr>
          <w:rFonts w:asciiTheme="majorBidi" w:eastAsia="Aptos" w:hAnsiTheme="majorBidi" w:cstheme="majorBidi"/>
          <w:kern w:val="0"/>
          <w14:ligatures w14:val="none"/>
        </w:rPr>
      </w:pPr>
      <w:r w:rsidRPr="004B66F8">
        <w:rPr>
          <w:noProof/>
        </w:rPr>
        <w:drawing>
          <wp:inline distT="0" distB="0" distL="0" distR="0" wp14:anchorId="72EA1D9A" wp14:editId="1A7E913D">
            <wp:extent cx="5731510" cy="3863975"/>
            <wp:effectExtent l="0" t="0" r="2540" b="3175"/>
            <wp:docPr id="386112801" name="Picture 6" descr="A network of lines and do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112801" name="Picture 6" descr="A network of lines and dot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6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383B">
        <w:rPr>
          <w:rFonts w:asciiTheme="majorBidi" w:eastAsia="Aptos" w:hAnsiTheme="majorBidi" w:cstheme="majorBidi"/>
          <w:b/>
          <w:bCs/>
          <w:kern w:val="0"/>
          <w14:ligatures w14:val="none"/>
        </w:rPr>
        <w:t>Figure S</w:t>
      </w:r>
      <w:r w:rsidR="00D63CA6">
        <w:rPr>
          <w:rFonts w:asciiTheme="majorBidi" w:eastAsia="Aptos" w:hAnsiTheme="majorBidi" w:cstheme="majorBidi"/>
          <w:b/>
          <w:bCs/>
          <w:kern w:val="0"/>
          <w14:ligatures w14:val="none"/>
        </w:rPr>
        <w:t>4</w:t>
      </w:r>
      <w:r w:rsidRPr="0095383B">
        <w:rPr>
          <w:rFonts w:asciiTheme="majorBidi" w:eastAsia="Aptos" w:hAnsiTheme="majorBidi" w:cstheme="majorBidi"/>
          <w:b/>
          <w:bCs/>
          <w:kern w:val="0"/>
          <w14:ligatures w14:val="none"/>
        </w:rPr>
        <w:t xml:space="preserve">. </w:t>
      </w:r>
      <w:r w:rsidRPr="0095383B">
        <w:rPr>
          <w:rFonts w:asciiTheme="majorBidi" w:eastAsia="Aptos" w:hAnsiTheme="majorBidi" w:cstheme="majorBidi"/>
          <w:kern w:val="0"/>
          <w14:ligatures w14:val="none"/>
        </w:rPr>
        <w:t>Machine Learning-Based Prediction of APB's Molecular Effects on Abdominal Carcinoma Signalling Pathway</w:t>
      </w:r>
    </w:p>
    <w:p w14:paraId="4F0D968A" w14:textId="77777777" w:rsidR="003F5665" w:rsidRDefault="003F5665" w:rsidP="008429F9">
      <w:pPr>
        <w:jc w:val="both"/>
      </w:pPr>
    </w:p>
    <w:p w14:paraId="66F0464E" w14:textId="77777777" w:rsidR="003F5665" w:rsidRPr="003F5665" w:rsidRDefault="003F5665" w:rsidP="008429F9">
      <w:pPr>
        <w:jc w:val="both"/>
        <w:rPr>
          <w:lang w:val="en-US"/>
        </w:rPr>
      </w:pPr>
    </w:p>
    <w:p w14:paraId="4C1BBF9E" w14:textId="77777777" w:rsidR="00C63385" w:rsidRDefault="00C63385" w:rsidP="004B66F8"/>
    <w:p w14:paraId="22A6D288" w14:textId="77777777" w:rsidR="00C63385" w:rsidRDefault="00C63385" w:rsidP="004B66F8"/>
    <w:p w14:paraId="6E8B4F1A" w14:textId="77777777" w:rsidR="00C63385" w:rsidRDefault="00C63385" w:rsidP="004B66F8"/>
    <w:p w14:paraId="073D3297" w14:textId="77777777" w:rsidR="00C63385" w:rsidRDefault="00C63385" w:rsidP="004B66F8"/>
    <w:p w14:paraId="61DE8338" w14:textId="77777777" w:rsidR="00C63385" w:rsidRDefault="00C63385" w:rsidP="004B66F8"/>
    <w:p w14:paraId="0D89988F" w14:textId="77777777" w:rsidR="00C63385" w:rsidRDefault="00C63385" w:rsidP="004B66F8"/>
    <w:p w14:paraId="7E80FF6C" w14:textId="77777777" w:rsidR="00936BD9" w:rsidRDefault="00936BD9" w:rsidP="004B66F8"/>
    <w:p w14:paraId="17238822" w14:textId="77777777" w:rsidR="00936BD9" w:rsidRDefault="00936BD9" w:rsidP="004B66F8"/>
    <w:p w14:paraId="7207C9B6" w14:textId="77777777" w:rsidR="00936BD9" w:rsidRDefault="00936BD9" w:rsidP="004B66F8"/>
    <w:p w14:paraId="3180BBE2" w14:textId="77777777" w:rsidR="00936BD9" w:rsidRDefault="00936BD9" w:rsidP="004B66F8"/>
    <w:p w14:paraId="586F51F8" w14:textId="77777777" w:rsidR="00936BD9" w:rsidRDefault="00936BD9" w:rsidP="004B66F8"/>
    <w:p w14:paraId="79B307F2" w14:textId="77777777" w:rsidR="00936BD9" w:rsidRDefault="00936BD9" w:rsidP="004B66F8"/>
    <w:p w14:paraId="026332F7" w14:textId="77777777" w:rsidR="00936BD9" w:rsidRDefault="00936BD9" w:rsidP="00936BD9"/>
    <w:p w14:paraId="32A6D645" w14:textId="77777777" w:rsidR="00936BD9" w:rsidRPr="00C63385" w:rsidRDefault="00936BD9" w:rsidP="00936BD9">
      <w:r w:rsidRPr="00C63385">
        <w:rPr>
          <w:noProof/>
        </w:rPr>
        <w:lastRenderedPageBreak/>
        <w:drawing>
          <wp:inline distT="0" distB="0" distL="0" distR="0" wp14:anchorId="6FFCC453" wp14:editId="4F04A69A">
            <wp:extent cx="5731510" cy="5699125"/>
            <wp:effectExtent l="0" t="0" r="2540" b="0"/>
            <wp:docPr id="1637642082" name="Picture 2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642082" name="Picture 2" descr="A screenshot of a computer scree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9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6D2CF" w14:textId="77777777" w:rsidR="00936BD9" w:rsidRDefault="00936BD9" w:rsidP="00936BD9"/>
    <w:p w14:paraId="7A823373" w14:textId="5EEE824D" w:rsidR="00936BD9" w:rsidRPr="00C63385" w:rsidRDefault="00936BD9" w:rsidP="00936BD9">
      <w:pPr>
        <w:jc w:val="both"/>
        <w:rPr>
          <w:rFonts w:asciiTheme="majorBidi" w:eastAsia="Aptos" w:hAnsiTheme="majorBidi" w:cstheme="majorBidi"/>
          <w:kern w:val="0"/>
          <w14:ligatures w14:val="none"/>
        </w:rPr>
      </w:pPr>
      <w:r w:rsidRPr="00C63385">
        <w:rPr>
          <w:rFonts w:asciiTheme="majorBidi" w:eastAsia="Aptos" w:hAnsiTheme="majorBidi" w:cstheme="majorBidi"/>
          <w:b/>
          <w:bCs/>
          <w:kern w:val="0"/>
          <w14:ligatures w14:val="none"/>
        </w:rPr>
        <w:t xml:space="preserve">Figure </w:t>
      </w:r>
      <w:r>
        <w:rPr>
          <w:rFonts w:asciiTheme="majorBidi" w:eastAsia="Aptos" w:hAnsiTheme="majorBidi" w:cstheme="majorBidi"/>
          <w:b/>
          <w:bCs/>
          <w:kern w:val="0"/>
          <w14:ligatures w14:val="none"/>
        </w:rPr>
        <w:t>S</w:t>
      </w:r>
      <w:r w:rsidR="00D63CA6">
        <w:rPr>
          <w:rFonts w:asciiTheme="majorBidi" w:eastAsia="Aptos" w:hAnsiTheme="majorBidi" w:cstheme="majorBidi"/>
          <w:b/>
          <w:bCs/>
          <w:kern w:val="0"/>
          <w14:ligatures w14:val="none"/>
        </w:rPr>
        <w:t>5</w:t>
      </w:r>
      <w:r w:rsidRPr="00C63385">
        <w:rPr>
          <w:rFonts w:asciiTheme="majorBidi" w:eastAsia="Aptos" w:hAnsiTheme="majorBidi" w:cstheme="majorBidi"/>
          <w:b/>
          <w:bCs/>
          <w:kern w:val="0"/>
          <w14:ligatures w14:val="none"/>
        </w:rPr>
        <w:t xml:space="preserve">. </w:t>
      </w:r>
      <w:bookmarkStart w:id="0" w:name="_Hlk204858344"/>
      <w:r w:rsidRPr="00C63385">
        <w:rPr>
          <w:rFonts w:asciiTheme="majorBidi" w:eastAsia="Aptos" w:hAnsiTheme="majorBidi" w:cstheme="majorBidi"/>
          <w:kern w:val="0"/>
          <w14:ligatures w14:val="none"/>
        </w:rPr>
        <w:t>Pathway enrichment analysis using differentially expressed proteins in DCF</w:t>
      </w:r>
      <w:r>
        <w:rPr>
          <w:rFonts w:asciiTheme="majorBidi" w:eastAsia="Aptos" w:hAnsiTheme="majorBidi" w:cstheme="majorBidi"/>
          <w:kern w:val="0"/>
          <w14:ligatures w14:val="none"/>
        </w:rPr>
        <w:t>+APB (1+9)</w:t>
      </w:r>
      <w:r w:rsidRPr="00C63385">
        <w:rPr>
          <w:rFonts w:asciiTheme="majorBidi" w:eastAsia="Aptos" w:hAnsiTheme="majorBidi" w:cstheme="majorBidi"/>
          <w:kern w:val="0"/>
          <w14:ligatures w14:val="none"/>
        </w:rPr>
        <w:t xml:space="preserve">-treated AGS cells compared to </w:t>
      </w:r>
      <w:proofErr w:type="spellStart"/>
      <w:r>
        <w:rPr>
          <w:rFonts w:asciiTheme="majorBidi" w:eastAsia="Aptos" w:hAnsiTheme="majorBidi" w:cstheme="majorBidi"/>
          <w:kern w:val="0"/>
          <w14:ligatures w14:val="none"/>
        </w:rPr>
        <w:t>monotreatments</w:t>
      </w:r>
      <w:proofErr w:type="spellEnd"/>
      <w:r>
        <w:rPr>
          <w:rFonts w:asciiTheme="majorBidi" w:eastAsia="Aptos" w:hAnsiTheme="majorBidi" w:cstheme="majorBidi"/>
          <w:kern w:val="0"/>
          <w14:ligatures w14:val="none"/>
        </w:rPr>
        <w:t xml:space="preserve"> DFC and APB</w:t>
      </w:r>
      <w:r w:rsidRPr="00C63385">
        <w:rPr>
          <w:rFonts w:asciiTheme="majorBidi" w:eastAsia="Aptos" w:hAnsiTheme="majorBidi" w:cstheme="majorBidi"/>
          <w:kern w:val="0"/>
          <w14:ligatures w14:val="none"/>
        </w:rPr>
        <w:t>. (</w:t>
      </w:r>
      <w:r w:rsidRPr="00C63385">
        <w:rPr>
          <w:rFonts w:asciiTheme="majorBidi" w:eastAsia="Aptos" w:hAnsiTheme="majorBidi" w:cstheme="majorBidi"/>
          <w:b/>
          <w:bCs/>
          <w:kern w:val="0"/>
          <w14:ligatures w14:val="none"/>
        </w:rPr>
        <w:t>A</w:t>
      </w:r>
      <w:r w:rsidRPr="00C63385">
        <w:rPr>
          <w:rFonts w:asciiTheme="majorBidi" w:eastAsia="Aptos" w:hAnsiTheme="majorBidi" w:cstheme="majorBidi"/>
          <w:kern w:val="0"/>
          <w14:ligatures w14:val="none"/>
        </w:rPr>
        <w:t>) Volcano plot showing significantly regulated proteins (Absolute Log2FC ≥ 0.58 and Q ≤ 0.05</w:t>
      </w:r>
      <w:bookmarkEnd w:id="0"/>
      <w:r w:rsidRPr="00C63385">
        <w:rPr>
          <w:rFonts w:asciiTheme="majorBidi" w:eastAsia="Aptos" w:hAnsiTheme="majorBidi" w:cstheme="majorBidi"/>
          <w:kern w:val="0"/>
          <w14:ligatures w14:val="none"/>
        </w:rPr>
        <w:t>) (</w:t>
      </w:r>
      <w:r w:rsidRPr="00C63385">
        <w:rPr>
          <w:rFonts w:asciiTheme="majorBidi" w:eastAsia="Aptos" w:hAnsiTheme="majorBidi" w:cstheme="majorBidi"/>
          <w:b/>
          <w:bCs/>
          <w:kern w:val="0"/>
          <w14:ligatures w14:val="none"/>
        </w:rPr>
        <w:t>B</w:t>
      </w:r>
      <w:r w:rsidRPr="00C63385">
        <w:rPr>
          <w:rFonts w:asciiTheme="majorBidi" w:eastAsia="Aptos" w:hAnsiTheme="majorBidi" w:cstheme="majorBidi"/>
          <w:kern w:val="0"/>
          <w14:ligatures w14:val="none"/>
        </w:rPr>
        <w:t>) Ingenuity Pathway Analysis (IPA) graphical summary of top enriched and predicted terms.</w:t>
      </w:r>
    </w:p>
    <w:p w14:paraId="3CC23B21" w14:textId="77777777" w:rsidR="00936BD9" w:rsidRDefault="00936BD9" w:rsidP="004B66F8"/>
    <w:p w14:paraId="0336B13F" w14:textId="1AFB0AC5" w:rsidR="00C63385" w:rsidRPr="00C63385" w:rsidRDefault="00C63385" w:rsidP="00C63385">
      <w:r w:rsidRPr="00C63385">
        <w:rPr>
          <w:noProof/>
        </w:rPr>
        <w:lastRenderedPageBreak/>
        <w:drawing>
          <wp:inline distT="0" distB="0" distL="0" distR="0" wp14:anchorId="573E119E" wp14:editId="30570339">
            <wp:extent cx="5731510" cy="6377940"/>
            <wp:effectExtent l="0" t="0" r="2540" b="3810"/>
            <wp:docPr id="654877398" name="Picture 4" descr="A screenshot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877398" name="Picture 4" descr="A screenshot of a dia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7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6F214" w14:textId="334214D5" w:rsidR="00C63385" w:rsidRPr="00C63385" w:rsidRDefault="00C63385" w:rsidP="008429F9">
      <w:pPr>
        <w:jc w:val="both"/>
        <w:rPr>
          <w:rFonts w:asciiTheme="majorBidi" w:eastAsia="Aptos" w:hAnsiTheme="majorBidi" w:cstheme="majorBidi"/>
          <w:kern w:val="0"/>
          <w14:ligatures w14:val="none"/>
        </w:rPr>
      </w:pPr>
      <w:r w:rsidRPr="00C63385">
        <w:rPr>
          <w:rFonts w:asciiTheme="majorBidi" w:eastAsia="Aptos" w:hAnsiTheme="majorBidi" w:cstheme="majorBidi"/>
          <w:b/>
          <w:bCs/>
          <w:kern w:val="0"/>
          <w14:ligatures w14:val="none"/>
        </w:rPr>
        <w:t xml:space="preserve">Figure </w:t>
      </w:r>
      <w:r>
        <w:rPr>
          <w:rFonts w:asciiTheme="majorBidi" w:eastAsia="Aptos" w:hAnsiTheme="majorBidi" w:cstheme="majorBidi"/>
          <w:b/>
          <w:bCs/>
          <w:kern w:val="0"/>
          <w14:ligatures w14:val="none"/>
        </w:rPr>
        <w:t>S</w:t>
      </w:r>
      <w:r w:rsidR="00D63CA6">
        <w:rPr>
          <w:rFonts w:asciiTheme="majorBidi" w:eastAsia="Aptos" w:hAnsiTheme="majorBidi" w:cstheme="majorBidi"/>
          <w:b/>
          <w:bCs/>
          <w:kern w:val="0"/>
          <w14:ligatures w14:val="none"/>
        </w:rPr>
        <w:t>6</w:t>
      </w:r>
      <w:r w:rsidRPr="00C63385">
        <w:rPr>
          <w:rFonts w:asciiTheme="majorBidi" w:eastAsia="Aptos" w:hAnsiTheme="majorBidi" w:cstheme="majorBidi"/>
          <w:b/>
          <w:bCs/>
          <w:kern w:val="0"/>
          <w14:ligatures w14:val="none"/>
        </w:rPr>
        <w:t xml:space="preserve">. </w:t>
      </w:r>
      <w:r w:rsidRPr="00C63385">
        <w:rPr>
          <w:rFonts w:asciiTheme="majorBidi" w:eastAsia="Aptos" w:hAnsiTheme="majorBidi" w:cstheme="majorBidi"/>
          <w:kern w:val="0"/>
          <w14:ligatures w14:val="none"/>
        </w:rPr>
        <w:t>Pathway enrichment analysis using differentially expressed proteins in DCF</w:t>
      </w:r>
      <w:r>
        <w:rPr>
          <w:rFonts w:asciiTheme="majorBidi" w:eastAsia="Aptos" w:hAnsiTheme="majorBidi" w:cstheme="majorBidi"/>
          <w:kern w:val="0"/>
          <w14:ligatures w14:val="none"/>
        </w:rPr>
        <w:t>+APB (2+8)</w:t>
      </w:r>
      <w:r w:rsidRPr="00C63385">
        <w:rPr>
          <w:rFonts w:asciiTheme="majorBidi" w:eastAsia="Aptos" w:hAnsiTheme="majorBidi" w:cstheme="majorBidi"/>
          <w:kern w:val="0"/>
          <w14:ligatures w14:val="none"/>
        </w:rPr>
        <w:t xml:space="preserve">-treated AGS cells compared </w:t>
      </w:r>
      <w:r w:rsidR="008429F9" w:rsidRPr="008429F9">
        <w:rPr>
          <w:rFonts w:asciiTheme="majorBidi" w:eastAsia="Aptos" w:hAnsiTheme="majorBidi" w:cstheme="majorBidi"/>
          <w:kern w:val="0"/>
          <w14:ligatures w14:val="none"/>
        </w:rPr>
        <w:t xml:space="preserve">to </w:t>
      </w:r>
      <w:bookmarkStart w:id="1" w:name="_Hlk204858474"/>
      <w:proofErr w:type="spellStart"/>
      <w:r w:rsidR="008429F9" w:rsidRPr="008429F9">
        <w:rPr>
          <w:rFonts w:asciiTheme="majorBidi" w:eastAsia="Aptos" w:hAnsiTheme="majorBidi" w:cstheme="majorBidi"/>
          <w:kern w:val="0"/>
          <w14:ligatures w14:val="none"/>
        </w:rPr>
        <w:t>monotreatments</w:t>
      </w:r>
      <w:proofErr w:type="spellEnd"/>
      <w:r w:rsidR="008429F9" w:rsidRPr="008429F9">
        <w:rPr>
          <w:rFonts w:asciiTheme="majorBidi" w:eastAsia="Aptos" w:hAnsiTheme="majorBidi" w:cstheme="majorBidi"/>
          <w:kern w:val="0"/>
          <w14:ligatures w14:val="none"/>
        </w:rPr>
        <w:t xml:space="preserve"> DFC and APB</w:t>
      </w:r>
      <w:bookmarkEnd w:id="1"/>
      <w:r w:rsidRPr="00C63385">
        <w:rPr>
          <w:rFonts w:asciiTheme="majorBidi" w:eastAsia="Aptos" w:hAnsiTheme="majorBidi" w:cstheme="majorBidi"/>
          <w:kern w:val="0"/>
          <w14:ligatures w14:val="none"/>
        </w:rPr>
        <w:t>. (</w:t>
      </w:r>
      <w:r w:rsidRPr="00C63385">
        <w:rPr>
          <w:rFonts w:asciiTheme="majorBidi" w:eastAsia="Aptos" w:hAnsiTheme="majorBidi" w:cstheme="majorBidi"/>
          <w:b/>
          <w:bCs/>
          <w:kern w:val="0"/>
          <w14:ligatures w14:val="none"/>
        </w:rPr>
        <w:t>A</w:t>
      </w:r>
      <w:r w:rsidRPr="00C63385">
        <w:rPr>
          <w:rFonts w:asciiTheme="majorBidi" w:eastAsia="Aptos" w:hAnsiTheme="majorBidi" w:cstheme="majorBidi"/>
          <w:kern w:val="0"/>
          <w14:ligatures w14:val="none"/>
        </w:rPr>
        <w:t>) Volcano plot showing significantly regulated proteins (Absolute Log2FC ≥ 0.58 and Q ≤ 0.05) (</w:t>
      </w:r>
      <w:r w:rsidRPr="00C63385">
        <w:rPr>
          <w:rFonts w:asciiTheme="majorBidi" w:eastAsia="Aptos" w:hAnsiTheme="majorBidi" w:cstheme="majorBidi"/>
          <w:b/>
          <w:bCs/>
          <w:kern w:val="0"/>
          <w14:ligatures w14:val="none"/>
        </w:rPr>
        <w:t>B</w:t>
      </w:r>
      <w:r w:rsidRPr="00C63385">
        <w:rPr>
          <w:rFonts w:asciiTheme="majorBidi" w:eastAsia="Aptos" w:hAnsiTheme="majorBidi" w:cstheme="majorBidi"/>
          <w:kern w:val="0"/>
          <w14:ligatures w14:val="none"/>
        </w:rPr>
        <w:t>) Ingenuity Pathway Analysis (IPA) graphical summary of top enriched and predicted terms.</w:t>
      </w:r>
    </w:p>
    <w:p w14:paraId="77D5166E" w14:textId="77777777" w:rsidR="00C63385" w:rsidRDefault="00C63385" w:rsidP="004B66F8"/>
    <w:p w14:paraId="3B5DE5D8" w14:textId="77777777" w:rsidR="00C63385" w:rsidRDefault="00C63385" w:rsidP="004B66F8"/>
    <w:p w14:paraId="795DDBDA" w14:textId="77777777" w:rsidR="00C63385" w:rsidRDefault="00C63385" w:rsidP="004B66F8"/>
    <w:p w14:paraId="5B6F5C36" w14:textId="77777777" w:rsidR="008429F9" w:rsidRDefault="008429F9" w:rsidP="004B66F8"/>
    <w:p w14:paraId="328AA6CC" w14:textId="77777777" w:rsidR="008429F9" w:rsidRDefault="008429F9" w:rsidP="004B66F8"/>
    <w:p w14:paraId="54A3CC80" w14:textId="2C04936B" w:rsidR="00437C5A" w:rsidRPr="00437C5A" w:rsidRDefault="00437C5A" w:rsidP="00437C5A">
      <w:r w:rsidRPr="00437C5A">
        <w:rPr>
          <w:noProof/>
        </w:rPr>
        <w:lastRenderedPageBreak/>
        <w:drawing>
          <wp:inline distT="0" distB="0" distL="0" distR="0" wp14:anchorId="03E71F2E" wp14:editId="593B6A85">
            <wp:extent cx="5683807" cy="3840480"/>
            <wp:effectExtent l="0" t="0" r="0" b="7620"/>
            <wp:docPr id="167152459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7" t="1483" r="1299" b="3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917" cy="3843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8F8871" w14:textId="12F77E1F" w:rsidR="00437C5A" w:rsidRPr="00437C5A" w:rsidRDefault="00437C5A" w:rsidP="00437C5A">
      <w:pPr>
        <w:jc w:val="both"/>
        <w:rPr>
          <w:rFonts w:asciiTheme="majorBidi" w:eastAsia="Aptos" w:hAnsiTheme="majorBidi" w:cstheme="majorBidi"/>
          <w:kern w:val="0"/>
          <w14:ligatures w14:val="none"/>
        </w:rPr>
      </w:pPr>
      <w:r w:rsidRPr="00437C5A">
        <w:rPr>
          <w:rFonts w:asciiTheme="majorBidi" w:eastAsia="Aptos" w:hAnsiTheme="majorBidi" w:cstheme="majorBidi"/>
          <w:b/>
          <w:bCs/>
          <w:kern w:val="0"/>
          <w14:ligatures w14:val="none"/>
        </w:rPr>
        <w:t>Figure S</w:t>
      </w:r>
      <w:r w:rsidR="00D63CA6">
        <w:rPr>
          <w:rFonts w:asciiTheme="majorBidi" w:eastAsia="Aptos" w:hAnsiTheme="majorBidi" w:cstheme="majorBidi"/>
          <w:b/>
          <w:bCs/>
          <w:kern w:val="0"/>
          <w14:ligatures w14:val="none"/>
        </w:rPr>
        <w:t>7</w:t>
      </w:r>
      <w:r w:rsidRPr="00437C5A">
        <w:rPr>
          <w:rFonts w:asciiTheme="majorBidi" w:eastAsia="Aptos" w:hAnsiTheme="majorBidi" w:cstheme="majorBidi"/>
          <w:b/>
          <w:bCs/>
          <w:kern w:val="0"/>
          <w14:ligatures w14:val="none"/>
        </w:rPr>
        <w:t xml:space="preserve">. </w:t>
      </w:r>
      <w:r w:rsidRPr="00437C5A">
        <w:rPr>
          <w:rFonts w:asciiTheme="majorBidi" w:eastAsia="Aptos" w:hAnsiTheme="majorBidi" w:cstheme="majorBidi"/>
          <w:kern w:val="0"/>
          <w14:ligatures w14:val="none"/>
        </w:rPr>
        <w:t xml:space="preserve">Machine Learning-Based Prediction of 2+8 (DCF+APB) </w:t>
      </w:r>
      <w:r>
        <w:rPr>
          <w:rFonts w:asciiTheme="majorBidi" w:eastAsia="Aptos" w:hAnsiTheme="majorBidi" w:cstheme="majorBidi"/>
          <w:kern w:val="0"/>
          <w14:ligatures w14:val="none"/>
        </w:rPr>
        <w:t>m</w:t>
      </w:r>
      <w:r w:rsidRPr="00437C5A">
        <w:rPr>
          <w:rFonts w:asciiTheme="majorBidi" w:eastAsia="Aptos" w:hAnsiTheme="majorBidi" w:cstheme="majorBidi"/>
          <w:kern w:val="0"/>
          <w14:ligatures w14:val="none"/>
        </w:rPr>
        <w:t xml:space="preserve">olecular </w:t>
      </w:r>
      <w:r>
        <w:rPr>
          <w:rFonts w:asciiTheme="majorBidi" w:eastAsia="Aptos" w:hAnsiTheme="majorBidi" w:cstheme="majorBidi"/>
          <w:kern w:val="0"/>
          <w14:ligatures w14:val="none"/>
        </w:rPr>
        <w:t>e</w:t>
      </w:r>
      <w:r w:rsidRPr="00437C5A">
        <w:rPr>
          <w:rFonts w:asciiTheme="majorBidi" w:eastAsia="Aptos" w:hAnsiTheme="majorBidi" w:cstheme="majorBidi"/>
          <w:kern w:val="0"/>
          <w14:ligatures w14:val="none"/>
        </w:rPr>
        <w:t xml:space="preserve">ffects on </w:t>
      </w:r>
      <w:r>
        <w:rPr>
          <w:rFonts w:asciiTheme="majorBidi" w:eastAsia="Aptos" w:hAnsiTheme="majorBidi" w:cstheme="majorBidi"/>
          <w:kern w:val="0"/>
          <w14:ligatures w14:val="none"/>
        </w:rPr>
        <w:t>a</w:t>
      </w:r>
      <w:r w:rsidRPr="00437C5A">
        <w:rPr>
          <w:rFonts w:asciiTheme="majorBidi" w:eastAsia="Aptos" w:hAnsiTheme="majorBidi" w:cstheme="majorBidi"/>
          <w:kern w:val="0"/>
          <w14:ligatures w14:val="none"/>
        </w:rPr>
        <w:t xml:space="preserve">bdominal </w:t>
      </w:r>
      <w:r>
        <w:rPr>
          <w:rFonts w:asciiTheme="majorBidi" w:eastAsia="Aptos" w:hAnsiTheme="majorBidi" w:cstheme="majorBidi"/>
          <w:kern w:val="0"/>
          <w14:ligatures w14:val="none"/>
        </w:rPr>
        <w:t>c</w:t>
      </w:r>
      <w:r w:rsidRPr="00437C5A">
        <w:rPr>
          <w:rFonts w:asciiTheme="majorBidi" w:eastAsia="Aptos" w:hAnsiTheme="majorBidi" w:cstheme="majorBidi"/>
          <w:kern w:val="0"/>
          <w14:ligatures w14:val="none"/>
        </w:rPr>
        <w:t xml:space="preserve">arcinoma </w:t>
      </w:r>
      <w:r>
        <w:rPr>
          <w:rFonts w:asciiTheme="majorBidi" w:eastAsia="Aptos" w:hAnsiTheme="majorBidi" w:cstheme="majorBidi"/>
          <w:kern w:val="0"/>
          <w14:ligatures w14:val="none"/>
        </w:rPr>
        <w:t>s</w:t>
      </w:r>
      <w:r w:rsidRPr="00437C5A">
        <w:rPr>
          <w:rFonts w:asciiTheme="majorBidi" w:eastAsia="Aptos" w:hAnsiTheme="majorBidi" w:cstheme="majorBidi"/>
          <w:kern w:val="0"/>
          <w14:ligatures w14:val="none"/>
        </w:rPr>
        <w:t xml:space="preserve">ignalling </w:t>
      </w:r>
      <w:r>
        <w:rPr>
          <w:rFonts w:asciiTheme="majorBidi" w:eastAsia="Aptos" w:hAnsiTheme="majorBidi" w:cstheme="majorBidi"/>
          <w:kern w:val="0"/>
          <w14:ligatures w14:val="none"/>
        </w:rPr>
        <w:t>p</w:t>
      </w:r>
      <w:r w:rsidRPr="00437C5A">
        <w:rPr>
          <w:rFonts w:asciiTheme="majorBidi" w:eastAsia="Aptos" w:hAnsiTheme="majorBidi" w:cstheme="majorBidi"/>
          <w:kern w:val="0"/>
          <w14:ligatures w14:val="none"/>
        </w:rPr>
        <w:t>athway</w:t>
      </w:r>
      <w:r>
        <w:rPr>
          <w:rFonts w:asciiTheme="majorBidi" w:eastAsia="Aptos" w:hAnsiTheme="majorBidi" w:cstheme="majorBidi"/>
          <w:kern w:val="0"/>
          <w14:ligatures w14:val="none"/>
        </w:rPr>
        <w:t>.</w:t>
      </w:r>
    </w:p>
    <w:p w14:paraId="561DBF66" w14:textId="77777777" w:rsidR="00437C5A" w:rsidRDefault="00437C5A" w:rsidP="004B66F8"/>
    <w:p w14:paraId="46C41FE3" w14:textId="77777777" w:rsidR="008429F9" w:rsidRDefault="008429F9" w:rsidP="008429F9">
      <w:r w:rsidRPr="004B66F8">
        <w:rPr>
          <w:noProof/>
        </w:rPr>
        <w:lastRenderedPageBreak/>
        <w:drawing>
          <wp:inline distT="0" distB="0" distL="0" distR="0" wp14:anchorId="6A183458" wp14:editId="3D9D093B">
            <wp:extent cx="5731510" cy="4356100"/>
            <wp:effectExtent l="0" t="0" r="2540" b="6350"/>
            <wp:docPr id="2098506785" name="Picture 8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506785" name="Picture 8" descr="A screen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5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814F0" w14:textId="251FA4D4" w:rsidR="008429F9" w:rsidRPr="00551AAB" w:rsidRDefault="008429F9" w:rsidP="008429F9">
      <w:pPr>
        <w:rPr>
          <w:rFonts w:asciiTheme="majorBidi" w:eastAsia="Aptos" w:hAnsiTheme="majorBidi" w:cstheme="majorBidi"/>
          <w:b/>
          <w:bCs/>
          <w:kern w:val="0"/>
          <w14:ligatures w14:val="none"/>
        </w:rPr>
      </w:pPr>
      <w:r w:rsidRPr="00551AAB">
        <w:rPr>
          <w:rFonts w:asciiTheme="majorBidi" w:eastAsia="Aptos" w:hAnsiTheme="majorBidi" w:cstheme="majorBidi"/>
          <w:b/>
          <w:bCs/>
          <w:kern w:val="0"/>
          <w14:ligatures w14:val="none"/>
        </w:rPr>
        <w:t xml:space="preserve">Figure </w:t>
      </w:r>
      <w:r>
        <w:rPr>
          <w:rFonts w:asciiTheme="majorBidi" w:eastAsia="Aptos" w:hAnsiTheme="majorBidi" w:cstheme="majorBidi"/>
          <w:b/>
          <w:bCs/>
          <w:kern w:val="0"/>
          <w14:ligatures w14:val="none"/>
        </w:rPr>
        <w:t>S</w:t>
      </w:r>
      <w:r w:rsidR="00D63CA6">
        <w:rPr>
          <w:rFonts w:asciiTheme="majorBidi" w:eastAsia="Aptos" w:hAnsiTheme="majorBidi" w:cstheme="majorBidi"/>
          <w:b/>
          <w:bCs/>
          <w:kern w:val="0"/>
          <w14:ligatures w14:val="none"/>
        </w:rPr>
        <w:t>8</w:t>
      </w:r>
      <w:r w:rsidRPr="00551AAB">
        <w:rPr>
          <w:rFonts w:asciiTheme="majorBidi" w:eastAsia="Aptos" w:hAnsiTheme="majorBidi" w:cstheme="majorBidi"/>
          <w:b/>
          <w:bCs/>
          <w:kern w:val="0"/>
          <w14:ligatures w14:val="none"/>
        </w:rPr>
        <w:t xml:space="preserve">. </w:t>
      </w:r>
      <w:r w:rsidRPr="00551AAB">
        <w:rPr>
          <w:rFonts w:asciiTheme="majorBidi" w:eastAsia="Aptos" w:hAnsiTheme="majorBidi" w:cstheme="majorBidi"/>
          <w:kern w:val="0"/>
          <w14:ligatures w14:val="none"/>
        </w:rPr>
        <w:t xml:space="preserve">Machine Learning-Based Prediction of </w:t>
      </w:r>
      <w:r>
        <w:rPr>
          <w:rFonts w:asciiTheme="majorBidi" w:eastAsia="Aptos" w:hAnsiTheme="majorBidi" w:cstheme="majorBidi"/>
          <w:kern w:val="0"/>
          <w14:ligatures w14:val="none"/>
        </w:rPr>
        <w:t>2</w:t>
      </w:r>
      <w:r w:rsidR="00437C5A">
        <w:rPr>
          <w:rFonts w:asciiTheme="majorBidi" w:eastAsia="Aptos" w:hAnsiTheme="majorBidi" w:cstheme="majorBidi"/>
          <w:kern w:val="0"/>
          <w14:ligatures w14:val="none"/>
        </w:rPr>
        <w:t>+</w:t>
      </w:r>
      <w:r>
        <w:rPr>
          <w:rFonts w:asciiTheme="majorBidi" w:eastAsia="Aptos" w:hAnsiTheme="majorBidi" w:cstheme="majorBidi"/>
          <w:kern w:val="0"/>
          <w14:ligatures w14:val="none"/>
        </w:rPr>
        <w:t>8 (DCF+</w:t>
      </w:r>
      <w:r w:rsidRPr="00551AAB">
        <w:rPr>
          <w:rFonts w:asciiTheme="majorBidi" w:eastAsia="Aptos" w:hAnsiTheme="majorBidi" w:cstheme="majorBidi"/>
          <w:kern w:val="0"/>
          <w14:ligatures w14:val="none"/>
        </w:rPr>
        <w:t>APB</w:t>
      </w:r>
      <w:r>
        <w:rPr>
          <w:rFonts w:asciiTheme="majorBidi" w:eastAsia="Aptos" w:hAnsiTheme="majorBidi" w:cstheme="majorBidi"/>
          <w:kern w:val="0"/>
          <w14:ligatures w14:val="none"/>
        </w:rPr>
        <w:t>)</w:t>
      </w:r>
      <w:r w:rsidRPr="00551AAB">
        <w:rPr>
          <w:rFonts w:asciiTheme="majorBidi" w:eastAsia="Aptos" w:hAnsiTheme="majorBidi" w:cstheme="majorBidi"/>
          <w:kern w:val="0"/>
          <w14:ligatures w14:val="none"/>
        </w:rPr>
        <w:t xml:space="preserve">'s Molecular Effects on </w:t>
      </w:r>
      <w:r>
        <w:rPr>
          <w:rFonts w:asciiTheme="majorBidi" w:eastAsia="Aptos" w:hAnsiTheme="majorBidi" w:cstheme="majorBidi"/>
          <w:kern w:val="0"/>
          <w14:ligatures w14:val="none"/>
        </w:rPr>
        <w:t>Gastrointestinal Cancer</w:t>
      </w:r>
      <w:r w:rsidRPr="00551AAB">
        <w:rPr>
          <w:rFonts w:asciiTheme="majorBidi" w:eastAsia="Aptos" w:hAnsiTheme="majorBidi" w:cstheme="majorBidi"/>
          <w:kern w:val="0"/>
          <w14:ligatures w14:val="none"/>
        </w:rPr>
        <w:t xml:space="preserve"> </w:t>
      </w:r>
      <w:r w:rsidRPr="00551AAB">
        <w:rPr>
          <w:rFonts w:eastAsia="Aptos" w:cstheme="majorBidi"/>
          <w:kern w:val="0"/>
          <w14:ligatures w14:val="none"/>
        </w:rPr>
        <w:t>Signalling</w:t>
      </w:r>
      <w:r w:rsidRPr="00551AAB">
        <w:rPr>
          <w:rFonts w:asciiTheme="majorBidi" w:eastAsia="Aptos" w:hAnsiTheme="majorBidi" w:cstheme="majorBidi"/>
          <w:kern w:val="0"/>
          <w14:ligatures w14:val="none"/>
        </w:rPr>
        <w:t xml:space="preserve"> Pathway</w:t>
      </w:r>
    </w:p>
    <w:p w14:paraId="513DB135" w14:textId="77777777" w:rsidR="008429F9" w:rsidRPr="004B66F8" w:rsidRDefault="008429F9" w:rsidP="004B66F8"/>
    <w:p w14:paraId="20B4F887" w14:textId="2EB07DDC" w:rsidR="004B66F8" w:rsidRDefault="004B66F8" w:rsidP="004B66F8">
      <w:r w:rsidRPr="004B66F8">
        <w:rPr>
          <w:noProof/>
        </w:rPr>
        <w:lastRenderedPageBreak/>
        <w:drawing>
          <wp:inline distT="0" distB="0" distL="0" distR="0" wp14:anchorId="0FD6061B" wp14:editId="1AFAD935">
            <wp:extent cx="2376805" cy="8118282"/>
            <wp:effectExtent l="0" t="0" r="4445" b="0"/>
            <wp:docPr id="1729538978" name="Picture 10" descr="A close up of a blue and white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538978" name="Picture 10" descr="A close up of a blue and white lin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805" cy="8118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153743" w14:textId="76D15817" w:rsidR="008D7A36" w:rsidRPr="008D7A36" w:rsidRDefault="008D7A36" w:rsidP="008D7A36">
      <w:pPr>
        <w:rPr>
          <w:rFonts w:asciiTheme="majorBidi" w:eastAsia="Aptos" w:hAnsiTheme="majorBidi" w:cstheme="majorBidi"/>
          <w:kern w:val="0"/>
          <w14:ligatures w14:val="none"/>
        </w:rPr>
      </w:pPr>
      <w:r w:rsidRPr="008D7A36">
        <w:rPr>
          <w:rFonts w:asciiTheme="majorBidi" w:eastAsia="Aptos" w:hAnsiTheme="majorBidi" w:cstheme="majorBidi"/>
          <w:b/>
          <w:bCs/>
          <w:kern w:val="0"/>
          <w14:ligatures w14:val="none"/>
        </w:rPr>
        <w:t>Figure S</w:t>
      </w:r>
      <w:r w:rsidR="00D63CA6">
        <w:rPr>
          <w:rFonts w:asciiTheme="majorBidi" w:eastAsia="Aptos" w:hAnsiTheme="majorBidi" w:cstheme="majorBidi"/>
          <w:b/>
          <w:bCs/>
          <w:kern w:val="0"/>
          <w14:ligatures w14:val="none"/>
        </w:rPr>
        <w:t>9</w:t>
      </w:r>
      <w:r w:rsidRPr="008D7A36">
        <w:rPr>
          <w:rFonts w:asciiTheme="majorBidi" w:eastAsia="Aptos" w:hAnsiTheme="majorBidi" w:cstheme="majorBidi"/>
          <w:kern w:val="0"/>
          <w14:ligatures w14:val="none"/>
        </w:rPr>
        <w:t xml:space="preserve">. Hierarchical Clustering of Upstream Regulator Activity in Response to APB, CTC (DCF), 1:9 and 2:8 (DCF+APB) combinations. </w:t>
      </w:r>
    </w:p>
    <w:p w14:paraId="74D214D6" w14:textId="77777777" w:rsidR="00C35470" w:rsidRDefault="00C35470"/>
    <w:sectPr w:rsidR="00C3547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2C02F3" w14:textId="77777777" w:rsidR="00037B7F" w:rsidRDefault="00037B7F" w:rsidP="004B66F8">
      <w:pPr>
        <w:spacing w:after="0" w:line="240" w:lineRule="auto"/>
      </w:pPr>
      <w:r>
        <w:separator/>
      </w:r>
    </w:p>
  </w:endnote>
  <w:endnote w:type="continuationSeparator" w:id="0">
    <w:p w14:paraId="17D30141" w14:textId="77777777" w:rsidR="00037B7F" w:rsidRDefault="00037B7F" w:rsidP="004B66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7AAE60" w14:textId="77777777" w:rsidR="00037B7F" w:rsidRDefault="00037B7F" w:rsidP="004B66F8">
      <w:pPr>
        <w:spacing w:after="0" w:line="240" w:lineRule="auto"/>
      </w:pPr>
      <w:r>
        <w:separator/>
      </w:r>
    </w:p>
  </w:footnote>
  <w:footnote w:type="continuationSeparator" w:id="0">
    <w:p w14:paraId="632E45A3" w14:textId="77777777" w:rsidR="00037B7F" w:rsidRDefault="00037B7F" w:rsidP="004B66F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063E"/>
    <w:rsid w:val="00037B7F"/>
    <w:rsid w:val="000B08DE"/>
    <w:rsid w:val="001A0839"/>
    <w:rsid w:val="001C625F"/>
    <w:rsid w:val="001C7B07"/>
    <w:rsid w:val="00200635"/>
    <w:rsid w:val="00237FE9"/>
    <w:rsid w:val="002B4DA8"/>
    <w:rsid w:val="00347586"/>
    <w:rsid w:val="003A74E1"/>
    <w:rsid w:val="003C72AA"/>
    <w:rsid w:val="003F5665"/>
    <w:rsid w:val="004159FD"/>
    <w:rsid w:val="00437C5A"/>
    <w:rsid w:val="004B66F8"/>
    <w:rsid w:val="0052459F"/>
    <w:rsid w:val="00553A76"/>
    <w:rsid w:val="00553F62"/>
    <w:rsid w:val="005856F2"/>
    <w:rsid w:val="0058666E"/>
    <w:rsid w:val="005B1595"/>
    <w:rsid w:val="00693E9A"/>
    <w:rsid w:val="006C1AE3"/>
    <w:rsid w:val="008429F9"/>
    <w:rsid w:val="008D7A36"/>
    <w:rsid w:val="008E4276"/>
    <w:rsid w:val="00936BD9"/>
    <w:rsid w:val="0095383B"/>
    <w:rsid w:val="00964EFE"/>
    <w:rsid w:val="0098358D"/>
    <w:rsid w:val="00990122"/>
    <w:rsid w:val="00B439BF"/>
    <w:rsid w:val="00C11C87"/>
    <w:rsid w:val="00C35470"/>
    <w:rsid w:val="00C63385"/>
    <w:rsid w:val="00C96530"/>
    <w:rsid w:val="00CD5793"/>
    <w:rsid w:val="00D2063E"/>
    <w:rsid w:val="00D63CA6"/>
    <w:rsid w:val="00DC0822"/>
    <w:rsid w:val="00E00930"/>
    <w:rsid w:val="00EB040F"/>
    <w:rsid w:val="00EB668E"/>
    <w:rsid w:val="00EC3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87AC20"/>
  <w14:defaultImageDpi w14:val="32767"/>
  <w15:chartTrackingRefBased/>
  <w15:docId w15:val="{45E366CB-921D-4C91-B9F7-23F8B74E71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6BD9"/>
  </w:style>
  <w:style w:type="paragraph" w:styleId="Heading1">
    <w:name w:val="heading 1"/>
    <w:basedOn w:val="Normal"/>
    <w:next w:val="Normal"/>
    <w:link w:val="Heading1Char"/>
    <w:uiPriority w:val="9"/>
    <w:qFormat/>
    <w:rsid w:val="00D2063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2063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2063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2063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2063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2063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2063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2063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2063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2063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2063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2063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2063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2063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2063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2063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2063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2063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2063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2063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2063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2063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2063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2063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2063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2063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2063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2063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2063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4B66F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B66F8"/>
  </w:style>
  <w:style w:type="paragraph" w:styleId="Footer">
    <w:name w:val="footer"/>
    <w:basedOn w:val="Normal"/>
    <w:link w:val="FooterChar"/>
    <w:uiPriority w:val="99"/>
    <w:unhideWhenUsed/>
    <w:rsid w:val="004B66F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B66F8"/>
  </w:style>
  <w:style w:type="table" w:styleId="TableGrid">
    <w:name w:val="Table Grid"/>
    <w:basedOn w:val="TableNormal"/>
    <w:uiPriority w:val="39"/>
    <w:rsid w:val="00553F62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C11C87"/>
    <w:pPr>
      <w:spacing w:after="0" w:line="240" w:lineRule="auto"/>
    </w:pPr>
    <w:rPr>
      <w:rFonts w:ascii="Aptos Display" w:hAnsi="Aptos Display"/>
      <w:kern w:val="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28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66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0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9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1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1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6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9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8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3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8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4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mailto:r.eladwy@westernsydney.edu.au" TargetMode="Externa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11</Pages>
  <Words>642</Words>
  <Characters>3605</Characters>
  <Application>Microsoft Office Word</Application>
  <DocSecurity>0</DocSecurity>
  <Lines>240</Lines>
  <Paragraphs>136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Radwa Eladwy</dc:creator>
  <cp:keywords/>
  <dc:description/>
  <cp:lastModifiedBy>Mohamed Metwaly</cp:lastModifiedBy>
  <cp:revision>16</cp:revision>
  <dcterms:created xsi:type="dcterms:W3CDTF">2025-07-28T05:58:00Z</dcterms:created>
  <dcterms:modified xsi:type="dcterms:W3CDTF">2026-04-17T09:55:00Z</dcterms:modified>
</cp:coreProperties>
</file>