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8C83A" w14:textId="77777777" w:rsidR="00353BA1" w:rsidRDefault="00353BA1" w:rsidP="00353BA1">
      <w:r w:rsidRPr="00FC66EA">
        <w:rPr>
          <w:noProof/>
        </w:rPr>
        <w:drawing>
          <wp:inline distT="0" distB="0" distL="0" distR="0" wp14:anchorId="5F267E70" wp14:editId="62CD7E54">
            <wp:extent cx="5601730" cy="4722083"/>
            <wp:effectExtent l="0" t="0" r="0" b="0"/>
            <wp:docPr id="435605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52" cy="472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60608" w14:textId="77777777" w:rsidR="00353BA1" w:rsidRDefault="00353BA1" w:rsidP="00353BA1">
      <w:pPr>
        <w:rPr>
          <w:b/>
          <w:bCs/>
        </w:rPr>
      </w:pPr>
      <w:r>
        <w:rPr>
          <w:b/>
          <w:bCs/>
        </w:rPr>
        <w:t>Supplementary Figure 1</w:t>
      </w:r>
    </w:p>
    <w:p w14:paraId="284213C9" w14:textId="77777777" w:rsidR="00353BA1" w:rsidRPr="009B2CD0" w:rsidRDefault="00353BA1" w:rsidP="00353BA1">
      <w:r w:rsidRPr="009B2CD0">
        <w:t xml:space="preserve">A. Docking pose of TEPP-46 in the allosteric pocket located at the twofold symmetric interface of the PKM2 tetramer. Ribbons are coloured by cyan and purple for chains A and B, respectively. TEPP-46 is shown as a stick with carbon in green, oxygen in red, nitrogen in blue and sulphur in orange. B. Plasma pharmacokinetic profile following single dose PO administration of 60 mg/kg SYX-PKM-A or 3 mg/kg TEPP-46 in male C57BL/6 mice. C. A549 cell proliferation in media containing 20 µM serine. Cells were incubated with </w:t>
      </w:r>
      <w:proofErr w:type="gramStart"/>
      <w:r w:rsidRPr="009B2CD0">
        <w:t>compounds</w:t>
      </w:r>
      <w:proofErr w:type="gramEnd"/>
      <w:r w:rsidRPr="009B2CD0">
        <w:t xml:space="preserve"> and proliferation was assessed by ATP measurement on day 3. Data is normalised to plate low (0.1% DMSO vehicle) and high (10 </w:t>
      </w:r>
      <w:proofErr w:type="spellStart"/>
      <w:r w:rsidRPr="009B2CD0">
        <w:t>μM</w:t>
      </w:r>
      <w:proofErr w:type="spellEnd"/>
      <w:r w:rsidRPr="009B2CD0">
        <w:t xml:space="preserve"> TEPP-46) controls. D. A549 cell toxicity in media containing 20 µM serine. Cells were incubated with </w:t>
      </w:r>
      <w:proofErr w:type="gramStart"/>
      <w:r w:rsidRPr="009B2CD0">
        <w:t>compounds</w:t>
      </w:r>
      <w:proofErr w:type="gramEnd"/>
      <w:r w:rsidRPr="009B2CD0">
        <w:t xml:space="preserve"> and toxicity was assessed by addition of a non-membrane permeable DNA binding fluorescent probe on day 3. Data is normalised to the plate 100% detergent lysis control. A549 data are plotted as mean ± SD of 2 independent experiments. </w:t>
      </w:r>
    </w:p>
    <w:p w14:paraId="09FDC650" w14:textId="77777777" w:rsidR="00353BA1" w:rsidRDefault="00353BA1" w:rsidP="00353BA1"/>
    <w:p w14:paraId="67AD98B1" w14:textId="77777777" w:rsidR="00353BA1" w:rsidRDefault="00353BA1" w:rsidP="00353BA1">
      <w:r w:rsidRPr="000B1E1C">
        <w:rPr>
          <w:noProof/>
        </w:rPr>
        <w:lastRenderedPageBreak/>
        <w:drawing>
          <wp:inline distT="0" distB="0" distL="0" distR="0" wp14:anchorId="00744F16" wp14:editId="090AA80E">
            <wp:extent cx="5731510" cy="5511800"/>
            <wp:effectExtent l="0" t="0" r="0" b="0"/>
            <wp:docPr id="98618479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AFE5" w14:textId="77777777" w:rsidR="00353BA1" w:rsidRPr="00FC66EA" w:rsidRDefault="00353BA1" w:rsidP="00353BA1">
      <w:pPr>
        <w:rPr>
          <w:b/>
          <w:bCs/>
        </w:rPr>
      </w:pPr>
      <w:r>
        <w:rPr>
          <w:b/>
          <w:bCs/>
        </w:rPr>
        <w:t>Supplementary Figure 2</w:t>
      </w:r>
    </w:p>
    <w:p w14:paraId="4CB3A5C1" w14:textId="77777777" w:rsidR="00353BA1" w:rsidRPr="00FC66EA" w:rsidRDefault="00353BA1" w:rsidP="00353BA1">
      <w:r w:rsidRPr="00FC66EA">
        <w:t xml:space="preserve">A. Human CD4+ western blot for PKM2 and </w:t>
      </w:r>
      <w:r w:rsidRPr="00FC66EA">
        <w:rPr>
          <w:lang w:val="el-GR"/>
        </w:rPr>
        <w:t>β</w:t>
      </w:r>
      <w:r w:rsidRPr="00FC66EA">
        <w:t xml:space="preserve">-actin loading control. Representative donor blot shown. Quantification data is presented as mean ± SEM of 3 donors. B. Human CD4+ viability data presented as mean ± SEM of 4 donors. C. </w:t>
      </w:r>
      <w:proofErr w:type="spellStart"/>
      <w:r w:rsidRPr="00FC66EA">
        <w:t>Isotopomer</w:t>
      </w:r>
      <w:proofErr w:type="spellEnd"/>
      <w:r w:rsidRPr="00FC66EA">
        <w:t xml:space="preserve"> tracing with </w:t>
      </w:r>
      <w:r w:rsidRPr="00FC66EA">
        <w:rPr>
          <w:lang w:val="el-GR"/>
        </w:rPr>
        <w:t>α-15</w:t>
      </w:r>
      <w:r w:rsidRPr="00FC66EA">
        <w:t xml:space="preserve">N L-glutamine to study serine synthesis pathway flux. CD4+ T cells were stimulated with </w:t>
      </w:r>
      <w:r w:rsidRPr="00FC66EA">
        <w:rPr>
          <w:lang w:val="el-GR"/>
        </w:rPr>
        <w:t>α</w:t>
      </w:r>
      <w:r w:rsidRPr="00FC66EA">
        <w:t>CD3/</w:t>
      </w:r>
      <w:r w:rsidRPr="00FC66EA">
        <w:rPr>
          <w:lang w:val="el-GR"/>
        </w:rPr>
        <w:t>α</w:t>
      </w:r>
      <w:r w:rsidRPr="00FC66EA">
        <w:t xml:space="preserve">CD28 beads for 2 days in media containing 280 µM serine followed by addition of heavy labelled </w:t>
      </w:r>
      <w:r w:rsidRPr="00FC66EA">
        <w:rPr>
          <w:lang w:val="el-GR"/>
        </w:rPr>
        <w:t>α-15</w:t>
      </w:r>
      <w:r w:rsidRPr="00FC66EA">
        <w:t xml:space="preserve">N L-glutamine for 24 hours in glutamine-free media. Label incorporation into ATP +2 is shown. D. Human Th2 western blot for PKM2 and </w:t>
      </w:r>
      <w:r w:rsidRPr="00FC66EA">
        <w:rPr>
          <w:lang w:val="el-GR"/>
        </w:rPr>
        <w:t>β</w:t>
      </w:r>
      <w:r w:rsidRPr="00FC66EA">
        <w:t xml:space="preserve">-actin loading control. Representative donor blot shown. Quantification data is presented as mean ± SEM of 3 donors. E. Human Th2 GATA3+ staining from one representative donor after stimulation for 5 days in media containing 10 µM serine. The blue peak is naïve CD4+ T cells stimulated with </w:t>
      </w:r>
      <w:r w:rsidRPr="00FC66EA">
        <w:rPr>
          <w:lang w:val="el-GR"/>
        </w:rPr>
        <w:t>α</w:t>
      </w:r>
      <w:r w:rsidRPr="00FC66EA">
        <w:t>CD3/</w:t>
      </w:r>
      <w:r w:rsidRPr="00FC66EA">
        <w:rPr>
          <w:lang w:val="el-GR"/>
        </w:rPr>
        <w:t>α</w:t>
      </w:r>
      <w:r w:rsidRPr="00FC66EA">
        <w:t>CD28 beads only. The red peak is Th2 polarised cells. F. Stimulated Th2 viability after 5 days incubation with SYX-PKM-</w:t>
      </w:r>
      <w:proofErr w:type="gramStart"/>
      <w:r w:rsidRPr="00FC66EA">
        <w:t>A</w:t>
      </w:r>
      <w:proofErr w:type="gramEnd"/>
      <w:r w:rsidRPr="00FC66EA">
        <w:t xml:space="preserve"> in media containing either 10 µM or 280 µM serine. 1 µM rapamycin was used as a positive control for cytokine release. Data is presented with normalisation to the DMSO control (100%) showing mean ± </w:t>
      </w:r>
      <w:r w:rsidRPr="00FC66EA">
        <w:lastRenderedPageBreak/>
        <w:t xml:space="preserve">SEM of 6 donors. G. </w:t>
      </w:r>
      <w:proofErr w:type="spellStart"/>
      <w:r w:rsidRPr="00FC66EA">
        <w:t>Formate</w:t>
      </w:r>
      <w:proofErr w:type="spellEnd"/>
      <w:r w:rsidRPr="00FC66EA">
        <w:t xml:space="preserve"> release from Th2 cells after 5 days incubation with SYX-PKM-A or TEPP-46 in media containing 10 µM serine. </w:t>
      </w:r>
    </w:p>
    <w:p w14:paraId="22EAB47B" w14:textId="77777777" w:rsidR="00353BA1" w:rsidRDefault="00353BA1" w:rsidP="00353BA1"/>
    <w:p w14:paraId="211AA495" w14:textId="77777777" w:rsidR="00353BA1" w:rsidRDefault="00353BA1" w:rsidP="00353BA1">
      <w:r w:rsidRPr="000B1E1C">
        <w:rPr>
          <w:noProof/>
        </w:rPr>
        <w:drawing>
          <wp:inline distT="0" distB="0" distL="0" distR="0" wp14:anchorId="78DDE93D" wp14:editId="7449D1CA">
            <wp:extent cx="5731510" cy="3714115"/>
            <wp:effectExtent l="0" t="0" r="2540" b="635"/>
            <wp:docPr id="8930304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8B010" w14:textId="77777777" w:rsidR="00353BA1" w:rsidRDefault="00353BA1" w:rsidP="00353BA1">
      <w:pPr>
        <w:rPr>
          <w:b/>
          <w:bCs/>
        </w:rPr>
      </w:pPr>
      <w:r>
        <w:rPr>
          <w:b/>
          <w:bCs/>
        </w:rPr>
        <w:t>Supplementary Figure 3</w:t>
      </w:r>
    </w:p>
    <w:p w14:paraId="31F717AD" w14:textId="77777777" w:rsidR="00353BA1" w:rsidRPr="00116C4D" w:rsidRDefault="00353BA1" w:rsidP="00353BA1">
      <w:r w:rsidRPr="00116C4D">
        <w:t xml:space="preserve">A. Female BALB/c mice received house dust mite administered intranasally on 4 consecutive days for 5 weeks. Mice were treated with SYX-PKM-A at 10 mg/kg BID, 100 mg/kg BID or 300 mg/kg BID PO throughout. Daily baricitinib 10 mg/kg BID PO and weekly subcutaneous anti-IL-13 </w:t>
      </w:r>
      <w:proofErr w:type="spellStart"/>
      <w:r w:rsidRPr="00116C4D">
        <w:t>mAb</w:t>
      </w:r>
      <w:proofErr w:type="spellEnd"/>
      <w:r w:rsidRPr="00116C4D">
        <w:t xml:space="preserve"> 10 mg/kg were used as model controls.  Body weight is shown. B. Gene expression in the Duca </w:t>
      </w:r>
      <w:r w:rsidRPr="00116C4D">
        <w:rPr>
          <w:i/>
          <w:iCs/>
        </w:rPr>
        <w:t xml:space="preserve">et al. </w:t>
      </w:r>
      <w:r w:rsidRPr="00116C4D">
        <w:t xml:space="preserve">2024 and Mikhaylov </w:t>
      </w:r>
      <w:r w:rsidRPr="00116C4D">
        <w:rPr>
          <w:i/>
          <w:iCs/>
        </w:rPr>
        <w:t>et al.</w:t>
      </w:r>
      <w:r w:rsidRPr="00116C4D">
        <w:t xml:space="preserve"> 2021 AD skin tape strip </w:t>
      </w:r>
      <w:proofErr w:type="spellStart"/>
      <w:r w:rsidRPr="00116C4D">
        <w:t>RNAseq</w:t>
      </w:r>
      <w:proofErr w:type="spellEnd"/>
      <w:r w:rsidRPr="00116C4D">
        <w:t xml:space="preserve"> datasets.</w:t>
      </w:r>
    </w:p>
    <w:p w14:paraId="6F5414B9" w14:textId="77777777" w:rsidR="00353BA1" w:rsidRDefault="00353BA1" w:rsidP="00353BA1"/>
    <w:p w14:paraId="07ABE4FD" w14:textId="77777777" w:rsidR="00353BA1" w:rsidRDefault="00353BA1" w:rsidP="00353BA1">
      <w:r w:rsidRPr="00116C4D">
        <w:rPr>
          <w:noProof/>
        </w:rPr>
        <w:lastRenderedPageBreak/>
        <w:drawing>
          <wp:inline distT="0" distB="0" distL="0" distR="0" wp14:anchorId="4F0227F2" wp14:editId="20C3489B">
            <wp:extent cx="5502910" cy="8863330"/>
            <wp:effectExtent l="0" t="0" r="0" b="0"/>
            <wp:docPr id="41893158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C610D" w14:textId="77777777" w:rsidR="00353BA1" w:rsidRDefault="00353BA1" w:rsidP="00353BA1">
      <w:pPr>
        <w:rPr>
          <w:b/>
          <w:bCs/>
        </w:rPr>
      </w:pPr>
      <w:r>
        <w:rPr>
          <w:b/>
          <w:bCs/>
        </w:rPr>
        <w:lastRenderedPageBreak/>
        <w:t>Supplementary Figure 4</w:t>
      </w:r>
    </w:p>
    <w:p w14:paraId="06A410D5" w14:textId="77777777" w:rsidR="00353BA1" w:rsidRPr="00116C4D" w:rsidRDefault="00353BA1" w:rsidP="00353BA1">
      <w:r w:rsidRPr="00116C4D">
        <w:t xml:space="preserve">A. Female BALB/c mice received house dust mite administered intranasally on 4 consecutive days for 5 weeks. Mice were treated with SYX-PKM-A at 10 mg/kg BID, 100 mg/kg BID or 300 mg/kg BID PO throughout. Daily baricitinib 10 mg/kg BID PO and weekly subcutaneous anti-IL-13 </w:t>
      </w:r>
      <w:proofErr w:type="spellStart"/>
      <w:r w:rsidRPr="00116C4D">
        <w:t>mAb</w:t>
      </w:r>
      <w:proofErr w:type="spellEnd"/>
      <w:r w:rsidRPr="00116C4D">
        <w:t xml:space="preserve"> 10 mg/kg were used as model controls. B. and C. On day 32, mice were anaesthetised and airway resistance and compliance (AHR) parameters recorded in response to methacholine challenge. D – G. Bronchoalveolar lavage was then performed, with lymphocyte, eosinophil, neutrophil and macrophage cell counts conducted on the resulting bronchoalveolar lavage fluid (BALF). H – K. IL-4, IL-13, IL-5 and RANTES cytokine measurements in the BALF. Data is presented as mean ± SEM of 10 animals. One way ANOVA with Dunnett’s post-test * p &lt; 0.05, ** p &lt; 0.01, *** p &lt; </w:t>
      </w:r>
      <w:proofErr w:type="gramStart"/>
      <w:r w:rsidRPr="00116C4D">
        <w:t>0.001 ,</w:t>
      </w:r>
      <w:proofErr w:type="gramEnd"/>
      <w:r w:rsidRPr="00116C4D">
        <w:t xml:space="preserve"> **** p &lt; 0.0001. </w:t>
      </w:r>
    </w:p>
    <w:p w14:paraId="5E01D1E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A1"/>
    <w:rsid w:val="00353BA1"/>
    <w:rsid w:val="00767E38"/>
    <w:rsid w:val="00866F7D"/>
    <w:rsid w:val="00DF0195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9987"/>
  <w15:chartTrackingRefBased/>
  <w15:docId w15:val="{F3A9BCD5-04F5-42AE-BB97-FA3609EE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BA1"/>
    <w:pPr>
      <w:spacing w:line="259" w:lineRule="auto"/>
    </w:pPr>
    <w:rPr>
      <w:rFonts w:ascii="Arial" w:hAnsi="Arial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B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B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B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B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B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BA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BA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BA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BA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353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BA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353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BA1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353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BA1"/>
    <w:pPr>
      <w:spacing w:line="278" w:lineRule="auto"/>
      <w:ind w:left="720"/>
      <w:contextualSpacing/>
    </w:pPr>
    <w:rPr>
      <w:rFonts w:asciiTheme="minorHAnsi" w:hAnsiTheme="minorHAnsi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353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B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2026-07-23T08:36:00Z</dcterms:created>
  <dcterms:modified xsi:type="dcterms:W3CDTF">2026-07-23T08:36:00Z</dcterms:modified>
</cp:coreProperties>
</file>