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BAB9" w14:textId="77777777" w:rsidR="00F94EEE" w:rsidRPr="00CF7FC9" w:rsidRDefault="00F94EEE" w:rsidP="00F94EEE">
      <w:pPr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CF7FC9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Supplementary Table </w:t>
      </w:r>
      <w:r w:rsidRPr="00CF7FC9">
        <w:rPr>
          <w:rFonts w:ascii="Times New Roman" w:eastAsia="SimSun" w:hAnsi="Times New Roman" w:cs="Times New Roman" w:hint="eastAsia"/>
          <w:b/>
          <w:bCs/>
          <w:sz w:val="18"/>
          <w:szCs w:val="18"/>
        </w:rPr>
        <w:t>1</w:t>
      </w:r>
      <w:r w:rsidRPr="00CF7FC9">
        <w:rPr>
          <w:rFonts w:ascii="Times New Roman" w:eastAsia="SimSun" w:hAnsi="Times New Roman" w:cs="Times New Roman"/>
          <w:b/>
          <w:bCs/>
          <w:kern w:val="36"/>
          <w:sz w:val="18"/>
          <w:szCs w:val="18"/>
        </w:rPr>
        <w:t xml:space="preserve"> </w:t>
      </w:r>
      <w:r w:rsidRPr="00CF7FC9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>The results of two-piecewise linear regression model in</w:t>
      </w:r>
      <w:r w:rsidRPr="00CF7FC9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women with </w:t>
      </w:r>
      <w:bookmarkStart w:id="0" w:name="OLE_LINK30"/>
      <w:r w:rsidRPr="00CF7FC9">
        <w:rPr>
          <w:rFonts w:ascii="Times New Roman" w:eastAsia="SimSun" w:hAnsi="Times New Roman" w:cs="Times New Roman"/>
          <w:b/>
          <w:bCs/>
          <w:sz w:val="18"/>
          <w:szCs w:val="18"/>
        </w:rPr>
        <w:t>single ovulated follicle</w:t>
      </w:r>
      <w:bookmarkEnd w:id="0"/>
      <w:r w:rsidRPr="00CF7FC9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(n = 5011)</w:t>
      </w:r>
    </w:p>
    <w:tbl>
      <w:tblPr>
        <w:tblStyle w:val="TableGrid"/>
        <w:tblW w:w="47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4158"/>
        <w:gridCol w:w="1598"/>
      </w:tblGrid>
      <w:tr w:rsidR="00F94EEE" w:rsidRPr="005815D7" w14:paraId="5710AE03" w14:textId="77777777" w:rsidTr="00E36BEF">
        <w:tc>
          <w:tcPr>
            <w:tcW w:w="1784" w:type="pct"/>
            <w:tcBorders>
              <w:top w:val="single" w:sz="4" w:space="0" w:color="auto"/>
              <w:bottom w:val="single" w:sz="4" w:space="0" w:color="auto"/>
            </w:tcBorders>
          </w:tcPr>
          <w:p w14:paraId="06993A2E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Outcome</w:t>
            </w:r>
          </w:p>
        </w:tc>
        <w:tc>
          <w:tcPr>
            <w:tcW w:w="2323" w:type="pct"/>
            <w:tcBorders>
              <w:top w:val="single" w:sz="4" w:space="0" w:color="auto"/>
              <w:bottom w:val="single" w:sz="4" w:space="0" w:color="auto"/>
            </w:tcBorders>
          </w:tcPr>
          <w:p w14:paraId="3F59AA90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Infertility (OR, 95% CI)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</w:tcPr>
          <w:p w14:paraId="6DF12476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value</w:t>
            </w:r>
          </w:p>
        </w:tc>
      </w:tr>
      <w:tr w:rsidR="00F94EEE" w:rsidRPr="005815D7" w14:paraId="4ECC082F" w14:textId="77777777" w:rsidTr="00E36BEF">
        <w:tc>
          <w:tcPr>
            <w:tcW w:w="1784" w:type="pct"/>
            <w:tcBorders>
              <w:top w:val="single" w:sz="4" w:space="0" w:color="auto"/>
            </w:tcBorders>
          </w:tcPr>
          <w:p w14:paraId="35F09FB4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Inflection point (K)</w:t>
            </w:r>
          </w:p>
        </w:tc>
        <w:tc>
          <w:tcPr>
            <w:tcW w:w="2323" w:type="pct"/>
            <w:tcBorders>
              <w:top w:val="single" w:sz="4" w:space="0" w:color="auto"/>
            </w:tcBorders>
          </w:tcPr>
          <w:p w14:paraId="6B2B8478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27.43</w:t>
            </w: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7F85E5C1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F94EEE" w:rsidRPr="005815D7" w14:paraId="3582E6F9" w14:textId="77777777" w:rsidTr="00E36BEF">
        <w:tc>
          <w:tcPr>
            <w:tcW w:w="1784" w:type="pct"/>
          </w:tcPr>
          <w:p w14:paraId="0462E2A5" w14:textId="77777777" w:rsidR="00F94EEE" w:rsidRPr="005815D7" w:rsidRDefault="00F94EEE" w:rsidP="00E36BEF">
            <w:pPr>
              <w:ind w:firstLineChars="100" w:firstLine="18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&lt;27.43</w:t>
            </w:r>
            <w:r w:rsidRPr="005815D7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kg/m²</w:t>
            </w:r>
          </w:p>
        </w:tc>
        <w:tc>
          <w:tcPr>
            <w:tcW w:w="2323" w:type="pct"/>
          </w:tcPr>
          <w:p w14:paraId="609D992C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sz w:val="18"/>
                <w:szCs w:val="18"/>
              </w:rPr>
              <w:t>1.04 (1.01, 1.08)</w:t>
            </w:r>
          </w:p>
        </w:tc>
        <w:tc>
          <w:tcPr>
            <w:tcW w:w="893" w:type="pct"/>
          </w:tcPr>
          <w:p w14:paraId="190A26E5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sz w:val="18"/>
                <w:szCs w:val="18"/>
              </w:rPr>
              <w:t>0.0068</w:t>
            </w:r>
          </w:p>
        </w:tc>
      </w:tr>
      <w:tr w:rsidR="00F94EEE" w:rsidRPr="005815D7" w14:paraId="2A09164E" w14:textId="77777777" w:rsidTr="00E36BEF">
        <w:tc>
          <w:tcPr>
            <w:tcW w:w="1784" w:type="pct"/>
          </w:tcPr>
          <w:p w14:paraId="79E3B8BE" w14:textId="77777777" w:rsidR="00F94EEE" w:rsidRPr="005815D7" w:rsidRDefault="00F94EEE" w:rsidP="00E36BEF">
            <w:pPr>
              <w:ind w:firstLineChars="100" w:firstLine="18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sz w:val="18"/>
                <w:szCs w:val="18"/>
              </w:rPr>
              <w:t>&gt;</w:t>
            </w: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27.43</w:t>
            </w:r>
            <w:r w:rsidRPr="005815D7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kg/m²</w:t>
            </w:r>
          </w:p>
        </w:tc>
        <w:tc>
          <w:tcPr>
            <w:tcW w:w="2323" w:type="pct"/>
          </w:tcPr>
          <w:p w14:paraId="30334C82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sz w:val="18"/>
                <w:szCs w:val="18"/>
              </w:rPr>
              <w:t>0.73 (0.63, 0.85)</w:t>
            </w:r>
          </w:p>
        </w:tc>
        <w:tc>
          <w:tcPr>
            <w:tcW w:w="893" w:type="pct"/>
          </w:tcPr>
          <w:p w14:paraId="3B0AD7E4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&lt;0.0001</w:t>
            </w:r>
          </w:p>
        </w:tc>
      </w:tr>
      <w:tr w:rsidR="00F94EEE" w:rsidRPr="005815D7" w14:paraId="33DBCD2E" w14:textId="77777777" w:rsidTr="00E36BEF">
        <w:tc>
          <w:tcPr>
            <w:tcW w:w="1784" w:type="pct"/>
            <w:tcBorders>
              <w:bottom w:val="single" w:sz="4" w:space="0" w:color="auto"/>
            </w:tcBorders>
          </w:tcPr>
          <w:p w14:paraId="39A964F6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Log likelihood ratio</w:t>
            </w:r>
          </w:p>
        </w:tc>
        <w:tc>
          <w:tcPr>
            <w:tcW w:w="2323" w:type="pct"/>
            <w:tcBorders>
              <w:bottom w:val="single" w:sz="4" w:space="0" w:color="auto"/>
            </w:tcBorders>
            <w:vAlign w:val="center"/>
          </w:tcPr>
          <w:p w14:paraId="3292F4CE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815D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4AC64898" w14:textId="77777777" w:rsidR="00F94EEE" w:rsidRPr="005815D7" w:rsidRDefault="00F94EEE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</w:tbl>
    <w:p w14:paraId="125B2F03" w14:textId="77777777" w:rsidR="00F94EEE" w:rsidRPr="005815D7" w:rsidRDefault="00F94EEE" w:rsidP="00F94EEE">
      <w:pPr>
        <w:rPr>
          <w:rFonts w:ascii="Times New Roman" w:eastAsia="SimSun" w:hAnsi="Times New Roman" w:cs="Times New Roman"/>
          <w:sz w:val="18"/>
          <w:szCs w:val="18"/>
        </w:rPr>
      </w:pPr>
      <w:r w:rsidRPr="005815D7">
        <w:rPr>
          <w:rFonts w:ascii="Times New Roman" w:eastAsia="SimSun" w:hAnsi="Times New Roman" w:cs="Times New Roman"/>
          <w:sz w:val="18"/>
          <w:szCs w:val="18"/>
        </w:rPr>
        <w:t xml:space="preserve">Effect: Live birth </w:t>
      </w:r>
    </w:p>
    <w:p w14:paraId="4F273CA3" w14:textId="77777777" w:rsidR="00F94EEE" w:rsidRPr="005815D7" w:rsidRDefault="00F94EEE" w:rsidP="00F94EEE">
      <w:pPr>
        <w:rPr>
          <w:rFonts w:ascii="Times New Roman" w:eastAsia="SimSun" w:hAnsi="Times New Roman" w:cs="Times New Roman"/>
          <w:sz w:val="18"/>
          <w:szCs w:val="18"/>
        </w:rPr>
      </w:pPr>
      <w:r w:rsidRPr="005815D7">
        <w:rPr>
          <w:rFonts w:ascii="Times New Roman" w:eastAsia="SimSun" w:hAnsi="Times New Roman" w:cs="Times New Roman"/>
          <w:sz w:val="18"/>
          <w:szCs w:val="18"/>
        </w:rPr>
        <w:t>Cause: female BMI (kg/m</w:t>
      </w:r>
      <w:r w:rsidRPr="005815D7">
        <w:rPr>
          <w:rFonts w:ascii="Times New Roman" w:eastAsia="SimSun" w:hAnsi="Times New Roman" w:cs="Times New Roman"/>
          <w:sz w:val="18"/>
          <w:szCs w:val="18"/>
          <w:vertAlign w:val="superscript"/>
        </w:rPr>
        <w:t>2</w:t>
      </w:r>
      <w:r w:rsidRPr="005815D7">
        <w:rPr>
          <w:rFonts w:ascii="Times New Roman" w:eastAsia="SimSun" w:hAnsi="Times New Roman" w:cs="Times New Roman"/>
          <w:sz w:val="18"/>
          <w:szCs w:val="18"/>
        </w:rPr>
        <w:t>)</w:t>
      </w:r>
    </w:p>
    <w:p w14:paraId="2F4E1C0C" w14:textId="77777777" w:rsidR="00F94EEE" w:rsidRPr="005815D7" w:rsidRDefault="00F94EEE" w:rsidP="00F94EEE">
      <w:pPr>
        <w:rPr>
          <w:rFonts w:ascii="Times New Roman" w:eastAsia="SimSun" w:hAnsi="Times New Roman" w:cs="Times New Roman"/>
          <w:sz w:val="18"/>
          <w:szCs w:val="18"/>
        </w:rPr>
      </w:pPr>
      <w:r w:rsidRPr="005815D7">
        <w:rPr>
          <w:rFonts w:ascii="Times New Roman" w:eastAsia="SimSun" w:hAnsi="Times New Roman" w:cs="Times New Roman"/>
          <w:sz w:val="18"/>
          <w:szCs w:val="18"/>
        </w:rPr>
        <w:t>Adjusted: female age, male age, basal FSH, AFC, male factor infertility, anovulatory infertility, unexplained infertility, IUI regimens</w:t>
      </w:r>
    </w:p>
    <w:p w14:paraId="6296C23D" w14:textId="77777777" w:rsidR="00F94EEE" w:rsidRPr="005815D7" w:rsidRDefault="00F94EEE" w:rsidP="00F94EEE">
      <w:pPr>
        <w:rPr>
          <w:rFonts w:ascii="Times New Roman" w:eastAsia="SimSun" w:hAnsi="Times New Roman" w:cs="Times New Roman"/>
          <w:sz w:val="18"/>
          <w:szCs w:val="18"/>
        </w:rPr>
      </w:pPr>
      <w:r w:rsidRPr="005815D7">
        <w:rPr>
          <w:rFonts w:ascii="Times New Roman" w:eastAsia="SimSun" w:hAnsi="Times New Roman" w:cs="Times New Roman"/>
          <w:sz w:val="18"/>
          <w:szCs w:val="18"/>
        </w:rPr>
        <w:t>Abbreviation: CI, confidence interval; OR, odds ratio.</w:t>
      </w:r>
    </w:p>
    <w:p w14:paraId="4CA67BBF" w14:textId="77777777" w:rsidR="00F94EEE" w:rsidRPr="0032354C" w:rsidRDefault="00F94EEE" w:rsidP="00F94EEE">
      <w:pPr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4D8754CF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EE"/>
    <w:rsid w:val="00195413"/>
    <w:rsid w:val="003D0186"/>
    <w:rsid w:val="00407984"/>
    <w:rsid w:val="007278E4"/>
    <w:rsid w:val="00A3738C"/>
    <w:rsid w:val="00BC6C35"/>
    <w:rsid w:val="00CB270D"/>
    <w:rsid w:val="00CF7583"/>
    <w:rsid w:val="00DE6AE2"/>
    <w:rsid w:val="00F9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CF1E5"/>
  <w15:chartTrackingRefBased/>
  <w15:docId w15:val="{B0EFBBCB-46E8-4F6D-9697-0807C8DF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EEE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E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EE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EE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EE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EE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EE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EE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EE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EE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EE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4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EEE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4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EEE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4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EEE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4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E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E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4EEE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Springer Nature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2026-05-25T12:07:00Z</dcterms:created>
  <dcterms:modified xsi:type="dcterms:W3CDTF">2026-05-25T12:07:00Z</dcterms:modified>
</cp:coreProperties>
</file>