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F5FAA" w14:textId="3B2D1F0C" w:rsidR="00337653" w:rsidRPr="0003529B" w:rsidRDefault="00337653" w:rsidP="0003529B">
      <w:pPr>
        <w:bidi w:val="0"/>
        <w:spacing w:line="360" w:lineRule="auto"/>
        <w:jc w:val="center"/>
        <w:rPr>
          <w:rFonts w:ascii="Times New Roman" w:hAnsi="Times New Roman" w:cs="Times New Roman"/>
          <w:b/>
          <w:sz w:val="28"/>
        </w:rPr>
      </w:pPr>
      <w:r w:rsidRPr="0003529B">
        <w:rPr>
          <w:rFonts w:ascii="Times New Roman" w:hAnsi="Times New Roman" w:cs="Times New Roman"/>
          <w:b/>
          <w:sz w:val="28"/>
        </w:rPr>
        <w:t xml:space="preserve">Antagonistic pleiotropy at the </w:t>
      </w:r>
      <w:r w:rsidRPr="0003529B">
        <w:rPr>
          <w:rFonts w:ascii="Times New Roman" w:hAnsi="Times New Roman" w:cs="Times New Roman"/>
          <w:b/>
          <w:i/>
          <w:iCs/>
          <w:sz w:val="28"/>
        </w:rPr>
        <w:t>stem solidness 1</w:t>
      </w:r>
      <w:r w:rsidRPr="0003529B">
        <w:rPr>
          <w:rFonts w:ascii="Times New Roman" w:hAnsi="Times New Roman" w:cs="Times New Roman"/>
          <w:b/>
          <w:sz w:val="28"/>
        </w:rPr>
        <w:t xml:space="preserve"> locus balances wheat stem architecture and yield components under terminal drought</w:t>
      </w:r>
    </w:p>
    <w:p w14:paraId="238A02DA" w14:textId="542EEC22" w:rsidR="00337653" w:rsidRPr="0003529B" w:rsidRDefault="006F6D76" w:rsidP="0003529B">
      <w:pPr>
        <w:bidi w:val="0"/>
        <w:spacing w:line="480" w:lineRule="auto"/>
        <w:jc w:val="center"/>
        <w:rPr>
          <w:rFonts w:ascii="Times New Roman" w:hAnsi="Times New Roman" w:cs="Times New Roman"/>
          <w:b/>
          <w:bCs/>
          <w:sz w:val="28"/>
          <w:szCs w:val="28"/>
        </w:rPr>
      </w:pPr>
      <w:r w:rsidRPr="0003529B">
        <w:rPr>
          <w:rFonts w:ascii="Times New Roman" w:hAnsi="Times New Roman" w:cs="Times New Roman"/>
          <w:b/>
          <w:bCs/>
          <w:sz w:val="32"/>
          <w:szCs w:val="32"/>
        </w:rPr>
        <w:t>Supplementary Figures</w:t>
      </w:r>
    </w:p>
    <w:p w14:paraId="65EDAD19" w14:textId="425719AF" w:rsidR="002F531B" w:rsidRDefault="00530EAC" w:rsidP="0003529B">
      <w:pPr>
        <w:pStyle w:val="NoSpacing"/>
        <w:bidi w:val="0"/>
        <w:spacing w:line="360" w:lineRule="auto"/>
        <w:jc w:val="center"/>
        <w:rPr>
          <w:rFonts w:asciiTheme="majorBidi" w:hAnsiTheme="majorBidi" w:cstheme="majorBidi"/>
          <w:b/>
          <w:bCs/>
          <w:sz w:val="20"/>
          <w:szCs w:val="20"/>
        </w:rPr>
      </w:pPr>
      <w:r>
        <w:rPr>
          <w:rFonts w:asciiTheme="majorBidi" w:hAnsiTheme="majorBidi" w:cstheme="majorBidi"/>
          <w:b/>
          <w:bCs/>
          <w:noProof/>
          <w:sz w:val="20"/>
          <w:szCs w:val="20"/>
          <w:lang w:bidi="ar-SA"/>
        </w:rPr>
        <w:drawing>
          <wp:inline distT="0" distB="0" distL="0" distR="0" wp14:anchorId="4D236EB6" wp14:editId="1AE7CFC2">
            <wp:extent cx="5192202" cy="6356199"/>
            <wp:effectExtent l="0" t="0" r="8890" b="6985"/>
            <wp:docPr id="15069004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95634" cy="6360401"/>
                    </a:xfrm>
                    <a:prstGeom prst="rect">
                      <a:avLst/>
                    </a:prstGeom>
                    <a:noFill/>
                  </pic:spPr>
                </pic:pic>
              </a:graphicData>
            </a:graphic>
          </wp:inline>
        </w:drawing>
      </w:r>
    </w:p>
    <w:p w14:paraId="24E3D187" w14:textId="77777777" w:rsidR="00337653" w:rsidRDefault="00337653" w:rsidP="000635BB">
      <w:pPr>
        <w:pStyle w:val="NoSpacing"/>
        <w:bidi w:val="0"/>
        <w:jc w:val="both"/>
        <w:rPr>
          <w:rFonts w:asciiTheme="majorBidi" w:hAnsiTheme="majorBidi" w:cstheme="majorBidi"/>
          <w:b/>
          <w:bCs/>
          <w:sz w:val="20"/>
          <w:szCs w:val="20"/>
        </w:rPr>
      </w:pPr>
    </w:p>
    <w:p w14:paraId="617C6C48" w14:textId="411DC842" w:rsidR="00A05606" w:rsidRDefault="00D038CD" w:rsidP="00337653">
      <w:pPr>
        <w:pStyle w:val="NoSpacing"/>
        <w:bidi w:val="0"/>
        <w:jc w:val="both"/>
        <w:rPr>
          <w:rFonts w:asciiTheme="majorBidi" w:hAnsiTheme="majorBidi" w:cstheme="majorBidi"/>
          <w:sz w:val="20"/>
          <w:szCs w:val="20"/>
        </w:rPr>
      </w:pPr>
      <w:r w:rsidRPr="00B0769B">
        <w:rPr>
          <w:rFonts w:asciiTheme="majorBidi" w:hAnsiTheme="majorBidi" w:cstheme="majorBidi"/>
          <w:b/>
          <w:bCs/>
          <w:sz w:val="20"/>
          <w:szCs w:val="20"/>
        </w:rPr>
        <w:t>Fig</w:t>
      </w:r>
      <w:r w:rsidR="00F443B3" w:rsidRPr="00B0769B">
        <w:rPr>
          <w:rFonts w:asciiTheme="majorBidi" w:hAnsiTheme="majorBidi" w:cstheme="majorBidi"/>
          <w:b/>
          <w:bCs/>
          <w:sz w:val="20"/>
          <w:szCs w:val="20"/>
        </w:rPr>
        <w:t xml:space="preserve">ure </w:t>
      </w:r>
      <w:r w:rsidRPr="00B0769B">
        <w:rPr>
          <w:rFonts w:asciiTheme="majorBidi" w:hAnsiTheme="majorBidi" w:cstheme="majorBidi"/>
          <w:b/>
          <w:bCs/>
          <w:sz w:val="20"/>
          <w:szCs w:val="20"/>
        </w:rPr>
        <w:t>S1</w:t>
      </w:r>
      <w:r w:rsidR="00F443B3" w:rsidRPr="00B0769B">
        <w:rPr>
          <w:rFonts w:asciiTheme="majorBidi" w:hAnsiTheme="majorBidi" w:cstheme="majorBidi"/>
          <w:b/>
          <w:bCs/>
          <w:sz w:val="20"/>
          <w:szCs w:val="20"/>
        </w:rPr>
        <w:t>.</w:t>
      </w:r>
      <w:r w:rsidR="00E65FDE" w:rsidRPr="00B0769B">
        <w:rPr>
          <w:rFonts w:asciiTheme="majorBidi" w:hAnsiTheme="majorBidi" w:cstheme="majorBidi"/>
          <w:b/>
          <w:bCs/>
          <w:sz w:val="20"/>
          <w:szCs w:val="20"/>
        </w:rPr>
        <w:t xml:space="preserve"> </w:t>
      </w:r>
      <w:r w:rsidR="003E195E" w:rsidRPr="00B0769B">
        <w:rPr>
          <w:rFonts w:asciiTheme="majorBidi" w:hAnsiTheme="majorBidi" w:cstheme="majorBidi"/>
          <w:b/>
          <w:bCs/>
          <w:sz w:val="20"/>
          <w:szCs w:val="20"/>
        </w:rPr>
        <w:t>E</w:t>
      </w:r>
      <w:r w:rsidR="0011737C" w:rsidRPr="00B0769B">
        <w:rPr>
          <w:rFonts w:asciiTheme="majorBidi" w:hAnsiTheme="majorBidi" w:cstheme="majorBidi"/>
          <w:b/>
          <w:bCs/>
          <w:sz w:val="20"/>
          <w:szCs w:val="20"/>
        </w:rPr>
        <w:t xml:space="preserve">nvironmental conditions in the </w:t>
      </w:r>
      <w:r w:rsidR="00A05606" w:rsidRPr="00B0769B">
        <w:rPr>
          <w:rFonts w:asciiTheme="majorBidi" w:hAnsiTheme="majorBidi" w:cstheme="majorBidi"/>
          <w:b/>
          <w:bCs/>
          <w:sz w:val="20"/>
          <w:szCs w:val="20"/>
        </w:rPr>
        <w:t xml:space="preserve">three </w:t>
      </w:r>
      <w:r w:rsidR="006C067B" w:rsidRPr="00B0769B">
        <w:rPr>
          <w:rFonts w:asciiTheme="majorBidi" w:hAnsiTheme="majorBidi" w:cstheme="majorBidi"/>
          <w:b/>
          <w:bCs/>
          <w:sz w:val="20"/>
          <w:szCs w:val="20"/>
        </w:rPr>
        <w:t>environments</w:t>
      </w:r>
      <w:r w:rsidR="00A05606" w:rsidRPr="00B0769B">
        <w:rPr>
          <w:rFonts w:asciiTheme="majorBidi" w:hAnsiTheme="majorBidi" w:cstheme="majorBidi"/>
          <w:b/>
          <w:bCs/>
          <w:sz w:val="20"/>
          <w:szCs w:val="20"/>
        </w:rPr>
        <w:t>:</w:t>
      </w:r>
      <w:r w:rsidR="00A05606" w:rsidRPr="00B0769B">
        <w:rPr>
          <w:rFonts w:asciiTheme="majorBidi" w:hAnsiTheme="majorBidi" w:cstheme="majorBidi"/>
          <w:sz w:val="20"/>
          <w:szCs w:val="20"/>
        </w:rPr>
        <w:t xml:space="preserve"> Well-watered (2022WW), terminal drought (2022TD), and rain-fed (2024RF). </w:t>
      </w:r>
      <w:r w:rsidRPr="00B0769B">
        <w:rPr>
          <w:rFonts w:asciiTheme="majorBidi" w:hAnsiTheme="majorBidi" w:cstheme="majorBidi"/>
          <w:sz w:val="20"/>
          <w:szCs w:val="20"/>
        </w:rPr>
        <w:t>(</w:t>
      </w:r>
      <w:r w:rsidRPr="00B0769B">
        <w:rPr>
          <w:rFonts w:asciiTheme="majorBidi" w:hAnsiTheme="majorBidi" w:cstheme="majorBidi"/>
          <w:b/>
          <w:bCs/>
          <w:sz w:val="20"/>
          <w:szCs w:val="20"/>
        </w:rPr>
        <w:t>a</w:t>
      </w:r>
      <w:r w:rsidRPr="00B0769B">
        <w:rPr>
          <w:rFonts w:asciiTheme="majorBidi" w:hAnsiTheme="majorBidi" w:cstheme="majorBidi"/>
          <w:sz w:val="20"/>
          <w:szCs w:val="20"/>
        </w:rPr>
        <w:t xml:space="preserve">) </w:t>
      </w:r>
      <w:r w:rsidR="00843314" w:rsidRPr="00B0769B">
        <w:rPr>
          <w:rFonts w:asciiTheme="majorBidi" w:hAnsiTheme="majorBidi" w:cstheme="majorBidi"/>
          <w:sz w:val="20"/>
          <w:szCs w:val="20"/>
        </w:rPr>
        <w:t>Cumulative water</w:t>
      </w:r>
      <w:r w:rsidR="00AF3DC0" w:rsidRPr="00B0769B">
        <w:rPr>
          <w:rFonts w:asciiTheme="majorBidi" w:hAnsiTheme="majorBidi" w:cstheme="majorBidi"/>
          <w:sz w:val="20"/>
          <w:szCs w:val="20"/>
        </w:rPr>
        <w:t xml:space="preserve"> (precipi</w:t>
      </w:r>
      <w:r w:rsidR="00FE6D9A" w:rsidRPr="00B0769B">
        <w:rPr>
          <w:rFonts w:asciiTheme="majorBidi" w:hAnsiTheme="majorBidi" w:cstheme="majorBidi"/>
          <w:sz w:val="20"/>
          <w:szCs w:val="20"/>
        </w:rPr>
        <w:t>tation and irrigation)</w:t>
      </w:r>
      <w:r w:rsidR="007205C2">
        <w:rPr>
          <w:rFonts w:asciiTheme="majorBidi" w:hAnsiTheme="majorBidi" w:cstheme="majorBidi"/>
          <w:sz w:val="20"/>
          <w:szCs w:val="20"/>
        </w:rPr>
        <w:t>,</w:t>
      </w:r>
      <w:r w:rsidR="00843314" w:rsidRPr="00B0769B">
        <w:rPr>
          <w:rFonts w:asciiTheme="majorBidi" w:hAnsiTheme="majorBidi" w:cstheme="majorBidi"/>
          <w:sz w:val="20"/>
          <w:szCs w:val="20"/>
        </w:rPr>
        <w:t xml:space="preserve"> </w:t>
      </w:r>
      <w:r w:rsidR="00A05606" w:rsidRPr="00B0769B">
        <w:rPr>
          <w:rFonts w:asciiTheme="majorBidi" w:hAnsiTheme="majorBidi" w:cstheme="majorBidi"/>
          <w:sz w:val="20"/>
          <w:szCs w:val="20"/>
        </w:rPr>
        <w:t>and</w:t>
      </w:r>
      <w:r w:rsidR="00914EC4" w:rsidRPr="00B0769B">
        <w:rPr>
          <w:rFonts w:asciiTheme="majorBidi" w:hAnsiTheme="majorBidi" w:cstheme="majorBidi"/>
          <w:sz w:val="20"/>
          <w:szCs w:val="20"/>
        </w:rPr>
        <w:t xml:space="preserve"> </w:t>
      </w:r>
      <w:r w:rsidR="00374EB1" w:rsidRPr="00B0769B">
        <w:rPr>
          <w:rFonts w:asciiTheme="majorBidi" w:hAnsiTheme="majorBidi" w:cstheme="majorBidi"/>
          <w:sz w:val="20"/>
          <w:szCs w:val="20"/>
        </w:rPr>
        <w:t>(</w:t>
      </w:r>
      <w:r w:rsidR="00374EB1" w:rsidRPr="00B0769B">
        <w:rPr>
          <w:rFonts w:asciiTheme="majorBidi" w:hAnsiTheme="majorBidi" w:cstheme="majorBidi"/>
          <w:b/>
          <w:bCs/>
          <w:sz w:val="20"/>
          <w:szCs w:val="20"/>
        </w:rPr>
        <w:t>b</w:t>
      </w:r>
      <w:r w:rsidR="00374EB1" w:rsidRPr="00B0769B">
        <w:rPr>
          <w:rFonts w:asciiTheme="majorBidi" w:hAnsiTheme="majorBidi" w:cstheme="majorBidi"/>
          <w:sz w:val="20"/>
          <w:szCs w:val="20"/>
        </w:rPr>
        <w:t xml:space="preserve">) </w:t>
      </w:r>
      <w:r w:rsidR="00A05606" w:rsidRPr="00B0769B">
        <w:rPr>
          <w:rFonts w:asciiTheme="majorBidi" w:hAnsiTheme="majorBidi" w:cstheme="majorBidi"/>
          <w:sz w:val="20"/>
          <w:szCs w:val="20"/>
        </w:rPr>
        <w:t>s</w:t>
      </w:r>
      <w:r w:rsidR="00374EB1" w:rsidRPr="00B0769B">
        <w:rPr>
          <w:rFonts w:asciiTheme="majorBidi" w:hAnsiTheme="majorBidi" w:cstheme="majorBidi"/>
          <w:sz w:val="20"/>
          <w:szCs w:val="20"/>
        </w:rPr>
        <w:t xml:space="preserve">easonal minimum and maximum </w:t>
      </w:r>
      <w:r w:rsidR="002F531B" w:rsidRPr="00B0769B">
        <w:rPr>
          <w:rFonts w:asciiTheme="majorBidi" w:hAnsiTheme="majorBidi" w:cstheme="majorBidi"/>
          <w:sz w:val="20"/>
          <w:szCs w:val="20"/>
        </w:rPr>
        <w:t>temperature.</w:t>
      </w:r>
      <w:r w:rsidR="00A05606" w:rsidRPr="00B0769B">
        <w:rPr>
          <w:rFonts w:asciiTheme="majorBidi" w:hAnsiTheme="majorBidi" w:cstheme="majorBidi"/>
          <w:sz w:val="20"/>
          <w:szCs w:val="20"/>
        </w:rPr>
        <w:br w:type="page"/>
      </w:r>
    </w:p>
    <w:p w14:paraId="4BB4DAE0" w14:textId="77777777" w:rsidR="00CD7CB3" w:rsidRPr="00B0769B" w:rsidRDefault="00CD7CB3" w:rsidP="00CD7CB3">
      <w:pPr>
        <w:pStyle w:val="NoSpacing"/>
        <w:bidi w:val="0"/>
        <w:jc w:val="both"/>
        <w:rPr>
          <w:rFonts w:asciiTheme="majorBidi" w:hAnsiTheme="majorBidi" w:cstheme="majorBidi"/>
          <w:b/>
          <w:bCs/>
          <w:sz w:val="20"/>
          <w:szCs w:val="20"/>
        </w:rPr>
      </w:pPr>
    </w:p>
    <w:p w14:paraId="4C9942AC" w14:textId="3A4F3F81" w:rsidR="003F1911" w:rsidRPr="003F1911" w:rsidRDefault="00EB1571" w:rsidP="0003529B">
      <w:pPr>
        <w:widowControl w:val="0"/>
        <w:autoSpaceDE w:val="0"/>
        <w:autoSpaceDN w:val="0"/>
        <w:bidi w:val="0"/>
        <w:spacing w:after="0" w:line="240" w:lineRule="auto"/>
        <w:ind w:right="155"/>
        <w:jc w:val="center"/>
        <w:rPr>
          <w:rFonts w:ascii="Times New Roman" w:eastAsia="Times New Roman" w:hAnsi="Times New Roman" w:cs="Times New Roman"/>
          <w:sz w:val="20"/>
          <w:szCs w:val="20"/>
          <w:lang w:bidi="ar-SA"/>
        </w:rPr>
      </w:pPr>
      <w:r>
        <w:rPr>
          <w:rFonts w:ascii="Times New Roman" w:eastAsia="Times New Roman" w:hAnsi="Times New Roman" w:cs="Times New Roman"/>
          <w:noProof/>
          <w:sz w:val="20"/>
          <w:szCs w:val="20"/>
          <w:lang w:bidi="ar-SA"/>
        </w:rPr>
        <w:drawing>
          <wp:inline distT="0" distB="0" distL="0" distR="0" wp14:anchorId="7AFDA6DD" wp14:editId="62A58819">
            <wp:extent cx="5145034" cy="2635885"/>
            <wp:effectExtent l="0" t="0" r="0" b="0"/>
            <wp:docPr id="9664696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74387" cy="2650923"/>
                    </a:xfrm>
                    <a:prstGeom prst="rect">
                      <a:avLst/>
                    </a:prstGeom>
                    <a:noFill/>
                  </pic:spPr>
                </pic:pic>
              </a:graphicData>
            </a:graphic>
          </wp:inline>
        </w:drawing>
      </w:r>
    </w:p>
    <w:p w14:paraId="2E9F9FA5" w14:textId="77777777" w:rsidR="003F1911" w:rsidRPr="003F1911" w:rsidRDefault="003F1911" w:rsidP="003F1911">
      <w:pPr>
        <w:widowControl w:val="0"/>
        <w:autoSpaceDE w:val="0"/>
        <w:autoSpaceDN w:val="0"/>
        <w:bidi w:val="0"/>
        <w:spacing w:after="0" w:line="240" w:lineRule="auto"/>
        <w:ind w:right="155"/>
        <w:jc w:val="both"/>
        <w:rPr>
          <w:rFonts w:ascii="Times New Roman" w:eastAsia="Times New Roman" w:hAnsi="Times New Roman" w:cs="Times New Roman"/>
          <w:sz w:val="20"/>
          <w:szCs w:val="20"/>
          <w:lang w:bidi="ar-SA"/>
        </w:rPr>
      </w:pPr>
    </w:p>
    <w:p w14:paraId="3CBC4AA4" w14:textId="45A4036F" w:rsidR="003F1911" w:rsidRPr="003F1911" w:rsidRDefault="003F1911" w:rsidP="000635BB">
      <w:pPr>
        <w:widowControl w:val="0"/>
        <w:autoSpaceDE w:val="0"/>
        <w:autoSpaceDN w:val="0"/>
        <w:bidi w:val="0"/>
        <w:spacing w:after="0" w:line="240" w:lineRule="auto"/>
        <w:ind w:right="155"/>
        <w:jc w:val="both"/>
        <w:rPr>
          <w:rFonts w:ascii="Times New Roman" w:eastAsia="Times New Roman" w:hAnsi="Times New Roman" w:cs="Times New Roman"/>
          <w:sz w:val="20"/>
          <w:szCs w:val="20"/>
          <w:lang w:bidi="ar-SA"/>
        </w:rPr>
      </w:pPr>
      <w:r w:rsidRPr="003F1911">
        <w:rPr>
          <w:rFonts w:ascii="Times New Roman" w:eastAsia="Times New Roman" w:hAnsi="Times New Roman" w:cs="Times New Roman"/>
          <w:b/>
          <w:bCs/>
          <w:sz w:val="20"/>
          <w:szCs w:val="20"/>
          <w:lang w:bidi="ar-SA"/>
        </w:rPr>
        <w:t xml:space="preserve">Figure </w:t>
      </w:r>
      <w:r w:rsidR="00FE4673">
        <w:rPr>
          <w:rFonts w:ascii="Times New Roman" w:eastAsia="Times New Roman" w:hAnsi="Times New Roman" w:cs="Times New Roman"/>
          <w:b/>
          <w:bCs/>
          <w:sz w:val="20"/>
          <w:szCs w:val="20"/>
          <w:lang w:bidi="ar-SA"/>
        </w:rPr>
        <w:t>S</w:t>
      </w:r>
      <w:r>
        <w:rPr>
          <w:rFonts w:ascii="Times New Roman" w:eastAsia="Times New Roman" w:hAnsi="Times New Roman" w:cs="Times New Roman"/>
          <w:b/>
          <w:bCs/>
          <w:sz w:val="20"/>
          <w:szCs w:val="20"/>
          <w:lang w:bidi="ar-SA"/>
        </w:rPr>
        <w:t>2</w:t>
      </w:r>
      <w:r w:rsidR="00B0769B">
        <w:rPr>
          <w:rFonts w:ascii="Times New Roman" w:eastAsia="Times New Roman" w:hAnsi="Times New Roman" w:cs="Times New Roman"/>
          <w:b/>
          <w:bCs/>
          <w:sz w:val="20"/>
          <w:szCs w:val="20"/>
          <w:lang w:bidi="ar-SA"/>
        </w:rPr>
        <w:t>.</w:t>
      </w:r>
      <w:r w:rsidRPr="003F1911">
        <w:rPr>
          <w:rFonts w:ascii="Times New Roman" w:eastAsia="Times New Roman" w:hAnsi="Times New Roman" w:cs="Times New Roman"/>
          <w:b/>
          <w:bCs/>
          <w:sz w:val="20"/>
          <w:szCs w:val="20"/>
          <w:lang w:bidi="ar-SA"/>
        </w:rPr>
        <w:t xml:space="preserve"> Single-and multi-environment genomic prediction cross-validation scenarios.</w:t>
      </w:r>
      <w:r w:rsidRPr="003F1911">
        <w:rPr>
          <w:rFonts w:ascii="Times New Roman" w:eastAsia="Times New Roman" w:hAnsi="Times New Roman" w:cs="Times New Roman"/>
          <w:sz w:val="20"/>
          <w:szCs w:val="20"/>
          <w:lang w:bidi="ar-SA"/>
        </w:rPr>
        <w:t xml:space="preserve"> (</w:t>
      </w:r>
      <w:r w:rsidRPr="003F1911">
        <w:rPr>
          <w:rFonts w:ascii="Times New Roman" w:eastAsia="Times New Roman" w:hAnsi="Times New Roman" w:cs="Times New Roman"/>
          <w:b/>
          <w:bCs/>
          <w:sz w:val="20"/>
          <w:szCs w:val="20"/>
          <w:lang w:bidi="ar-SA"/>
        </w:rPr>
        <w:t>a</w:t>
      </w:r>
      <w:r w:rsidRPr="003F1911">
        <w:rPr>
          <w:rFonts w:ascii="Times New Roman" w:eastAsia="Times New Roman" w:hAnsi="Times New Roman" w:cs="Times New Roman"/>
          <w:sz w:val="20"/>
          <w:szCs w:val="20"/>
          <w:lang w:bidi="ar-SA"/>
        </w:rPr>
        <w:t>) Single-environment analysis; (</w:t>
      </w:r>
      <w:r w:rsidRPr="003F1911">
        <w:rPr>
          <w:rFonts w:ascii="Times New Roman" w:eastAsia="Times New Roman" w:hAnsi="Times New Roman" w:cs="Times New Roman"/>
          <w:b/>
          <w:bCs/>
          <w:sz w:val="20"/>
          <w:szCs w:val="20"/>
          <w:lang w:bidi="ar-SA"/>
        </w:rPr>
        <w:t>b</w:t>
      </w:r>
      <w:r w:rsidRPr="003F1911">
        <w:rPr>
          <w:rFonts w:ascii="Times New Roman" w:eastAsia="Times New Roman" w:hAnsi="Times New Roman" w:cs="Times New Roman"/>
          <w:sz w:val="20"/>
          <w:szCs w:val="20"/>
          <w:lang w:bidi="ar-SA"/>
        </w:rPr>
        <w:t>) All the lines in two environments were used to predict the same lines in a new environment (CV0), (</w:t>
      </w:r>
      <w:r w:rsidRPr="003F1911">
        <w:rPr>
          <w:rFonts w:ascii="Times New Roman" w:eastAsia="Times New Roman" w:hAnsi="Times New Roman" w:cs="Times New Roman"/>
          <w:b/>
          <w:bCs/>
          <w:sz w:val="20"/>
          <w:szCs w:val="20"/>
          <w:lang w:bidi="ar-SA"/>
        </w:rPr>
        <w:t>c</w:t>
      </w:r>
      <w:r w:rsidRPr="003F1911">
        <w:rPr>
          <w:rFonts w:ascii="Times New Roman" w:eastAsia="Times New Roman" w:hAnsi="Times New Roman" w:cs="Times New Roman"/>
          <w:sz w:val="20"/>
          <w:szCs w:val="20"/>
          <w:lang w:bidi="ar-SA"/>
        </w:rPr>
        <w:t>) Performance of new lines in a known environment (CV1), and (</w:t>
      </w:r>
      <w:r w:rsidRPr="003F1911">
        <w:rPr>
          <w:rFonts w:ascii="Times New Roman" w:eastAsia="Times New Roman" w:hAnsi="Times New Roman" w:cs="Times New Roman"/>
          <w:b/>
          <w:bCs/>
          <w:sz w:val="20"/>
          <w:szCs w:val="20"/>
          <w:lang w:bidi="ar-SA"/>
        </w:rPr>
        <w:t>d</w:t>
      </w:r>
      <w:r w:rsidRPr="003F1911">
        <w:rPr>
          <w:rFonts w:ascii="Times New Roman" w:eastAsia="Times New Roman" w:hAnsi="Times New Roman" w:cs="Times New Roman"/>
          <w:sz w:val="20"/>
          <w:szCs w:val="20"/>
          <w:lang w:bidi="ar-SA"/>
        </w:rPr>
        <w:t>) Predict lines that were evaluated in only one environment (CV2). The environments are: Well-watered (2022WW), terminal drought (2022TD), and rain-fed (2024RF).</w:t>
      </w:r>
    </w:p>
    <w:p w14:paraId="3A765905" w14:textId="77777777" w:rsidR="007830B5" w:rsidRDefault="007830B5" w:rsidP="007830B5">
      <w:pPr>
        <w:bidi w:val="0"/>
        <w:rPr>
          <w:rFonts w:asciiTheme="majorBidi" w:hAnsiTheme="majorBidi" w:cstheme="majorBidi"/>
          <w:sz w:val="20"/>
          <w:szCs w:val="20"/>
        </w:rPr>
      </w:pPr>
      <w:r>
        <w:rPr>
          <w:rFonts w:asciiTheme="majorBidi" w:hAnsiTheme="majorBidi" w:cstheme="majorBidi"/>
          <w:sz w:val="20"/>
          <w:szCs w:val="20"/>
        </w:rPr>
        <w:br w:type="page"/>
      </w:r>
    </w:p>
    <w:p w14:paraId="17D47D99" w14:textId="0CE766A8" w:rsidR="00173D6A" w:rsidRDefault="0007405C" w:rsidP="00173D6A">
      <w:pPr>
        <w:pStyle w:val="NoSpacing"/>
        <w:bidi w:val="0"/>
        <w:spacing w:before="120" w:after="120" w:line="360" w:lineRule="auto"/>
        <w:jc w:val="both"/>
        <w:rPr>
          <w:rFonts w:asciiTheme="majorBidi" w:hAnsiTheme="majorBidi" w:cstheme="majorBidi"/>
          <w:sz w:val="20"/>
          <w:szCs w:val="20"/>
        </w:rPr>
      </w:pPr>
      <w:r>
        <w:rPr>
          <w:rFonts w:asciiTheme="majorBidi" w:hAnsiTheme="majorBidi" w:cstheme="majorBidi"/>
          <w:noProof/>
          <w:sz w:val="20"/>
          <w:szCs w:val="20"/>
          <w:lang w:bidi="ar-SA"/>
        </w:rPr>
        <w:lastRenderedPageBreak/>
        <w:drawing>
          <wp:inline distT="0" distB="0" distL="0" distR="0" wp14:anchorId="1F2D4EA3" wp14:editId="2A7FBFBF">
            <wp:extent cx="5287895" cy="4222143"/>
            <wp:effectExtent l="0" t="0" r="8255" b="6985"/>
            <wp:docPr id="1363064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08333" cy="4238462"/>
                    </a:xfrm>
                    <a:prstGeom prst="rect">
                      <a:avLst/>
                    </a:prstGeom>
                    <a:noFill/>
                  </pic:spPr>
                </pic:pic>
              </a:graphicData>
            </a:graphic>
          </wp:inline>
        </w:drawing>
      </w:r>
    </w:p>
    <w:p w14:paraId="02815863" w14:textId="42FF7E46" w:rsidR="00A05606" w:rsidRDefault="00496933" w:rsidP="000635BB">
      <w:pPr>
        <w:pStyle w:val="NoSpacing"/>
        <w:bidi w:val="0"/>
        <w:spacing w:before="120" w:after="120"/>
        <w:jc w:val="both"/>
        <w:rPr>
          <w:rFonts w:asciiTheme="majorBidi" w:eastAsia="Times New Roman" w:hAnsiTheme="majorBidi" w:cstheme="majorBidi"/>
          <w:sz w:val="20"/>
          <w:szCs w:val="20"/>
        </w:rPr>
      </w:pPr>
      <w:r w:rsidRPr="000635BB">
        <w:rPr>
          <w:rFonts w:asciiTheme="majorBidi" w:hAnsiTheme="majorBidi" w:cstheme="majorBidi"/>
          <w:b/>
          <w:bCs/>
          <w:sz w:val="20"/>
          <w:szCs w:val="20"/>
        </w:rPr>
        <w:t>Fig</w:t>
      </w:r>
      <w:r w:rsidR="00F443B3" w:rsidRPr="000635BB">
        <w:rPr>
          <w:rFonts w:asciiTheme="majorBidi" w:hAnsiTheme="majorBidi" w:cstheme="majorBidi"/>
          <w:b/>
          <w:bCs/>
          <w:sz w:val="20"/>
          <w:szCs w:val="20"/>
        </w:rPr>
        <w:t>ure</w:t>
      </w:r>
      <w:r w:rsidRPr="000635BB">
        <w:rPr>
          <w:rFonts w:asciiTheme="majorBidi" w:hAnsiTheme="majorBidi" w:cstheme="majorBidi"/>
          <w:b/>
          <w:bCs/>
          <w:sz w:val="20"/>
          <w:szCs w:val="20"/>
        </w:rPr>
        <w:t xml:space="preserve"> S</w:t>
      </w:r>
      <w:r w:rsidR="007830B5" w:rsidRPr="000635BB">
        <w:rPr>
          <w:rFonts w:asciiTheme="majorBidi" w:hAnsiTheme="majorBidi" w:cstheme="majorBidi"/>
          <w:b/>
          <w:bCs/>
          <w:sz w:val="20"/>
          <w:szCs w:val="20"/>
        </w:rPr>
        <w:t>3</w:t>
      </w:r>
      <w:r w:rsidR="00F443B3" w:rsidRPr="000635BB">
        <w:rPr>
          <w:rFonts w:asciiTheme="majorBidi" w:hAnsiTheme="majorBidi" w:cstheme="majorBidi"/>
          <w:b/>
          <w:bCs/>
          <w:sz w:val="20"/>
          <w:szCs w:val="20"/>
        </w:rPr>
        <w:t xml:space="preserve">. </w:t>
      </w:r>
      <w:r w:rsidR="00A05606" w:rsidRPr="000635BB">
        <w:rPr>
          <w:rFonts w:asciiTheme="majorBidi" w:eastAsia="Times New Roman" w:hAnsiTheme="majorBidi" w:cstheme="majorBidi"/>
          <w:b/>
          <w:bCs/>
          <w:sz w:val="20"/>
          <w:szCs w:val="20"/>
        </w:rPr>
        <w:t>Genetic architecture of stem traits and yield components.</w:t>
      </w:r>
      <w:r w:rsidR="00FE4673" w:rsidRPr="000635BB">
        <w:rPr>
          <w:rFonts w:asciiTheme="majorBidi" w:eastAsia="Times New Roman" w:hAnsiTheme="majorBidi" w:cstheme="majorBidi"/>
          <w:b/>
          <w:bCs/>
          <w:sz w:val="20"/>
          <w:szCs w:val="20"/>
        </w:rPr>
        <w:t xml:space="preserve"> </w:t>
      </w:r>
      <w:r w:rsidR="00A05606" w:rsidRPr="000635BB">
        <w:rPr>
          <w:rFonts w:asciiTheme="majorBidi" w:eastAsia="Times New Roman" w:hAnsiTheme="majorBidi" w:cstheme="majorBidi"/>
          <w:sz w:val="20"/>
          <w:szCs w:val="20"/>
        </w:rPr>
        <w:t>Circular Manhattan plots for the (f</w:t>
      </w:r>
      <w:r w:rsidR="00350D2F" w:rsidRPr="000635BB">
        <w:rPr>
          <w:rFonts w:asciiTheme="majorBidi" w:eastAsia="Times New Roman" w:hAnsiTheme="majorBidi" w:cstheme="majorBidi"/>
          <w:sz w:val="20"/>
          <w:szCs w:val="20"/>
        </w:rPr>
        <w:t>rom inner to outer circle</w:t>
      </w:r>
      <w:r w:rsidR="00A05606" w:rsidRPr="000635BB">
        <w:rPr>
          <w:rFonts w:asciiTheme="majorBidi" w:eastAsia="Times New Roman" w:hAnsiTheme="majorBidi" w:cstheme="majorBidi"/>
          <w:sz w:val="20"/>
          <w:szCs w:val="20"/>
        </w:rPr>
        <w:t>)</w:t>
      </w:r>
      <w:r w:rsidR="00350D2F" w:rsidRPr="000635BB">
        <w:rPr>
          <w:rFonts w:asciiTheme="majorBidi" w:eastAsia="Times New Roman" w:hAnsiTheme="majorBidi" w:cstheme="majorBidi"/>
          <w:sz w:val="20"/>
          <w:szCs w:val="20"/>
        </w:rPr>
        <w:t xml:space="preserve">: </w:t>
      </w:r>
      <w:r w:rsidR="00F50F27" w:rsidRPr="000635BB">
        <w:rPr>
          <w:rFonts w:asciiTheme="majorBidi" w:eastAsia="Times New Roman" w:hAnsiTheme="majorBidi" w:cstheme="majorBidi"/>
          <w:sz w:val="20"/>
          <w:szCs w:val="20"/>
        </w:rPr>
        <w:t xml:space="preserve">peduncle length, </w:t>
      </w:r>
      <w:r w:rsidR="00350D2F" w:rsidRPr="000635BB">
        <w:rPr>
          <w:rFonts w:asciiTheme="majorBidi" w:eastAsia="Times New Roman" w:hAnsiTheme="majorBidi" w:cstheme="majorBidi"/>
          <w:sz w:val="20"/>
          <w:szCs w:val="20"/>
        </w:rPr>
        <w:t>stem diameter, stem wall width,</w:t>
      </w:r>
      <w:r w:rsidR="00F50F27" w:rsidRPr="000635BB">
        <w:rPr>
          <w:rFonts w:asciiTheme="majorBidi" w:eastAsia="Times New Roman" w:hAnsiTheme="majorBidi" w:cstheme="majorBidi"/>
          <w:sz w:val="20"/>
          <w:szCs w:val="20"/>
        </w:rPr>
        <w:t xml:space="preserve"> stem solidness, peduncle diameter, peduncle</w:t>
      </w:r>
      <w:r w:rsidR="00350D2F" w:rsidRPr="000635BB">
        <w:rPr>
          <w:rFonts w:asciiTheme="majorBidi" w:eastAsia="Times New Roman" w:hAnsiTheme="majorBidi" w:cstheme="majorBidi"/>
          <w:sz w:val="20"/>
          <w:szCs w:val="20"/>
        </w:rPr>
        <w:t xml:space="preserve"> wall width, peduncle solidness, </w:t>
      </w:r>
      <w:r w:rsidR="00F50F27" w:rsidRPr="000635BB">
        <w:rPr>
          <w:rFonts w:asciiTheme="majorBidi" w:eastAsia="Times New Roman" w:hAnsiTheme="majorBidi" w:cstheme="majorBidi"/>
          <w:sz w:val="20"/>
          <w:szCs w:val="20"/>
        </w:rPr>
        <w:t>stem dry weight</w:t>
      </w:r>
      <w:r w:rsidR="00F13730" w:rsidRPr="000635BB">
        <w:rPr>
          <w:rFonts w:asciiTheme="majorBidi" w:eastAsia="Times New Roman" w:hAnsiTheme="majorBidi" w:cstheme="majorBidi"/>
          <w:sz w:val="20"/>
          <w:szCs w:val="20"/>
        </w:rPr>
        <w:t xml:space="preserve">, and peduncle </w:t>
      </w:r>
      <w:r w:rsidR="003F43FA" w:rsidRPr="000635BB">
        <w:rPr>
          <w:rFonts w:asciiTheme="majorBidi" w:eastAsia="Times New Roman" w:hAnsiTheme="majorBidi" w:cstheme="majorBidi"/>
          <w:sz w:val="20"/>
          <w:szCs w:val="20"/>
        </w:rPr>
        <w:t>dry</w:t>
      </w:r>
      <w:r w:rsidR="0064254F" w:rsidRPr="000635BB">
        <w:rPr>
          <w:rFonts w:asciiTheme="majorBidi" w:eastAsia="Times New Roman" w:hAnsiTheme="majorBidi" w:cstheme="majorBidi"/>
          <w:sz w:val="20"/>
          <w:szCs w:val="20"/>
        </w:rPr>
        <w:t xml:space="preserve"> </w:t>
      </w:r>
      <w:r w:rsidR="003F43FA" w:rsidRPr="000635BB">
        <w:rPr>
          <w:rFonts w:asciiTheme="majorBidi" w:eastAsia="Times New Roman" w:hAnsiTheme="majorBidi" w:cstheme="majorBidi"/>
          <w:sz w:val="20"/>
          <w:szCs w:val="20"/>
        </w:rPr>
        <w:t xml:space="preserve">weight </w:t>
      </w:r>
      <w:r w:rsidR="00350D2F" w:rsidRPr="000635BB">
        <w:rPr>
          <w:rFonts w:asciiTheme="majorBidi" w:eastAsia="Times New Roman" w:hAnsiTheme="majorBidi" w:cstheme="majorBidi"/>
          <w:sz w:val="20"/>
          <w:szCs w:val="20"/>
        </w:rPr>
        <w:t>under</w:t>
      </w:r>
      <w:r w:rsidR="00A05606" w:rsidRPr="000635BB">
        <w:rPr>
          <w:rFonts w:asciiTheme="majorBidi" w:eastAsia="Times New Roman" w:hAnsiTheme="majorBidi" w:cstheme="majorBidi"/>
          <w:sz w:val="20"/>
          <w:szCs w:val="20"/>
        </w:rPr>
        <w:t xml:space="preserve"> (</w:t>
      </w:r>
      <w:r w:rsidR="00A05606" w:rsidRPr="000635BB">
        <w:rPr>
          <w:rFonts w:asciiTheme="majorBidi" w:eastAsia="Times New Roman" w:hAnsiTheme="majorBidi" w:cstheme="majorBidi"/>
          <w:b/>
          <w:bCs/>
          <w:sz w:val="20"/>
          <w:szCs w:val="20"/>
        </w:rPr>
        <w:t>a-c</w:t>
      </w:r>
      <w:r w:rsidR="00A05606" w:rsidRPr="000635BB">
        <w:rPr>
          <w:rFonts w:asciiTheme="majorBidi" w:eastAsia="Times New Roman" w:hAnsiTheme="majorBidi" w:cstheme="majorBidi"/>
          <w:sz w:val="20"/>
          <w:szCs w:val="20"/>
        </w:rPr>
        <w:t>) well-water</w:t>
      </w:r>
      <w:r w:rsidR="00236B04" w:rsidRPr="000635BB">
        <w:rPr>
          <w:rFonts w:asciiTheme="majorBidi" w:eastAsia="Times New Roman" w:hAnsiTheme="majorBidi" w:cstheme="majorBidi"/>
          <w:sz w:val="20"/>
          <w:szCs w:val="20"/>
        </w:rPr>
        <w:t>e</w:t>
      </w:r>
      <w:r w:rsidR="00A05606" w:rsidRPr="000635BB">
        <w:rPr>
          <w:rFonts w:asciiTheme="majorBidi" w:eastAsia="Times New Roman" w:hAnsiTheme="majorBidi" w:cstheme="majorBidi"/>
          <w:sz w:val="20"/>
          <w:szCs w:val="20"/>
        </w:rPr>
        <w:t>d, (</w:t>
      </w:r>
      <w:r w:rsidR="00A05606" w:rsidRPr="000635BB">
        <w:rPr>
          <w:rFonts w:asciiTheme="majorBidi" w:eastAsia="Times New Roman" w:hAnsiTheme="majorBidi" w:cstheme="majorBidi"/>
          <w:b/>
          <w:bCs/>
          <w:sz w:val="20"/>
          <w:szCs w:val="20"/>
        </w:rPr>
        <w:t>d-</w:t>
      </w:r>
      <w:r w:rsidR="00900A12">
        <w:rPr>
          <w:rFonts w:asciiTheme="majorBidi" w:eastAsia="Times New Roman" w:hAnsiTheme="majorBidi" w:cstheme="majorBidi"/>
          <w:b/>
          <w:bCs/>
          <w:sz w:val="20"/>
          <w:szCs w:val="20"/>
        </w:rPr>
        <w:t>f</w:t>
      </w:r>
      <w:r w:rsidR="00A05606" w:rsidRPr="000635BB">
        <w:rPr>
          <w:rFonts w:asciiTheme="majorBidi" w:eastAsia="Times New Roman" w:hAnsiTheme="majorBidi" w:cstheme="majorBidi"/>
          <w:sz w:val="20"/>
          <w:szCs w:val="20"/>
        </w:rPr>
        <w:t>)</w:t>
      </w:r>
      <w:r w:rsidR="00350D2F" w:rsidRPr="000635BB">
        <w:rPr>
          <w:rFonts w:asciiTheme="majorBidi" w:eastAsia="Times New Roman" w:hAnsiTheme="majorBidi" w:cstheme="majorBidi"/>
          <w:sz w:val="20"/>
          <w:szCs w:val="20"/>
        </w:rPr>
        <w:t xml:space="preserve"> </w:t>
      </w:r>
      <w:r w:rsidR="00F13730" w:rsidRPr="000635BB">
        <w:rPr>
          <w:rFonts w:asciiTheme="majorBidi" w:eastAsia="Times New Roman" w:hAnsiTheme="majorBidi" w:cstheme="majorBidi"/>
          <w:sz w:val="20"/>
          <w:szCs w:val="20"/>
        </w:rPr>
        <w:t>terminal</w:t>
      </w:r>
      <w:r w:rsidR="007205C2">
        <w:rPr>
          <w:rFonts w:asciiTheme="majorBidi" w:eastAsia="Times New Roman" w:hAnsiTheme="majorBidi" w:cstheme="majorBidi"/>
          <w:sz w:val="20"/>
          <w:szCs w:val="20"/>
        </w:rPr>
        <w:t xml:space="preserve"> </w:t>
      </w:r>
      <w:r w:rsidR="00F13730" w:rsidRPr="000635BB">
        <w:rPr>
          <w:rFonts w:asciiTheme="majorBidi" w:eastAsia="Times New Roman" w:hAnsiTheme="majorBidi" w:cstheme="majorBidi"/>
          <w:sz w:val="20"/>
          <w:szCs w:val="20"/>
        </w:rPr>
        <w:t>drought</w:t>
      </w:r>
      <w:r w:rsidR="00A05606" w:rsidRPr="000635BB">
        <w:rPr>
          <w:rFonts w:asciiTheme="majorBidi" w:eastAsia="Times New Roman" w:hAnsiTheme="majorBidi" w:cstheme="majorBidi"/>
          <w:sz w:val="20"/>
          <w:szCs w:val="20"/>
        </w:rPr>
        <w:t>, and (</w:t>
      </w:r>
      <w:r w:rsidR="00A05606" w:rsidRPr="000635BB">
        <w:rPr>
          <w:rFonts w:asciiTheme="majorBidi" w:eastAsia="Times New Roman" w:hAnsiTheme="majorBidi" w:cstheme="majorBidi"/>
          <w:b/>
          <w:bCs/>
          <w:sz w:val="20"/>
          <w:szCs w:val="20"/>
        </w:rPr>
        <w:t>g-i</w:t>
      </w:r>
      <w:r w:rsidR="00A05606" w:rsidRPr="000635BB">
        <w:rPr>
          <w:rFonts w:asciiTheme="majorBidi" w:eastAsia="Times New Roman" w:hAnsiTheme="majorBidi" w:cstheme="majorBidi"/>
          <w:sz w:val="20"/>
          <w:szCs w:val="20"/>
        </w:rPr>
        <w:t>) rain-fed using</w:t>
      </w:r>
      <w:r w:rsidR="00A05606" w:rsidRPr="000635BB">
        <w:rPr>
          <w:rFonts w:asciiTheme="majorBidi" w:hAnsiTheme="majorBidi" w:cstheme="majorBidi"/>
          <w:sz w:val="20"/>
          <w:szCs w:val="20"/>
        </w:rPr>
        <w:t>: Mixed linear model</w:t>
      </w:r>
      <w:r w:rsidR="00A05606" w:rsidRPr="000635BB">
        <w:rPr>
          <w:rFonts w:asciiTheme="majorBidi" w:eastAsia="Times New Roman" w:hAnsiTheme="majorBidi" w:cstheme="majorBidi"/>
          <w:sz w:val="20"/>
          <w:szCs w:val="20"/>
        </w:rPr>
        <w:t xml:space="preserve"> (MLM), </w:t>
      </w:r>
      <w:r w:rsidR="00A05606" w:rsidRPr="000635BB">
        <w:rPr>
          <w:rFonts w:asciiTheme="majorBidi" w:hAnsiTheme="majorBidi" w:cstheme="majorBidi"/>
          <w:sz w:val="20"/>
          <w:szCs w:val="20"/>
        </w:rPr>
        <w:t xml:space="preserve">Bayesian information and linkage disequilibrium iteratively nested keyway </w:t>
      </w:r>
      <w:r w:rsidR="00A05606" w:rsidRPr="000635BB">
        <w:rPr>
          <w:rFonts w:asciiTheme="majorBidi" w:eastAsia="Times New Roman" w:hAnsiTheme="majorBidi" w:cstheme="majorBidi"/>
          <w:sz w:val="20"/>
          <w:szCs w:val="20"/>
        </w:rPr>
        <w:t xml:space="preserve">(BLINK), and </w:t>
      </w:r>
      <w:r w:rsidR="00A05606" w:rsidRPr="000635BB">
        <w:rPr>
          <w:rFonts w:asciiTheme="majorBidi" w:hAnsiTheme="majorBidi" w:cstheme="majorBidi"/>
          <w:sz w:val="20"/>
          <w:szCs w:val="20"/>
        </w:rPr>
        <w:t>Fixed and random model, circulating probability unification</w:t>
      </w:r>
      <w:r w:rsidR="00A05606" w:rsidRPr="000635BB">
        <w:rPr>
          <w:rFonts w:asciiTheme="majorBidi" w:eastAsia="Times New Roman" w:hAnsiTheme="majorBidi" w:cstheme="majorBidi"/>
          <w:sz w:val="20"/>
          <w:szCs w:val="20"/>
        </w:rPr>
        <w:t xml:space="preserve"> (FarmCPU). Dashed blue circular lines are significant thresholds, while the significant SNP markers are highlighted in blue.</w:t>
      </w:r>
    </w:p>
    <w:p w14:paraId="6B170526" w14:textId="77777777" w:rsidR="00C83A13" w:rsidRPr="00B0769B" w:rsidRDefault="00C83A13" w:rsidP="00C83A13">
      <w:pPr>
        <w:pStyle w:val="NoSpacing"/>
        <w:bidi w:val="0"/>
        <w:jc w:val="both"/>
        <w:rPr>
          <w:rFonts w:asciiTheme="majorBidi" w:hAnsiTheme="majorBidi" w:cstheme="majorBidi"/>
          <w:b/>
          <w:bCs/>
          <w:sz w:val="20"/>
          <w:szCs w:val="20"/>
        </w:rPr>
      </w:pPr>
      <w:r w:rsidRPr="00B0769B">
        <w:rPr>
          <w:rFonts w:asciiTheme="majorBidi" w:hAnsiTheme="majorBidi" w:cstheme="majorBidi"/>
          <w:sz w:val="20"/>
          <w:szCs w:val="20"/>
        </w:rPr>
        <w:br w:type="page"/>
      </w:r>
    </w:p>
    <w:p w14:paraId="0A07DF87" w14:textId="77777777" w:rsidR="00C83A13" w:rsidRDefault="00C83A13" w:rsidP="00C83A13">
      <w:pPr>
        <w:pStyle w:val="NoSpacing"/>
        <w:bidi w:val="0"/>
        <w:spacing w:before="120" w:after="120"/>
        <w:jc w:val="both"/>
        <w:rPr>
          <w:rFonts w:asciiTheme="majorBidi" w:eastAsia="Times New Roman" w:hAnsiTheme="majorBidi" w:cstheme="majorBidi"/>
          <w:sz w:val="20"/>
          <w:szCs w:val="20"/>
        </w:rPr>
      </w:pPr>
    </w:p>
    <w:p w14:paraId="3FC546BD" w14:textId="3CD5C3B5" w:rsidR="00E54D0D" w:rsidRPr="00350D2F" w:rsidRDefault="00E54D0D" w:rsidP="0003529B">
      <w:pPr>
        <w:pStyle w:val="NoSpacing"/>
        <w:bidi w:val="0"/>
        <w:spacing w:before="120" w:after="120" w:line="360" w:lineRule="auto"/>
        <w:jc w:val="center"/>
        <w:rPr>
          <w:rFonts w:asciiTheme="majorBidi" w:hAnsiTheme="majorBidi" w:cstheme="majorBidi"/>
          <w:b/>
          <w:bCs/>
          <w:sz w:val="20"/>
          <w:szCs w:val="20"/>
        </w:rPr>
      </w:pPr>
      <w:r>
        <w:rPr>
          <w:rFonts w:asciiTheme="majorBidi" w:hAnsiTheme="majorBidi" w:cstheme="majorBidi"/>
          <w:b/>
          <w:bCs/>
          <w:noProof/>
          <w:sz w:val="20"/>
          <w:szCs w:val="20"/>
          <w:lang w:bidi="ar-SA"/>
        </w:rPr>
        <w:drawing>
          <wp:inline distT="0" distB="0" distL="0" distR="0" wp14:anchorId="3B6A7377" wp14:editId="1A3B07EC">
            <wp:extent cx="5424986" cy="3426434"/>
            <wp:effectExtent l="0" t="0" r="4445" b="0"/>
            <wp:docPr id="13304659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47328" cy="3440546"/>
                    </a:xfrm>
                    <a:prstGeom prst="rect">
                      <a:avLst/>
                    </a:prstGeom>
                    <a:noFill/>
                  </pic:spPr>
                </pic:pic>
              </a:graphicData>
            </a:graphic>
          </wp:inline>
        </w:drawing>
      </w:r>
    </w:p>
    <w:p w14:paraId="4518007A" w14:textId="5AA4BE8C" w:rsidR="00267BB5" w:rsidRPr="000635BB" w:rsidRDefault="00267BB5" w:rsidP="0003529B">
      <w:pPr>
        <w:pStyle w:val="NormalWeb"/>
        <w:spacing w:before="0" w:beforeAutospacing="0" w:after="0" w:afterAutospacing="0"/>
        <w:jc w:val="both"/>
        <w:rPr>
          <w:sz w:val="20"/>
          <w:szCs w:val="20"/>
        </w:rPr>
      </w:pPr>
      <w:r w:rsidRPr="000635BB">
        <w:rPr>
          <w:rFonts w:eastAsia="Aptos" w:cs="Arial"/>
          <w:b/>
          <w:bCs/>
          <w:color w:val="000000"/>
          <w:kern w:val="2"/>
          <w:sz w:val="20"/>
          <w:szCs w:val="20"/>
          <w:lang w:val="en-GB"/>
        </w:rPr>
        <w:t>Fig</w:t>
      </w:r>
      <w:r w:rsidR="004909B8" w:rsidRPr="000635BB">
        <w:rPr>
          <w:rFonts w:eastAsia="Aptos" w:cs="Arial"/>
          <w:b/>
          <w:bCs/>
          <w:color w:val="000000"/>
          <w:kern w:val="2"/>
          <w:sz w:val="20"/>
          <w:szCs w:val="20"/>
          <w:lang w:val="en-GB"/>
        </w:rPr>
        <w:t>ure</w:t>
      </w:r>
      <w:r w:rsidRPr="000635BB">
        <w:rPr>
          <w:rFonts w:eastAsia="Aptos" w:cs="Arial"/>
          <w:b/>
          <w:bCs/>
          <w:color w:val="000000"/>
          <w:kern w:val="2"/>
          <w:sz w:val="20"/>
          <w:szCs w:val="20"/>
          <w:lang w:val="en-GB"/>
        </w:rPr>
        <w:t xml:space="preserve"> S</w:t>
      </w:r>
      <w:r w:rsidR="007830B5" w:rsidRPr="000635BB">
        <w:rPr>
          <w:rFonts w:eastAsia="Aptos" w:cs="Arial"/>
          <w:b/>
          <w:bCs/>
          <w:color w:val="000000"/>
          <w:kern w:val="2"/>
          <w:sz w:val="20"/>
          <w:szCs w:val="20"/>
          <w:lang w:val="en-GB"/>
        </w:rPr>
        <w:t>4</w:t>
      </w:r>
      <w:r w:rsidR="004909B8" w:rsidRPr="000635BB">
        <w:rPr>
          <w:rFonts w:eastAsia="Aptos" w:cs="Arial"/>
          <w:b/>
          <w:bCs/>
          <w:color w:val="000000"/>
          <w:kern w:val="2"/>
          <w:sz w:val="20"/>
          <w:szCs w:val="20"/>
          <w:lang w:val="en-GB"/>
        </w:rPr>
        <w:t>.</w:t>
      </w:r>
      <w:r w:rsidRPr="000635BB">
        <w:rPr>
          <w:rFonts w:eastAsia="Aptos" w:cs="Arial"/>
          <w:b/>
          <w:bCs/>
          <w:color w:val="000000"/>
          <w:kern w:val="2"/>
          <w:sz w:val="20"/>
          <w:szCs w:val="20"/>
          <w:lang w:val="en-GB"/>
        </w:rPr>
        <w:t xml:space="preserve"> </w:t>
      </w:r>
      <w:r w:rsidR="009B6F3E">
        <w:rPr>
          <w:rFonts w:eastAsia="Aptos" w:cs="Arial"/>
          <w:b/>
          <w:bCs/>
          <w:color w:val="000000"/>
          <w:kern w:val="2"/>
          <w:sz w:val="20"/>
          <w:szCs w:val="20"/>
          <w:lang w:val="en-GB"/>
        </w:rPr>
        <w:t>Position</w:t>
      </w:r>
      <w:r w:rsidR="00A6468E">
        <w:rPr>
          <w:rFonts w:eastAsia="Aptos" w:cs="Arial"/>
          <w:b/>
          <w:bCs/>
          <w:color w:val="000000"/>
          <w:kern w:val="2"/>
          <w:sz w:val="20"/>
          <w:szCs w:val="20"/>
          <w:lang w:val="en-GB"/>
        </w:rPr>
        <w:t>s</w:t>
      </w:r>
      <w:r w:rsidR="009B6F3E">
        <w:rPr>
          <w:rFonts w:eastAsia="Aptos" w:cs="Arial"/>
          <w:b/>
          <w:bCs/>
          <w:color w:val="000000"/>
          <w:kern w:val="2"/>
          <w:sz w:val="20"/>
          <w:szCs w:val="20"/>
          <w:lang w:val="en-GB"/>
        </w:rPr>
        <w:t xml:space="preserve"> of t</w:t>
      </w:r>
      <w:r w:rsidRPr="000635BB">
        <w:rPr>
          <w:rFonts w:eastAsia="Aptos" w:cs="Arial"/>
          <w:b/>
          <w:bCs/>
          <w:color w:val="000000"/>
          <w:kern w:val="2"/>
          <w:sz w:val="20"/>
          <w:szCs w:val="20"/>
          <w:lang w:val="en-GB"/>
        </w:rPr>
        <w:t>welve significant markers</w:t>
      </w:r>
      <w:r w:rsidRPr="000635BB">
        <w:rPr>
          <w:rFonts w:eastAsia="Aptos" w:cs="Arial"/>
          <w:color w:val="000000"/>
          <w:kern w:val="2"/>
          <w:sz w:val="20"/>
          <w:szCs w:val="20"/>
          <w:lang w:val="en-GB"/>
        </w:rPr>
        <w:t xml:space="preserve"> spanning 818.2–825.3 Mbp showed associations with stem traits (stem and peduncle wall width and solidness), with peak signals clustering at 822 Mbp on chromosome 3B. Markers highlighted in orange (</w:t>
      </w:r>
      <w:r w:rsidRPr="000635BB">
        <w:rPr>
          <w:rFonts w:eastAsia="Aptos" w:cs="Arial"/>
          <w:i/>
          <w:iCs/>
          <w:color w:val="000000"/>
          <w:kern w:val="2"/>
          <w:sz w:val="20"/>
          <w:szCs w:val="20"/>
          <w:lang w:val="en-GB"/>
        </w:rPr>
        <w:t>BobWhite_c45118_495</w:t>
      </w:r>
      <w:r w:rsidRPr="000635BB">
        <w:rPr>
          <w:rFonts w:eastAsia="Aptos" w:cs="Arial"/>
          <w:color w:val="000000"/>
          <w:kern w:val="2"/>
          <w:sz w:val="20"/>
          <w:szCs w:val="20"/>
          <w:lang w:val="en-GB"/>
        </w:rPr>
        <w:t>,</w:t>
      </w:r>
      <w:r w:rsidR="000635BB">
        <w:rPr>
          <w:rFonts w:eastAsia="Aptos" w:cs="Arial"/>
          <w:color w:val="000000"/>
          <w:kern w:val="2"/>
          <w:sz w:val="20"/>
          <w:szCs w:val="20"/>
          <w:lang w:val="en-GB"/>
        </w:rPr>
        <w:t xml:space="preserve"> </w:t>
      </w:r>
      <w:r w:rsidRPr="000635BB">
        <w:rPr>
          <w:rFonts w:eastAsia="Aptos" w:cs="Arial"/>
          <w:i/>
          <w:iCs/>
          <w:color w:val="000000"/>
          <w:kern w:val="2"/>
          <w:sz w:val="20"/>
          <w:szCs w:val="20"/>
          <w:lang w:val="en-GB"/>
        </w:rPr>
        <w:t>wsnp_Ex_c13284_20948460</w:t>
      </w:r>
      <w:r w:rsidRPr="000635BB">
        <w:rPr>
          <w:rFonts w:eastAsia="Aptos" w:cs="Arial"/>
          <w:color w:val="000000"/>
          <w:kern w:val="2"/>
          <w:sz w:val="20"/>
          <w:szCs w:val="20"/>
          <w:lang w:val="en-GB"/>
        </w:rPr>
        <w:t xml:space="preserve">, </w:t>
      </w:r>
      <w:r w:rsidRPr="000635BB">
        <w:rPr>
          <w:rFonts w:eastAsia="Aptos" w:cs="Arial"/>
          <w:i/>
          <w:iCs/>
          <w:color w:val="000000"/>
          <w:kern w:val="2"/>
          <w:sz w:val="20"/>
          <w:szCs w:val="20"/>
          <w:lang w:val="en-GB"/>
        </w:rPr>
        <w:t>BS00091257_51</w:t>
      </w:r>
      <w:r w:rsidRPr="000635BB">
        <w:rPr>
          <w:rFonts w:eastAsia="Aptos" w:cs="Arial"/>
          <w:color w:val="000000"/>
          <w:kern w:val="2"/>
          <w:sz w:val="20"/>
          <w:szCs w:val="20"/>
          <w:lang w:val="en-GB"/>
        </w:rPr>
        <w:t xml:space="preserve">, </w:t>
      </w:r>
      <w:r w:rsidRPr="000635BB">
        <w:rPr>
          <w:rFonts w:eastAsia="Aptos" w:cs="Arial"/>
          <w:i/>
          <w:iCs/>
          <w:color w:val="000000"/>
          <w:kern w:val="2"/>
          <w:sz w:val="20"/>
          <w:szCs w:val="20"/>
          <w:lang w:val="en-GB"/>
        </w:rPr>
        <w:t>BobWhite_rep_c58425_117</w:t>
      </w:r>
      <w:r w:rsidRPr="000635BB">
        <w:rPr>
          <w:rFonts w:eastAsia="Aptos" w:cs="Arial"/>
          <w:color w:val="000000"/>
          <w:kern w:val="2"/>
          <w:sz w:val="20"/>
          <w:szCs w:val="20"/>
          <w:lang w:val="en-GB"/>
        </w:rPr>
        <w:t xml:space="preserve">, </w:t>
      </w:r>
      <w:r w:rsidRPr="000635BB">
        <w:rPr>
          <w:rFonts w:eastAsia="Aptos" w:cs="Arial"/>
          <w:i/>
          <w:iCs/>
          <w:color w:val="000000"/>
          <w:kern w:val="2"/>
          <w:sz w:val="20"/>
          <w:szCs w:val="20"/>
          <w:lang w:val="en-GB"/>
        </w:rPr>
        <w:t>RAC875_c37741_218</w:t>
      </w:r>
      <w:r w:rsidRPr="000635BB">
        <w:rPr>
          <w:rFonts w:eastAsia="Aptos" w:cs="Arial"/>
          <w:color w:val="000000"/>
          <w:kern w:val="2"/>
          <w:sz w:val="20"/>
          <w:szCs w:val="20"/>
          <w:lang w:val="en-GB"/>
        </w:rPr>
        <w:t>) exhibited antagonistic allelic effects between diameter and solidness. (</w:t>
      </w:r>
      <w:r w:rsidRPr="000635BB">
        <w:rPr>
          <w:rFonts w:eastAsia="Aptos" w:cs="Arial"/>
          <w:b/>
          <w:bCs/>
          <w:color w:val="000000"/>
          <w:kern w:val="2"/>
          <w:sz w:val="20"/>
          <w:szCs w:val="20"/>
          <w:lang w:val="en-GB"/>
        </w:rPr>
        <w:t>b</w:t>
      </w:r>
      <w:r w:rsidRPr="000635BB">
        <w:rPr>
          <w:rFonts w:eastAsia="Aptos" w:cs="Arial"/>
          <w:color w:val="000000"/>
          <w:kern w:val="2"/>
          <w:sz w:val="20"/>
          <w:szCs w:val="20"/>
          <w:lang w:val="en-GB"/>
        </w:rPr>
        <w:t>)</w:t>
      </w:r>
      <w:r w:rsidRPr="0003529B">
        <w:rPr>
          <w:rFonts w:eastAsia="Aptos" w:cs="Arial"/>
          <w:color w:val="000000"/>
          <w:kern w:val="2"/>
          <w:sz w:val="20"/>
          <w:szCs w:val="20"/>
          <w:lang w:val="en-GB"/>
        </w:rPr>
        <w:t xml:space="preserve"> </w:t>
      </w:r>
      <w:r w:rsidR="00A6468E">
        <w:rPr>
          <w:rFonts w:eastAsia="Aptos" w:cs="Arial"/>
          <w:color w:val="000000"/>
          <w:kern w:val="2"/>
          <w:sz w:val="20"/>
          <w:szCs w:val="20"/>
          <w:lang w:val="en-GB"/>
        </w:rPr>
        <w:t>Positions of c</w:t>
      </w:r>
      <w:r w:rsidRPr="000635BB">
        <w:rPr>
          <w:rFonts w:eastAsia="Aptos" w:cs="Arial"/>
          <w:color w:val="000000"/>
          <w:kern w:val="2"/>
          <w:sz w:val="20"/>
          <w:szCs w:val="20"/>
          <w:lang w:val="en-GB"/>
        </w:rPr>
        <w:t>andidate genes associated with the significant markers (IWGSC RefSeq v1.1). The gene highlighted</w:t>
      </w:r>
      <w:r w:rsidRPr="000635BB">
        <w:rPr>
          <w:rFonts w:eastAsia="Aptos" w:cs="Arial"/>
          <w:color w:val="000000"/>
          <w:kern w:val="2"/>
          <w:sz w:val="20"/>
          <w:szCs w:val="20"/>
        </w:rPr>
        <w:t xml:space="preserve"> in purple was reported by</w:t>
      </w:r>
      <w:r w:rsidR="005A729A">
        <w:rPr>
          <w:rFonts w:eastAsia="Aptos" w:cs="Arial"/>
          <w:color w:val="000000"/>
          <w:kern w:val="2"/>
          <w:sz w:val="20"/>
          <w:szCs w:val="20"/>
        </w:rPr>
        <w:t xml:space="preserve"> </w:t>
      </w:r>
      <w:r w:rsidR="00C10A4E">
        <w:rPr>
          <w:rFonts w:eastAsia="Aptos" w:cs="Arial"/>
          <w:color w:val="000000"/>
          <w:kern w:val="2"/>
          <w:sz w:val="20"/>
          <w:szCs w:val="20"/>
        </w:rPr>
        <w:fldChar w:fldCharType="begin"/>
      </w:r>
      <w:r w:rsidR="00C10A4E">
        <w:rPr>
          <w:rFonts w:eastAsia="Aptos" w:cs="Arial"/>
          <w:color w:val="000000"/>
          <w:kern w:val="2"/>
          <w:sz w:val="20"/>
          <w:szCs w:val="20"/>
        </w:rPr>
        <w:instrText xml:space="preserve"> ADDIN ZOTERO_ITEM CSL_CITATION {"citationID":"7JtzMQXc","properties":{"unsorted":false,"formattedCitation":"(Nilsen et al. 2020)","plainCitation":"(Nilsen et al. 2020)","noteIndex":0},"citationItems":[{"id":2478,"uris":["http://zotero.org/users/12743780/items/8N5C5W4H"],"itemData":{"id":2478,"type":"article-journal","abstract":"Significance\n            \n              Solid-stemmed wheat cultivars are resistant to the wheat stem sawfly, an important agricultural pest. Here, we identify\n              TdDof\n              as the causal gene that controls stem solidness in wheat. We show that copy number gain of\n              TdDof\n              correlates with its increased expression and the solid-stem phenotype. Our results suggest\n              TdDof\n              could function as a key regulator of genes involved in programmed cell death of the pith parenchyma cells. This research provides the framework to manipulate stem architecture in wheat and other monocots, which can be applied toward downstream agricultural and industrial applications. These include enhancing wheat stem sawfly resistance, modifying carbon partitioning and water-soluble carbohydrate remobilization in plants under drought and temperature stress, and bioenergy production.\n            \n          , \n            \n              Stem solidness is an important agronomic trait of durum (\n              Triticum turgidum\n              L. var.\n              durum\n              ) and bread (\n              Triticum aestivum\n              L.) wheat that provides resistance to the wheat stem sawfly. This dominant trait is conferred by the\n              SSt1\n              locus on chromosome 3B. However, the molecular identity and mechanisms underpinning stem solidness have not been identified. Here, we demonstrate that copy number variation of\n              TdDof\n              , a gene encoding a putative DNA binding with one finger protein, controls the stem solidness trait in wheat. Using map-based cloning, we localized\n              TdDof\n              to within a physical interval of 2.1 Mb inside the\n              SSt1\n              locus. Molecular analysis revealed that hollow-stemmed wheat cultivars such as Kronos carry a single copy of\n              TdDof\n              , whereas solid-stemmed cultivars such as CDC Fortitude carry multiple identical copies of the gene. Deletion of all\n              TdDof\n              copies from CDC Fortitude resulted in the loss of stem solidness, whereas the transgenic overexpression of\n              TdDof\n              restored stem solidness in the\n              TdDof\n              deletion mutant\n              pithless1\n              and conferred stem solidness in Kronos. In solid-stemmed cultivars, increased\n              TdDof\n              expression was correlated with the down-regulation of genes whose orthologs have been implicated in programmed cell death (PCD) in other species. Anatomical and histochemical analyses revealed that hollow-stemmed lines had stronger PCD-associated signals in the pith cells compared to solid-stemmed lines, which suggests copy number-dependent expression of\n              TdDof\n              could be directly or indirectly involved in the negative regulation of PCD. These findings provide opportunities to manipulate stem development in wheat and other monocots for agricultural or industrial purposes.","container-title":"Proceedings of the National Academy of Sciences","DOI":"10.1073/pnas.2009418117","ISSN":"0027-8424, 1091-6490","issue":"46","journalAbbreviation":"Proc. Natl. Acad. Sci. U.S.A.","language":"en","page":"28708-28718","source":"DOI.org (Crossref)","title":"Copy number variation of &lt;i&gt;TdDof&lt;/i&gt; controls solid-stemmed architecture in wheat","volume":"117","author":[{"family":"Nilsen","given":"Kirby T."},{"family":"Walkowiak","given":"Sean"},{"family":"Xiang","given":"Daoquan"},{"family":"Gao","given":"Peng"},{"family":"Quilichini","given":"Teagen D."},{"family":"Willick","given":"Ian R."},{"family":"Byrns","given":"Brook"},{"family":"N’Diaye","given":"Amidou"},{"family":"Ens","given":"Jennifer"},{"family":"Wiebe","given":"Krystalee"},{"family":"Ruan","given":"Yuefeng"},{"family":"Cuthbert","given":"Richard D."},{"family":"Craze","given":"Melanie"},{"family":"Wallington","given":"Emma J."},{"family":"Simmonds","given":"James"},{"family":"Uauy","given":"Cristobal"},{"family":"Datla","given":"Raju"},{"family":"Pozniak","given":"Curtis J."}],"issued":{"date-parts":[["2020",11,17]]}}}],"schema":"https://github.com/citation-style-language/schema/raw/master/csl-citation.json"} </w:instrText>
      </w:r>
      <w:r w:rsidR="00C10A4E">
        <w:rPr>
          <w:rFonts w:eastAsia="Aptos" w:cs="Arial"/>
          <w:color w:val="000000"/>
          <w:kern w:val="2"/>
          <w:sz w:val="20"/>
          <w:szCs w:val="20"/>
        </w:rPr>
        <w:fldChar w:fldCharType="separate"/>
      </w:r>
      <w:r w:rsidR="00C10A4E" w:rsidRPr="00C10A4E">
        <w:rPr>
          <w:rFonts w:eastAsia="Aptos"/>
          <w:sz w:val="20"/>
        </w:rPr>
        <w:t xml:space="preserve">Nilsen et al. </w:t>
      </w:r>
      <w:r w:rsidR="00703657">
        <w:rPr>
          <w:rFonts w:eastAsia="Aptos"/>
          <w:sz w:val="20"/>
        </w:rPr>
        <w:t>(</w:t>
      </w:r>
      <w:r w:rsidR="00C10A4E" w:rsidRPr="00C10A4E">
        <w:rPr>
          <w:rFonts w:eastAsia="Aptos"/>
          <w:sz w:val="20"/>
        </w:rPr>
        <w:t>2020)</w:t>
      </w:r>
      <w:r w:rsidR="00C10A4E">
        <w:rPr>
          <w:rFonts w:eastAsia="Aptos" w:cs="Arial"/>
          <w:color w:val="000000"/>
          <w:kern w:val="2"/>
          <w:sz w:val="20"/>
          <w:szCs w:val="20"/>
        </w:rPr>
        <w:fldChar w:fldCharType="end"/>
      </w:r>
      <w:r w:rsidRPr="000635BB">
        <w:rPr>
          <w:rFonts w:eastAsia="Aptos" w:cs="Arial"/>
          <w:color w:val="000000"/>
          <w:kern w:val="2"/>
          <w:sz w:val="20"/>
          <w:szCs w:val="20"/>
          <w:lang w:val="en-GB"/>
        </w:rPr>
        <w:t xml:space="preserve"> </w:t>
      </w:r>
      <w:r w:rsidR="007205C2">
        <w:rPr>
          <w:rFonts w:eastAsia="Aptos" w:cs="Arial"/>
          <w:color w:val="000000"/>
          <w:kern w:val="2"/>
          <w:sz w:val="20"/>
          <w:szCs w:val="20"/>
          <w:lang w:val="en-GB"/>
        </w:rPr>
        <w:t>to</w:t>
      </w:r>
      <w:r w:rsidR="007205C2" w:rsidRPr="000635BB">
        <w:rPr>
          <w:rFonts w:eastAsia="Aptos" w:cs="Arial"/>
          <w:color w:val="000000"/>
          <w:kern w:val="2"/>
          <w:sz w:val="20"/>
          <w:szCs w:val="20"/>
          <w:lang w:val="en-GB"/>
        </w:rPr>
        <w:t xml:space="preserve"> </w:t>
      </w:r>
      <w:r w:rsidRPr="000635BB">
        <w:rPr>
          <w:rFonts w:eastAsia="Aptos" w:cs="Arial"/>
          <w:color w:val="000000"/>
          <w:kern w:val="2"/>
          <w:sz w:val="20"/>
          <w:szCs w:val="20"/>
          <w:lang w:val="en-GB"/>
        </w:rPr>
        <w:t xml:space="preserve">control stem </w:t>
      </w:r>
      <w:r w:rsidR="00E47F69" w:rsidRPr="000635BB">
        <w:rPr>
          <w:rFonts w:eastAsia="Aptos" w:cs="Arial"/>
          <w:color w:val="000000"/>
          <w:kern w:val="2"/>
          <w:sz w:val="20"/>
          <w:szCs w:val="20"/>
          <w:lang w:val="en-GB"/>
        </w:rPr>
        <w:t>solidity</w:t>
      </w:r>
      <w:r w:rsidRPr="000635BB">
        <w:rPr>
          <w:rFonts w:eastAsia="Aptos" w:cs="Arial"/>
          <w:color w:val="000000"/>
          <w:kern w:val="2"/>
          <w:sz w:val="20"/>
          <w:szCs w:val="20"/>
          <w:lang w:val="en-GB"/>
        </w:rPr>
        <w:t xml:space="preserve"> through copy number variation in bread wheat</w:t>
      </w:r>
      <w:r w:rsidR="005C5D08" w:rsidRPr="000635BB">
        <w:rPr>
          <w:rFonts w:eastAsia="Aptos" w:cs="Arial"/>
          <w:color w:val="000000"/>
          <w:kern w:val="2"/>
          <w:sz w:val="20"/>
          <w:szCs w:val="20"/>
          <w:lang w:val="en-GB"/>
        </w:rPr>
        <w:t>, while</w:t>
      </w:r>
      <w:r w:rsidR="009F47EE" w:rsidRPr="000635BB">
        <w:rPr>
          <w:rFonts w:eastAsia="Aptos" w:cs="Arial"/>
          <w:color w:val="000000"/>
          <w:kern w:val="2"/>
          <w:sz w:val="20"/>
          <w:szCs w:val="20"/>
          <w:lang w:val="en-GB"/>
        </w:rPr>
        <w:t xml:space="preserve"> the gene in green was identified by</w:t>
      </w:r>
      <w:r w:rsidR="00703657">
        <w:rPr>
          <w:rFonts w:eastAsia="Aptos" w:cs="Arial"/>
          <w:color w:val="000000"/>
          <w:kern w:val="2"/>
          <w:sz w:val="20"/>
          <w:szCs w:val="20"/>
          <w:lang w:val="en-GB"/>
        </w:rPr>
        <w:t xml:space="preserve"> </w:t>
      </w:r>
      <w:r w:rsidR="007F053C">
        <w:rPr>
          <w:rFonts w:eastAsia="Aptos" w:cs="Arial"/>
          <w:color w:val="000000"/>
          <w:kern w:val="2"/>
          <w:sz w:val="20"/>
          <w:szCs w:val="20"/>
          <w:lang w:val="en-GB"/>
        </w:rPr>
        <w:fldChar w:fldCharType="begin"/>
      </w:r>
      <w:r w:rsidR="007F053C">
        <w:rPr>
          <w:rFonts w:eastAsia="Aptos" w:cs="Arial"/>
          <w:color w:val="000000"/>
          <w:kern w:val="2"/>
          <w:sz w:val="20"/>
          <w:szCs w:val="20"/>
          <w:lang w:val="en-GB"/>
        </w:rPr>
        <w:instrText xml:space="preserve"> ADDIN ZOTERO_ITEM CSL_CITATION {"citationID":"hEgSlsjU","properties":{"unsorted":false,"formattedCitation":"(Liu et al. 2023)","plainCitation":"(Liu et al. 2023)","noteIndex":0},"citationItems":[{"id":2443,"uris":["http://zotero.org/users/12743780/items/FPMKGXAU"],"itemData":{"id":2443,"type":"article-journal","abstract":"Key message The vacuolar processing enzyme gene TaVPE3cB is identified as a candidate gene for a QTL of wheat pith-thickness on chromosome 3B by BSR-seq and differential expression analyses. Abstract The high pith-thickness (PT) of the wheat stem could greatly enhance stem mechanical strength, especially the basal internodes which support the heavier upper part, such as upper stems, leaves and spikes. A QTL for PT in wheat was previously discovered on 3BL in a double haploid population of ‘Westonia’ × ‘Kauz’. Here, a bulked segregant RNA-seq analysis was applied to identify candidate genes and develop associated SNP markers for PT. In this study, we aimed at screening differentially expressed genes (DEGs) and SNPs in the 3BL QTL interval. Sixteen DEGs were obtained based on BSR-seq and differential expression analyses. Twenty-four high-probability SNPs in eight genes were identified by comparing the allelic polymorphism in mRNA sequences between the high PT and low PT samples. Among them, six genes were confirmed to be associated with PT by qRT-PCR and sequencing. A putative vacuolar processing enzyme gene TaVPE3cB was screened out as a potential PT candidate gene in Australian wheat ‘Westonia’. A robust SNP marker associated with TaVPE3cB was developed, which can assist in the introgression of TaVPE3cB.b in wheat breeding programs. In addition, we also discussed the function of other DEGs which may be related to pith development and programmed cell death (PCD). A five-level hierarchical regulation mechanism of stem pith PCD in wheat was proposed.","container-title":"Theoretical and Applied Genetics","DOI":"10.1007/s00122-023-04372-4","ISSN":"0040-5752, 1432-2242","issue":"6","journalAbbreviation":"Theor Appl Genet","language":"en","page":"138","source":"DOI.org (Crossref)","title":"The putative vacuolar processing enzyme gene TaVPE3cB is a candidate gene for wheat stem pith-thickness","volume":"136","author":[{"family":"Liu","given":"Qier"},{"family":"Zhao","given":"Yun"},{"family":"Rahman","given":"Shanjida"},{"family":"She","given":"Maoyun"},{"family":"Zhang","given":"Jingjuan"},{"family":"Yang","given":"Rongchang"},{"family":"Islam","given":"Shahidul"},{"family":"O’Hara","given":"Graham"},{"family":"Varshney","given":"Rajeev K."},{"family":"Liu","given":"Hang"},{"family":"Ma","given":"Hongxiang"},{"family":"Ma","given":"Wujun"}],"issued":{"date-parts":[["2023",6]]}}}],"schema":"https://github.com/citation-style-language/schema/raw/master/csl-citation.json"} </w:instrText>
      </w:r>
      <w:r w:rsidR="007F053C">
        <w:rPr>
          <w:rFonts w:eastAsia="Aptos" w:cs="Arial"/>
          <w:color w:val="000000"/>
          <w:kern w:val="2"/>
          <w:sz w:val="20"/>
          <w:szCs w:val="20"/>
          <w:lang w:val="en-GB"/>
        </w:rPr>
        <w:fldChar w:fldCharType="separate"/>
      </w:r>
      <w:r w:rsidR="007F053C" w:rsidRPr="007F053C">
        <w:rPr>
          <w:rFonts w:eastAsia="Aptos"/>
          <w:sz w:val="20"/>
        </w:rPr>
        <w:t xml:space="preserve">Liu et al. </w:t>
      </w:r>
      <w:r w:rsidR="00703657">
        <w:rPr>
          <w:rFonts w:eastAsia="Aptos"/>
          <w:sz w:val="20"/>
        </w:rPr>
        <w:t>(</w:t>
      </w:r>
      <w:r w:rsidR="007F053C" w:rsidRPr="007F053C">
        <w:rPr>
          <w:rFonts w:eastAsia="Aptos"/>
          <w:sz w:val="20"/>
        </w:rPr>
        <w:t>2023)</w:t>
      </w:r>
      <w:r w:rsidR="007F053C">
        <w:rPr>
          <w:rFonts w:eastAsia="Aptos" w:cs="Arial"/>
          <w:color w:val="000000"/>
          <w:kern w:val="2"/>
          <w:sz w:val="20"/>
          <w:szCs w:val="20"/>
          <w:lang w:val="en-GB"/>
        </w:rPr>
        <w:fldChar w:fldCharType="end"/>
      </w:r>
      <w:r w:rsidR="009F47EE" w:rsidRPr="000635BB">
        <w:rPr>
          <w:rFonts w:eastAsia="Aptos" w:cs="Arial"/>
          <w:color w:val="000000"/>
          <w:kern w:val="2"/>
          <w:sz w:val="20"/>
          <w:szCs w:val="20"/>
          <w:lang w:val="en-GB"/>
        </w:rPr>
        <w:t xml:space="preserve"> </w:t>
      </w:r>
      <w:r w:rsidR="009F47EE" w:rsidRPr="000635BB">
        <w:rPr>
          <w:rFonts w:eastAsia="Aptos" w:cs="Arial"/>
          <w:color w:val="000000"/>
          <w:kern w:val="2"/>
          <w:sz w:val="20"/>
          <w:szCs w:val="20"/>
        </w:rPr>
        <w:t>as a candidate gene for stem pith thickness</w:t>
      </w:r>
      <w:r w:rsidR="005C5D08" w:rsidRPr="000635BB">
        <w:rPr>
          <w:rFonts w:eastAsia="Aptos" w:cs="Arial"/>
          <w:color w:val="000000"/>
          <w:kern w:val="2"/>
          <w:sz w:val="20"/>
          <w:szCs w:val="20"/>
        </w:rPr>
        <w:t>.</w:t>
      </w:r>
    </w:p>
    <w:p w14:paraId="6E1871B9" w14:textId="77777777" w:rsidR="00EC0C75" w:rsidRPr="00F526E1" w:rsidRDefault="00EC0C75" w:rsidP="0003529B">
      <w:pPr>
        <w:pStyle w:val="NormalWeb"/>
        <w:spacing w:before="0" w:beforeAutospacing="0" w:after="0" w:afterAutospacing="0" w:line="256" w:lineRule="auto"/>
        <w:jc w:val="both"/>
      </w:pPr>
    </w:p>
    <w:p w14:paraId="4EB98A60" w14:textId="77777777" w:rsidR="00EC0C75" w:rsidRPr="00F526E1" w:rsidRDefault="00EC0C75" w:rsidP="0003529B">
      <w:pPr>
        <w:pStyle w:val="NormalWeb"/>
        <w:spacing w:before="0" w:beforeAutospacing="0" w:after="0" w:afterAutospacing="0" w:line="256" w:lineRule="auto"/>
        <w:jc w:val="both"/>
      </w:pPr>
    </w:p>
    <w:p w14:paraId="4CBA71B1" w14:textId="57CD8FAE" w:rsidR="008E1F81" w:rsidRPr="006F6D76" w:rsidRDefault="008E1F81" w:rsidP="00267BB5">
      <w:pPr>
        <w:pStyle w:val="NormalWeb"/>
        <w:spacing w:before="0" w:beforeAutospacing="0" w:after="160" w:afterAutospacing="0" w:line="256" w:lineRule="auto"/>
        <w:jc w:val="both"/>
        <w:rPr>
          <w:b/>
          <w:bCs/>
          <w:sz w:val="28"/>
          <w:szCs w:val="28"/>
          <w:lang w:val="es-ES_tradnl"/>
        </w:rPr>
      </w:pPr>
      <w:r w:rsidRPr="006F6D76">
        <w:rPr>
          <w:b/>
          <w:bCs/>
          <w:sz w:val="28"/>
          <w:szCs w:val="28"/>
          <w:lang w:val="es-ES_tradnl"/>
        </w:rPr>
        <w:t>Reference</w:t>
      </w:r>
      <w:r w:rsidR="00DC4F53">
        <w:rPr>
          <w:b/>
          <w:bCs/>
          <w:sz w:val="28"/>
          <w:szCs w:val="28"/>
          <w:lang w:val="es-ES_tradnl"/>
        </w:rPr>
        <w:t>s</w:t>
      </w:r>
    </w:p>
    <w:p w14:paraId="3B9973DD" w14:textId="5DE302EC" w:rsidR="00EC0C75" w:rsidRPr="00CE5316" w:rsidRDefault="00EC0C75" w:rsidP="00F526E1">
      <w:pPr>
        <w:pStyle w:val="Bibliography"/>
        <w:bidi w:val="0"/>
        <w:spacing w:after="0" w:line="360" w:lineRule="auto"/>
        <w:ind w:left="284" w:hanging="284"/>
        <w:jc w:val="both"/>
        <w:rPr>
          <w:rFonts w:ascii="Times New Roman" w:hAnsi="Times New Roman" w:cs="Times New Roman"/>
          <w:sz w:val="24"/>
          <w:szCs w:val="24"/>
        </w:rPr>
      </w:pPr>
      <w:r w:rsidRPr="00CE5316">
        <w:rPr>
          <w:rFonts w:ascii="Times New Roman" w:hAnsi="Times New Roman" w:cs="Times New Roman"/>
          <w:b/>
          <w:bCs/>
          <w:sz w:val="24"/>
          <w:szCs w:val="24"/>
          <w:lang w:val="en-GB"/>
        </w:rPr>
        <w:fldChar w:fldCharType="begin"/>
      </w:r>
      <w:r w:rsidRPr="00CE5316">
        <w:rPr>
          <w:rFonts w:ascii="Times New Roman" w:hAnsi="Times New Roman" w:cs="Times New Roman"/>
          <w:b/>
          <w:bCs/>
          <w:sz w:val="24"/>
          <w:szCs w:val="24"/>
          <w:lang w:val="en-GB"/>
        </w:rPr>
        <w:instrText xml:space="preserve"> ADDIN ZOTERO_BIBL {"uncited":[],"omitted":[],"custom":[]} CSL_BIBLIOGRAPHY </w:instrText>
      </w:r>
      <w:r w:rsidRPr="00CE5316">
        <w:rPr>
          <w:rFonts w:ascii="Times New Roman" w:hAnsi="Times New Roman" w:cs="Times New Roman"/>
          <w:b/>
          <w:bCs/>
          <w:sz w:val="24"/>
          <w:szCs w:val="24"/>
          <w:lang w:val="en-GB"/>
        </w:rPr>
        <w:fldChar w:fldCharType="separate"/>
      </w:r>
      <w:r w:rsidRPr="00CE5316">
        <w:rPr>
          <w:rFonts w:ascii="Times New Roman" w:hAnsi="Times New Roman" w:cs="Times New Roman"/>
          <w:sz w:val="24"/>
          <w:szCs w:val="24"/>
        </w:rPr>
        <w:t>Liu Q, Zhao Y, Rahman S, et al</w:t>
      </w:r>
      <w:r w:rsidR="007205C2">
        <w:rPr>
          <w:rFonts w:ascii="Times New Roman" w:hAnsi="Times New Roman" w:cs="Times New Roman"/>
          <w:sz w:val="24"/>
          <w:szCs w:val="24"/>
        </w:rPr>
        <w:t>.</w:t>
      </w:r>
      <w:r w:rsidRPr="00CE5316">
        <w:rPr>
          <w:rFonts w:ascii="Times New Roman" w:hAnsi="Times New Roman" w:cs="Times New Roman"/>
          <w:sz w:val="24"/>
          <w:szCs w:val="24"/>
        </w:rPr>
        <w:t xml:space="preserve"> (2023) The putative vacuolar processing enzyme gene </w:t>
      </w:r>
      <w:r w:rsidRPr="00CE5316">
        <w:rPr>
          <w:rFonts w:ascii="Times New Roman" w:hAnsi="Times New Roman" w:cs="Times New Roman"/>
          <w:i/>
          <w:iCs/>
          <w:sz w:val="24"/>
          <w:szCs w:val="24"/>
        </w:rPr>
        <w:t>TaVPE3cB</w:t>
      </w:r>
      <w:r w:rsidRPr="00CE5316">
        <w:rPr>
          <w:rFonts w:ascii="Times New Roman" w:hAnsi="Times New Roman" w:cs="Times New Roman"/>
          <w:sz w:val="24"/>
          <w:szCs w:val="24"/>
        </w:rPr>
        <w:t xml:space="preserve"> is a candidate gene for wheat stem pith-thickness. Theor Appl Genet 136:138. https://doi.org/10.1007/s00122-023-04372-4</w:t>
      </w:r>
    </w:p>
    <w:p w14:paraId="08FEB876" w14:textId="6D17D105" w:rsidR="00EC0C75" w:rsidRDefault="00EC0C75" w:rsidP="00F526E1">
      <w:pPr>
        <w:pStyle w:val="Bibliography"/>
        <w:bidi w:val="0"/>
        <w:spacing w:after="0" w:line="360" w:lineRule="auto"/>
        <w:ind w:left="284" w:hanging="284"/>
        <w:jc w:val="both"/>
        <w:rPr>
          <w:rFonts w:ascii="Times New Roman" w:hAnsi="Times New Roman" w:cs="Times New Roman"/>
          <w:sz w:val="24"/>
          <w:szCs w:val="24"/>
        </w:rPr>
      </w:pPr>
      <w:r w:rsidRPr="00CE5316">
        <w:rPr>
          <w:rFonts w:ascii="Times New Roman" w:hAnsi="Times New Roman" w:cs="Times New Roman"/>
          <w:sz w:val="24"/>
          <w:szCs w:val="24"/>
        </w:rPr>
        <w:t>Nilsen KT, Walkowiak S, Xiang D, et al</w:t>
      </w:r>
      <w:r w:rsidR="007205C2">
        <w:rPr>
          <w:rFonts w:ascii="Times New Roman" w:hAnsi="Times New Roman" w:cs="Times New Roman"/>
          <w:sz w:val="24"/>
          <w:szCs w:val="24"/>
        </w:rPr>
        <w:t>.</w:t>
      </w:r>
      <w:r w:rsidRPr="00CE5316">
        <w:rPr>
          <w:rFonts w:ascii="Times New Roman" w:hAnsi="Times New Roman" w:cs="Times New Roman"/>
          <w:sz w:val="24"/>
          <w:szCs w:val="24"/>
        </w:rPr>
        <w:t xml:space="preserve"> (2020) Copy number variation of </w:t>
      </w:r>
      <w:r w:rsidRPr="00CE5316">
        <w:rPr>
          <w:rFonts w:ascii="Times New Roman" w:hAnsi="Times New Roman" w:cs="Times New Roman"/>
          <w:i/>
          <w:iCs/>
          <w:sz w:val="24"/>
          <w:szCs w:val="24"/>
        </w:rPr>
        <w:t>TdDof</w:t>
      </w:r>
      <w:r w:rsidRPr="00CE5316">
        <w:rPr>
          <w:rFonts w:ascii="Times New Roman" w:hAnsi="Times New Roman" w:cs="Times New Roman"/>
          <w:sz w:val="24"/>
          <w:szCs w:val="24"/>
        </w:rPr>
        <w:t xml:space="preserve"> controls solid-stemmed architecture in wheat. Proc Natl Acad Sci </w:t>
      </w:r>
      <w:r w:rsidR="007205C2">
        <w:rPr>
          <w:rFonts w:ascii="Times New Roman" w:hAnsi="Times New Roman" w:cs="Times New Roman"/>
          <w:sz w:val="24"/>
          <w:szCs w:val="24"/>
        </w:rPr>
        <w:t xml:space="preserve">USA </w:t>
      </w:r>
      <w:r w:rsidRPr="00CE5316">
        <w:rPr>
          <w:rFonts w:ascii="Times New Roman" w:hAnsi="Times New Roman" w:cs="Times New Roman"/>
          <w:sz w:val="24"/>
          <w:szCs w:val="24"/>
        </w:rPr>
        <w:t>117:28708</w:t>
      </w:r>
      <w:r w:rsidR="007205C2">
        <w:rPr>
          <w:rFonts w:ascii="Times New Roman" w:hAnsi="Times New Roman" w:cs="Times New Roman"/>
          <w:sz w:val="24"/>
          <w:szCs w:val="24"/>
        </w:rPr>
        <w:t>-</w:t>
      </w:r>
      <w:r w:rsidRPr="00CE5316">
        <w:rPr>
          <w:rFonts w:ascii="Times New Roman" w:hAnsi="Times New Roman" w:cs="Times New Roman"/>
          <w:sz w:val="24"/>
          <w:szCs w:val="24"/>
        </w:rPr>
        <w:t>28718. https://doi.org/10.1073/pnas.2009418117</w:t>
      </w:r>
    </w:p>
    <w:p w14:paraId="1BC21555" w14:textId="77777777" w:rsidR="00125C3A" w:rsidRPr="00125C3A" w:rsidRDefault="00125C3A" w:rsidP="00C5537C">
      <w:pPr>
        <w:bidi w:val="0"/>
        <w:spacing w:after="120" w:line="240" w:lineRule="auto"/>
      </w:pPr>
    </w:p>
    <w:p w14:paraId="6E7BCCDF" w14:textId="6A50152D" w:rsidR="00231C2B" w:rsidRPr="00703657" w:rsidRDefault="00EC0C75" w:rsidP="00C5537C">
      <w:pPr>
        <w:pStyle w:val="NormalWeb"/>
        <w:spacing w:before="0" w:beforeAutospacing="0" w:after="120" w:afterAutospacing="0"/>
        <w:jc w:val="both"/>
        <w:rPr>
          <w:b/>
          <w:bCs/>
          <w:sz w:val="20"/>
          <w:szCs w:val="20"/>
          <w:lang w:val="en-GB"/>
        </w:rPr>
      </w:pPr>
      <w:r w:rsidRPr="00CE5316">
        <w:rPr>
          <w:b/>
          <w:bCs/>
          <w:lang w:val="en-GB"/>
        </w:rPr>
        <w:fldChar w:fldCharType="end"/>
      </w:r>
    </w:p>
    <w:sectPr w:rsidR="00231C2B" w:rsidRPr="00703657" w:rsidSect="009666D4">
      <w:pgSz w:w="11906" w:h="16838" w:code="9"/>
      <w:pgMar w:top="1440" w:right="1800" w:bottom="1440" w:left="1800" w:header="709" w:footer="709"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cwMjI1MbM0NjMzMDZQ0lEKTi0uzszPAymwqAUAeHFbiiwAAAA="/>
  </w:docVars>
  <w:rsids>
    <w:rsidRoot w:val="003A3910"/>
    <w:rsid w:val="00007E93"/>
    <w:rsid w:val="00024234"/>
    <w:rsid w:val="0003529B"/>
    <w:rsid w:val="00045592"/>
    <w:rsid w:val="0006119F"/>
    <w:rsid w:val="000635BB"/>
    <w:rsid w:val="0007405C"/>
    <w:rsid w:val="00074AA6"/>
    <w:rsid w:val="00083040"/>
    <w:rsid w:val="000A41F2"/>
    <w:rsid w:val="000D678F"/>
    <w:rsid w:val="000F3CD2"/>
    <w:rsid w:val="000F4B56"/>
    <w:rsid w:val="0010262F"/>
    <w:rsid w:val="00112DA7"/>
    <w:rsid w:val="00113AFA"/>
    <w:rsid w:val="0011737C"/>
    <w:rsid w:val="00125C3A"/>
    <w:rsid w:val="00136F4E"/>
    <w:rsid w:val="00136F65"/>
    <w:rsid w:val="001567B3"/>
    <w:rsid w:val="00173D6A"/>
    <w:rsid w:val="0017417A"/>
    <w:rsid w:val="00177CAF"/>
    <w:rsid w:val="00180FFC"/>
    <w:rsid w:val="00185D9B"/>
    <w:rsid w:val="001937D3"/>
    <w:rsid w:val="00193CEF"/>
    <w:rsid w:val="0019698D"/>
    <w:rsid w:val="001A2E27"/>
    <w:rsid w:val="001A487C"/>
    <w:rsid w:val="001B1780"/>
    <w:rsid w:val="001D3F20"/>
    <w:rsid w:val="001D4E48"/>
    <w:rsid w:val="00202FEF"/>
    <w:rsid w:val="00203A74"/>
    <w:rsid w:val="00212C26"/>
    <w:rsid w:val="00213583"/>
    <w:rsid w:val="00216CB8"/>
    <w:rsid w:val="00231C2B"/>
    <w:rsid w:val="00236B04"/>
    <w:rsid w:val="0024424B"/>
    <w:rsid w:val="00250D3D"/>
    <w:rsid w:val="002548DF"/>
    <w:rsid w:val="00265812"/>
    <w:rsid w:val="002663DB"/>
    <w:rsid w:val="00267BB5"/>
    <w:rsid w:val="00277F45"/>
    <w:rsid w:val="002812D5"/>
    <w:rsid w:val="002B4015"/>
    <w:rsid w:val="002D3626"/>
    <w:rsid w:val="002D5325"/>
    <w:rsid w:val="002F531B"/>
    <w:rsid w:val="002F6F99"/>
    <w:rsid w:val="002F796C"/>
    <w:rsid w:val="00325ECD"/>
    <w:rsid w:val="00337653"/>
    <w:rsid w:val="00350D2F"/>
    <w:rsid w:val="00350ED6"/>
    <w:rsid w:val="0036157A"/>
    <w:rsid w:val="00361E29"/>
    <w:rsid w:val="003627C9"/>
    <w:rsid w:val="00374EB1"/>
    <w:rsid w:val="0037774E"/>
    <w:rsid w:val="0039632B"/>
    <w:rsid w:val="003A0ECB"/>
    <w:rsid w:val="003A19C0"/>
    <w:rsid w:val="003A3910"/>
    <w:rsid w:val="003A6249"/>
    <w:rsid w:val="003C6CFB"/>
    <w:rsid w:val="003E195E"/>
    <w:rsid w:val="003F1911"/>
    <w:rsid w:val="003F3F68"/>
    <w:rsid w:val="003F43FA"/>
    <w:rsid w:val="00424D59"/>
    <w:rsid w:val="00434693"/>
    <w:rsid w:val="004365EB"/>
    <w:rsid w:val="00436892"/>
    <w:rsid w:val="00437B58"/>
    <w:rsid w:val="00442875"/>
    <w:rsid w:val="004477A1"/>
    <w:rsid w:val="004540A0"/>
    <w:rsid w:val="00454DC6"/>
    <w:rsid w:val="00465C3E"/>
    <w:rsid w:val="0047114D"/>
    <w:rsid w:val="00475388"/>
    <w:rsid w:val="004909B8"/>
    <w:rsid w:val="00491C20"/>
    <w:rsid w:val="00496933"/>
    <w:rsid w:val="004B632C"/>
    <w:rsid w:val="004C7AD4"/>
    <w:rsid w:val="004E0EFD"/>
    <w:rsid w:val="004F6FBF"/>
    <w:rsid w:val="00530EAC"/>
    <w:rsid w:val="00533564"/>
    <w:rsid w:val="00534B4C"/>
    <w:rsid w:val="0053645D"/>
    <w:rsid w:val="0054559A"/>
    <w:rsid w:val="0055330B"/>
    <w:rsid w:val="0056432A"/>
    <w:rsid w:val="00581B58"/>
    <w:rsid w:val="005878A7"/>
    <w:rsid w:val="005A729A"/>
    <w:rsid w:val="005B05CF"/>
    <w:rsid w:val="005C5D08"/>
    <w:rsid w:val="005D1F0D"/>
    <w:rsid w:val="005F175C"/>
    <w:rsid w:val="005F1CFA"/>
    <w:rsid w:val="005F572F"/>
    <w:rsid w:val="00605FA9"/>
    <w:rsid w:val="00621D01"/>
    <w:rsid w:val="00630CDA"/>
    <w:rsid w:val="0063169F"/>
    <w:rsid w:val="006324B5"/>
    <w:rsid w:val="0064254F"/>
    <w:rsid w:val="00642C8A"/>
    <w:rsid w:val="006443E7"/>
    <w:rsid w:val="006533DC"/>
    <w:rsid w:val="006854C4"/>
    <w:rsid w:val="00692543"/>
    <w:rsid w:val="006A060D"/>
    <w:rsid w:val="006A5C91"/>
    <w:rsid w:val="006C067B"/>
    <w:rsid w:val="006C5BE0"/>
    <w:rsid w:val="006C6234"/>
    <w:rsid w:val="006E34FF"/>
    <w:rsid w:val="006F6D76"/>
    <w:rsid w:val="00703657"/>
    <w:rsid w:val="00715607"/>
    <w:rsid w:val="007205C2"/>
    <w:rsid w:val="00732467"/>
    <w:rsid w:val="0075253F"/>
    <w:rsid w:val="00765844"/>
    <w:rsid w:val="007830B5"/>
    <w:rsid w:val="007B0330"/>
    <w:rsid w:val="007E2BD7"/>
    <w:rsid w:val="007E3024"/>
    <w:rsid w:val="007E6237"/>
    <w:rsid w:val="007F053C"/>
    <w:rsid w:val="007F4935"/>
    <w:rsid w:val="00803BD9"/>
    <w:rsid w:val="00814CD7"/>
    <w:rsid w:val="00817A67"/>
    <w:rsid w:val="00820880"/>
    <w:rsid w:val="00826DF6"/>
    <w:rsid w:val="00830E20"/>
    <w:rsid w:val="008313BB"/>
    <w:rsid w:val="00843314"/>
    <w:rsid w:val="00852F64"/>
    <w:rsid w:val="00877ACD"/>
    <w:rsid w:val="00884C08"/>
    <w:rsid w:val="008B5441"/>
    <w:rsid w:val="008D4664"/>
    <w:rsid w:val="008D4C2F"/>
    <w:rsid w:val="008E1F81"/>
    <w:rsid w:val="00900A12"/>
    <w:rsid w:val="00914EC4"/>
    <w:rsid w:val="00940EE1"/>
    <w:rsid w:val="00944680"/>
    <w:rsid w:val="00955070"/>
    <w:rsid w:val="009666D4"/>
    <w:rsid w:val="00982BBC"/>
    <w:rsid w:val="009B461F"/>
    <w:rsid w:val="009B6F3E"/>
    <w:rsid w:val="009D48E6"/>
    <w:rsid w:val="009E23AC"/>
    <w:rsid w:val="009F47EE"/>
    <w:rsid w:val="00A00146"/>
    <w:rsid w:val="00A05606"/>
    <w:rsid w:val="00A2455D"/>
    <w:rsid w:val="00A3004D"/>
    <w:rsid w:val="00A31366"/>
    <w:rsid w:val="00A43BC1"/>
    <w:rsid w:val="00A61AC1"/>
    <w:rsid w:val="00A6468E"/>
    <w:rsid w:val="00A70028"/>
    <w:rsid w:val="00A73302"/>
    <w:rsid w:val="00A76530"/>
    <w:rsid w:val="00A8250B"/>
    <w:rsid w:val="00A87FEB"/>
    <w:rsid w:val="00AA062A"/>
    <w:rsid w:val="00AC4A2F"/>
    <w:rsid w:val="00AD4886"/>
    <w:rsid w:val="00AF3DC0"/>
    <w:rsid w:val="00B0769B"/>
    <w:rsid w:val="00B22CC2"/>
    <w:rsid w:val="00B429BD"/>
    <w:rsid w:val="00B61137"/>
    <w:rsid w:val="00B7408C"/>
    <w:rsid w:val="00B81725"/>
    <w:rsid w:val="00B87587"/>
    <w:rsid w:val="00B94E3F"/>
    <w:rsid w:val="00BB5749"/>
    <w:rsid w:val="00BF1023"/>
    <w:rsid w:val="00C01688"/>
    <w:rsid w:val="00C03C27"/>
    <w:rsid w:val="00C06BE6"/>
    <w:rsid w:val="00C10A4E"/>
    <w:rsid w:val="00C27090"/>
    <w:rsid w:val="00C329F6"/>
    <w:rsid w:val="00C34DF6"/>
    <w:rsid w:val="00C40825"/>
    <w:rsid w:val="00C45071"/>
    <w:rsid w:val="00C5537C"/>
    <w:rsid w:val="00C5781B"/>
    <w:rsid w:val="00C61497"/>
    <w:rsid w:val="00C77E50"/>
    <w:rsid w:val="00C830DC"/>
    <w:rsid w:val="00C83A13"/>
    <w:rsid w:val="00CA2709"/>
    <w:rsid w:val="00CB50D7"/>
    <w:rsid w:val="00CD7CB3"/>
    <w:rsid w:val="00CE2BE1"/>
    <w:rsid w:val="00CE5316"/>
    <w:rsid w:val="00CF505C"/>
    <w:rsid w:val="00CF5D21"/>
    <w:rsid w:val="00D038CD"/>
    <w:rsid w:val="00D11082"/>
    <w:rsid w:val="00D265FC"/>
    <w:rsid w:val="00D573A3"/>
    <w:rsid w:val="00D57EAF"/>
    <w:rsid w:val="00D7126F"/>
    <w:rsid w:val="00D72AE2"/>
    <w:rsid w:val="00DC4F53"/>
    <w:rsid w:val="00DD5133"/>
    <w:rsid w:val="00DE27F1"/>
    <w:rsid w:val="00DF04FB"/>
    <w:rsid w:val="00E015DD"/>
    <w:rsid w:val="00E041CE"/>
    <w:rsid w:val="00E47F69"/>
    <w:rsid w:val="00E51825"/>
    <w:rsid w:val="00E54D0D"/>
    <w:rsid w:val="00E570E2"/>
    <w:rsid w:val="00E65FDE"/>
    <w:rsid w:val="00E7414D"/>
    <w:rsid w:val="00E74CBD"/>
    <w:rsid w:val="00E75594"/>
    <w:rsid w:val="00E8373A"/>
    <w:rsid w:val="00E93A1D"/>
    <w:rsid w:val="00E94897"/>
    <w:rsid w:val="00EB11DD"/>
    <w:rsid w:val="00EB1571"/>
    <w:rsid w:val="00EC0C75"/>
    <w:rsid w:val="00EC4168"/>
    <w:rsid w:val="00EC636A"/>
    <w:rsid w:val="00EE35F1"/>
    <w:rsid w:val="00F00EC6"/>
    <w:rsid w:val="00F136A5"/>
    <w:rsid w:val="00F13730"/>
    <w:rsid w:val="00F139F3"/>
    <w:rsid w:val="00F162A0"/>
    <w:rsid w:val="00F40846"/>
    <w:rsid w:val="00F41A5A"/>
    <w:rsid w:val="00F42910"/>
    <w:rsid w:val="00F443B3"/>
    <w:rsid w:val="00F50F27"/>
    <w:rsid w:val="00F526E1"/>
    <w:rsid w:val="00F67DC1"/>
    <w:rsid w:val="00F72031"/>
    <w:rsid w:val="00F80DB7"/>
    <w:rsid w:val="00F9342A"/>
    <w:rsid w:val="00FB01C2"/>
    <w:rsid w:val="00FC5FCB"/>
    <w:rsid w:val="00FE4673"/>
    <w:rsid w:val="00FE6D9A"/>
    <w:rsid w:val="00FE713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90489B"/>
  <w15:chartTrackingRefBased/>
  <w15:docId w15:val="{0809B1B4-BB8E-4A53-905E-B38FF50A0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30B5"/>
    <w:pPr>
      <w:bidi/>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A3910"/>
    <w:pPr>
      <w:bidi/>
      <w:spacing w:after="0" w:line="240" w:lineRule="auto"/>
    </w:pPr>
    <w:rPr>
      <w:rFonts w:ascii="Calibri" w:eastAsia="Calibri" w:hAnsi="Calibri" w:cs="Arial"/>
      <w:kern w:val="0"/>
      <w14:ligatures w14:val="none"/>
    </w:rPr>
  </w:style>
  <w:style w:type="character" w:styleId="LineNumber">
    <w:name w:val="line number"/>
    <w:basedOn w:val="DefaultParagraphFont"/>
    <w:uiPriority w:val="99"/>
    <w:semiHidden/>
    <w:unhideWhenUsed/>
    <w:rsid w:val="003A3910"/>
  </w:style>
  <w:style w:type="paragraph" w:styleId="NormalWeb">
    <w:name w:val="Normal (Web)"/>
    <w:basedOn w:val="Normal"/>
    <w:uiPriority w:val="99"/>
    <w:semiHidden/>
    <w:unhideWhenUsed/>
    <w:rsid w:val="00267BB5"/>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sl-entry">
    <w:name w:val="csl-entry"/>
    <w:basedOn w:val="DefaultParagraphFont"/>
    <w:rsid w:val="00231C2B"/>
  </w:style>
  <w:style w:type="character" w:styleId="Hyperlink">
    <w:name w:val="Hyperlink"/>
    <w:basedOn w:val="DefaultParagraphFont"/>
    <w:uiPriority w:val="99"/>
    <w:unhideWhenUsed/>
    <w:rsid w:val="00180FFC"/>
    <w:rPr>
      <w:color w:val="0563C1" w:themeColor="hyperlink"/>
      <w:u w:val="single"/>
    </w:rPr>
  </w:style>
  <w:style w:type="character" w:customStyle="1" w:styleId="UnresolvedMention1">
    <w:name w:val="Unresolved Mention1"/>
    <w:basedOn w:val="DefaultParagraphFont"/>
    <w:uiPriority w:val="99"/>
    <w:semiHidden/>
    <w:unhideWhenUsed/>
    <w:rsid w:val="00180FFC"/>
    <w:rPr>
      <w:color w:val="605E5C"/>
      <w:shd w:val="clear" w:color="auto" w:fill="E1DFDD"/>
    </w:rPr>
  </w:style>
  <w:style w:type="paragraph" w:styleId="Bibliography">
    <w:name w:val="Bibliography"/>
    <w:basedOn w:val="Normal"/>
    <w:next w:val="Normal"/>
    <w:uiPriority w:val="37"/>
    <w:unhideWhenUsed/>
    <w:rsid w:val="008D4664"/>
  </w:style>
  <w:style w:type="character" w:styleId="CommentReference">
    <w:name w:val="annotation reference"/>
    <w:basedOn w:val="DefaultParagraphFont"/>
    <w:uiPriority w:val="99"/>
    <w:semiHidden/>
    <w:unhideWhenUsed/>
    <w:rsid w:val="00A05606"/>
    <w:rPr>
      <w:sz w:val="16"/>
      <w:szCs w:val="16"/>
    </w:rPr>
  </w:style>
  <w:style w:type="paragraph" w:styleId="CommentText">
    <w:name w:val="annotation text"/>
    <w:basedOn w:val="Normal"/>
    <w:link w:val="CommentTextChar"/>
    <w:uiPriority w:val="99"/>
    <w:semiHidden/>
    <w:unhideWhenUsed/>
    <w:rsid w:val="00A05606"/>
    <w:pPr>
      <w:spacing w:line="240" w:lineRule="auto"/>
    </w:pPr>
    <w:rPr>
      <w:sz w:val="20"/>
      <w:szCs w:val="20"/>
    </w:rPr>
  </w:style>
  <w:style w:type="character" w:customStyle="1" w:styleId="CommentTextChar">
    <w:name w:val="Comment Text Char"/>
    <w:basedOn w:val="DefaultParagraphFont"/>
    <w:link w:val="CommentText"/>
    <w:uiPriority w:val="99"/>
    <w:semiHidden/>
    <w:rsid w:val="00A05606"/>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05606"/>
    <w:rPr>
      <w:b/>
      <w:bCs/>
    </w:rPr>
  </w:style>
  <w:style w:type="character" w:customStyle="1" w:styleId="CommentSubjectChar">
    <w:name w:val="Comment Subject Char"/>
    <w:basedOn w:val="CommentTextChar"/>
    <w:link w:val="CommentSubject"/>
    <w:uiPriority w:val="99"/>
    <w:semiHidden/>
    <w:rsid w:val="00A05606"/>
    <w:rPr>
      <w:b/>
      <w:bCs/>
      <w:kern w:val="0"/>
      <w:sz w:val="20"/>
      <w:szCs w:val="20"/>
      <w14:ligatures w14:val="none"/>
    </w:rPr>
  </w:style>
  <w:style w:type="paragraph" w:styleId="Revision">
    <w:name w:val="Revision"/>
    <w:hidden/>
    <w:uiPriority w:val="99"/>
    <w:semiHidden/>
    <w:rsid w:val="00177CAF"/>
    <w:pPr>
      <w:spacing w:after="0" w:line="240" w:lineRule="auto"/>
    </w:pPr>
    <w:rPr>
      <w:kern w:val="0"/>
      <w14:ligatures w14:val="none"/>
    </w:rPr>
  </w:style>
  <w:style w:type="paragraph" w:customStyle="1" w:styleId="AuthorList">
    <w:name w:val="Author List"/>
    <w:aliases w:val="Keywords,Abstract"/>
    <w:basedOn w:val="Subtitle"/>
    <w:next w:val="Normal"/>
    <w:uiPriority w:val="1"/>
    <w:qFormat/>
    <w:rsid w:val="00337653"/>
    <w:pPr>
      <w:numPr>
        <w:ilvl w:val="0"/>
      </w:numPr>
      <w:bidi w:val="0"/>
      <w:spacing w:before="240" w:after="240" w:line="240" w:lineRule="auto"/>
      <w:ind w:firstLine="284"/>
    </w:pPr>
    <w:rPr>
      <w:rFonts w:ascii="Times New Roman" w:eastAsia="Calibri" w:hAnsi="Times New Roman" w:cs="Times New Roman"/>
      <w:b/>
      <w:color w:val="auto"/>
      <w:spacing w:val="0"/>
      <w:sz w:val="24"/>
      <w:szCs w:val="24"/>
      <w:lang w:bidi="ar-SA"/>
    </w:rPr>
  </w:style>
  <w:style w:type="paragraph" w:styleId="Subtitle">
    <w:name w:val="Subtitle"/>
    <w:basedOn w:val="Normal"/>
    <w:next w:val="Normal"/>
    <w:link w:val="SubtitleChar"/>
    <w:uiPriority w:val="11"/>
    <w:qFormat/>
    <w:rsid w:val="0033765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37653"/>
    <w:rPr>
      <w:rFonts w:eastAsiaTheme="minorEastAsia"/>
      <w:color w:val="5A5A5A" w:themeColor="text1" w:themeTint="A5"/>
      <w:spacing w:val="15"/>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3683331">
      <w:bodyDiv w:val="1"/>
      <w:marLeft w:val="0"/>
      <w:marRight w:val="0"/>
      <w:marTop w:val="0"/>
      <w:marBottom w:val="0"/>
      <w:divBdr>
        <w:top w:val="none" w:sz="0" w:space="0" w:color="auto"/>
        <w:left w:val="none" w:sz="0" w:space="0" w:color="auto"/>
        <w:bottom w:val="none" w:sz="0" w:space="0" w:color="auto"/>
        <w:right w:val="none" w:sz="0" w:space="0" w:color="auto"/>
      </w:divBdr>
    </w:div>
    <w:div w:id="1111390381">
      <w:bodyDiv w:val="1"/>
      <w:marLeft w:val="0"/>
      <w:marRight w:val="0"/>
      <w:marTop w:val="0"/>
      <w:marBottom w:val="0"/>
      <w:divBdr>
        <w:top w:val="none" w:sz="0" w:space="0" w:color="auto"/>
        <w:left w:val="none" w:sz="0" w:space="0" w:color="auto"/>
        <w:bottom w:val="none" w:sz="0" w:space="0" w:color="auto"/>
        <w:right w:val="none" w:sz="0" w:space="0" w:color="auto"/>
      </w:divBdr>
    </w:div>
    <w:div w:id="176167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2A1C830B3EAAE548AC79B402A3F662E1" ma:contentTypeVersion="19" ma:contentTypeDescription="צור מסמך חדש." ma:contentTypeScope="" ma:versionID="dea71e2318aef5ee1b75551b5d9b316d">
  <xsd:schema xmlns:xsd="http://www.w3.org/2001/XMLSchema" xmlns:xs="http://www.w3.org/2001/XMLSchema" xmlns:p="http://schemas.microsoft.com/office/2006/metadata/properties" xmlns:ns1="http://schemas.microsoft.com/sharepoint/v3" xmlns:ns3="32d4a04c-ca15-4b5f-8c4b-ed3787a0e93d" xmlns:ns4="ceeaee53-a737-4e72-980c-02a7e50bda37" targetNamespace="http://schemas.microsoft.com/office/2006/metadata/properties" ma:root="true" ma:fieldsID="f10891add71a37ffc0e70aa90a0299ec" ns1:_="" ns3:_="" ns4:_="">
    <xsd:import namespace="http://schemas.microsoft.com/sharepoint/v3"/>
    <xsd:import namespace="32d4a04c-ca15-4b5f-8c4b-ed3787a0e93d"/>
    <xsd:import namespace="ceeaee53-a737-4e72-980c-02a7e50bda3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מאפייני מדיניות תאימות מאוחדת" ma:hidden="true" ma:internalName="_ip_UnifiedCompliancePolicyProperties">
      <xsd:simpleType>
        <xsd:restriction base="dms:Note"/>
      </xsd:simpleType>
    </xsd:element>
    <xsd:element name="_ip_UnifiedCompliancePolicyUIAction" ma:index="25" nillable="true" ma:displayName="פעולת ממשק משתמש של מדיניות תאימות מאוחדת"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d4a04c-ca15-4b5f-8c4b-ed3787a0e9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eaee53-a737-4e72-980c-02a7e50bda37" elementFormDefault="qualified">
    <xsd:import namespace="http://schemas.microsoft.com/office/2006/documentManagement/types"/>
    <xsd:import namespace="http://schemas.microsoft.com/office/infopath/2007/PartnerControls"/>
    <xsd:element name="SharedWithUsers" ma:index="1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משותף עם פרטים" ma:internalName="SharedWithDetails" ma:readOnly="true">
      <xsd:simpleType>
        <xsd:restriction base="dms:Note">
          <xsd:maxLength value="255"/>
        </xsd:restriction>
      </xsd:simpleType>
    </xsd:element>
    <xsd:element name="SharingHintHash" ma:index="20" nillable="true" ma:displayName="Hash של רמז לשיתוף"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32d4a04c-ca15-4b5f-8c4b-ed3787a0e93d" xsi:nil="true"/>
  </documentManagement>
</p:properties>
</file>

<file path=customXml/itemProps1.xml><?xml version="1.0" encoding="utf-8"?>
<ds:datastoreItem xmlns:ds="http://schemas.openxmlformats.org/officeDocument/2006/customXml" ds:itemID="{4899C88A-FD16-4E1D-AD6C-57C28D190EDC}">
  <ds:schemaRefs>
    <ds:schemaRef ds:uri="http://schemas.microsoft.com/sharepoint/v3/contenttype/forms"/>
  </ds:schemaRefs>
</ds:datastoreItem>
</file>

<file path=customXml/itemProps2.xml><?xml version="1.0" encoding="utf-8"?>
<ds:datastoreItem xmlns:ds="http://schemas.openxmlformats.org/officeDocument/2006/customXml" ds:itemID="{7DB46A53-7BC3-4FBF-9F16-1F9C7656F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2d4a04c-ca15-4b5f-8c4b-ed3787a0e93d"/>
    <ds:schemaRef ds:uri="ceeaee53-a737-4e72-980c-02a7e50bda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5C9C8B-F42F-41C8-96FE-E14B0BF016F6}">
  <ds:schemaRefs>
    <ds:schemaRef ds:uri="http://schemas.microsoft.com/office/2006/metadata/properties"/>
    <ds:schemaRef ds:uri="http://schemas.microsoft.com/office/infopath/2007/PartnerControls"/>
    <ds:schemaRef ds:uri="http://schemas.microsoft.com/sharepoint/v3"/>
    <ds:schemaRef ds:uri="32d4a04c-ca15-4b5f-8c4b-ed3787a0e93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365</Words>
  <Characters>9923</Characters>
  <Application>Microsoft Office Word</Application>
  <DocSecurity>0</DocSecurity>
  <Lines>82</Lines>
  <Paragraphs>20</Paragraphs>
  <ScaleCrop>false</ScaleCrop>
  <Company/>
  <LinksUpToDate>false</LinksUpToDate>
  <CharactersWithSpaces>10268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Simeon Ntawugurana</dc:creator>
  <cp:keywords/>
  <dc:description/>
  <cp:lastModifiedBy>Simeon Ntawugurana</cp:lastModifiedBy>
  <cp:revision>7</cp:revision>
  <dcterms:created xsi:type="dcterms:W3CDTF">2026-04-21T14:19:00Z</dcterms:created>
  <dcterms:modified xsi:type="dcterms:W3CDTF">2026-04-22T09:06:00Z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476e8da8-7138-4668-bb23-fdb4bb7f9347</vt:lpwstr>
  </property>
  <property fmtid="{D5CDD505-2E9C-101B-9397-08002B2CF9AE}" pid="3" name="ZOTERO_PREF_1">
    <vt:lpwstr>&lt;data data-version="3" zotero-version="8.0.4"&gt;&lt;session id="1MJoJJ1g"/&gt;&lt;style id="http://www.zotero.org/styles/theoretical-and-applied-genetics" hasBibliography="1" bibliographyStyleHasBeenSet="1"/&gt;&lt;prefs&gt;&lt;pref name="fieldType" value="Field"/&gt;&lt;pref name="a</vt:lpwstr>
  </property>
  <property fmtid="{D5CDD505-2E9C-101B-9397-08002B2CF9AE}" pid="4" name="ZOTERO_PREF_2">
    <vt:lpwstr>utomaticJournalAbbreviations" value="true"/&gt;&lt;/prefs&gt;&lt;/data&gt;</vt:lpwstr>
  </property>
  <property fmtid="{D5CDD505-2E9C-101B-9397-08002B2CF9AE}" pid="5" name="ContentTypeId">
    <vt:lpwstr>0x0101002A1C830B3EAAE548AC79B402A3F662E1</vt:lpwstr>
  </property>
</Properties>
</file>