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E00D" w14:textId="77777777" w:rsidR="00F4158F" w:rsidRPr="00AD083E" w:rsidRDefault="00F4158F" w:rsidP="00F4158F">
      <w:pPr>
        <w:pStyle w:val="Tabperso"/>
        <w:ind w:left="0" w:right="0"/>
      </w:pPr>
      <w:bookmarkStart w:id="0" w:name="_Toc200399256"/>
      <w:r w:rsidRPr="00A6604D">
        <w:t xml:space="preserve">Table 1. Demographic characteristics, main comorbidities, </w:t>
      </w:r>
      <w:r>
        <w:t>SAPS II</w:t>
      </w:r>
      <w:r w:rsidRPr="00A6604D">
        <w:t xml:space="preserve"> and 24h SOFA score, main clinical </w:t>
      </w:r>
      <w:r w:rsidRPr="00AD083E">
        <w:t>characteristics at baseline and main clinical outcomes for the total population, survivors and nonsurvivors.</w:t>
      </w:r>
      <w:bookmarkEnd w:id="0"/>
      <w:r w:rsidRPr="00AD083E">
        <w:t xml:space="preserve"> </w:t>
      </w:r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2934"/>
        <w:gridCol w:w="1472"/>
        <w:gridCol w:w="1763"/>
        <w:gridCol w:w="2205"/>
        <w:gridCol w:w="976"/>
      </w:tblGrid>
      <w:tr w:rsidR="00F4158F" w:rsidRPr="00AD083E" w14:paraId="38CDBF0A" w14:textId="77777777" w:rsidTr="00224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569" w:type="pct"/>
            <w:shd w:val="clear" w:color="auto" w:fill="D1D1D1" w:themeFill="background2" w:themeFillShade="E6"/>
          </w:tcPr>
          <w:p w14:paraId="31EC2CC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Aptos" w:hAnsi="Aptos"/>
                <w:sz w:val="19"/>
                <w:szCs w:val="19"/>
                <w:lang w:val="en-US"/>
              </w:rPr>
            </w:pPr>
          </w:p>
        </w:tc>
        <w:tc>
          <w:tcPr>
            <w:tcW w:w="787" w:type="pct"/>
            <w:shd w:val="clear" w:color="auto" w:fill="D1D1D1" w:themeFill="background2" w:themeFillShade="E6"/>
          </w:tcPr>
          <w:p w14:paraId="4C7F019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9"/>
                <w:szCs w:val="19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9"/>
                <w:szCs w:val="19"/>
                <w:lang w:val="en-US"/>
              </w:rPr>
              <w:t>Total (n = 94)</w:t>
            </w:r>
          </w:p>
        </w:tc>
        <w:tc>
          <w:tcPr>
            <w:tcW w:w="943" w:type="pct"/>
            <w:shd w:val="clear" w:color="auto" w:fill="D1D1D1" w:themeFill="background2" w:themeFillShade="E6"/>
          </w:tcPr>
          <w:p w14:paraId="3F6D179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9"/>
                <w:szCs w:val="19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9"/>
                <w:szCs w:val="19"/>
                <w:lang w:val="en-US"/>
              </w:rPr>
              <w:t>Survivor (n= 72)</w:t>
            </w:r>
          </w:p>
        </w:tc>
        <w:tc>
          <w:tcPr>
            <w:tcW w:w="1179" w:type="pct"/>
            <w:shd w:val="clear" w:color="auto" w:fill="D1D1D1" w:themeFill="background2" w:themeFillShade="E6"/>
          </w:tcPr>
          <w:p w14:paraId="572F8B05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0"/>
              <w:jc w:val="center"/>
              <w:rPr>
                <w:rFonts w:ascii="Aptos" w:hAnsi="Aptos"/>
                <w:sz w:val="19"/>
                <w:szCs w:val="19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9"/>
                <w:szCs w:val="19"/>
                <w:lang w:val="en-US"/>
              </w:rPr>
              <w:t>Nonsurvivor (n = 22)</w:t>
            </w:r>
          </w:p>
        </w:tc>
        <w:tc>
          <w:tcPr>
            <w:tcW w:w="522" w:type="pct"/>
            <w:shd w:val="clear" w:color="auto" w:fill="D1D1D1" w:themeFill="background2" w:themeFillShade="E6"/>
          </w:tcPr>
          <w:p w14:paraId="55F5265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0"/>
              <w:jc w:val="center"/>
              <w:rPr>
                <w:rFonts w:ascii="Aptos" w:eastAsia="Helvetica" w:hAnsi="Aptos" w:cs="Helvetica"/>
                <w:color w:val="000000"/>
                <w:sz w:val="19"/>
                <w:szCs w:val="19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9"/>
                <w:szCs w:val="19"/>
                <w:lang w:val="en-US"/>
              </w:rPr>
              <w:t>p-val</w:t>
            </w:r>
          </w:p>
        </w:tc>
      </w:tr>
      <w:tr w:rsidR="00F4158F" w:rsidRPr="00AD083E" w14:paraId="6DDBA81D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569" w:type="pct"/>
          </w:tcPr>
          <w:p w14:paraId="4826A2C5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Age, mean (SD)</w:t>
            </w:r>
          </w:p>
        </w:tc>
        <w:tc>
          <w:tcPr>
            <w:tcW w:w="787" w:type="pct"/>
          </w:tcPr>
          <w:p w14:paraId="0D3F4BF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61 (16)</w:t>
            </w:r>
          </w:p>
        </w:tc>
        <w:tc>
          <w:tcPr>
            <w:tcW w:w="943" w:type="pct"/>
          </w:tcPr>
          <w:p w14:paraId="5052FC61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58 (16)</w:t>
            </w:r>
          </w:p>
        </w:tc>
        <w:tc>
          <w:tcPr>
            <w:tcW w:w="1179" w:type="pct"/>
          </w:tcPr>
          <w:p w14:paraId="1AA8FC6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69 (11)</w:t>
            </w:r>
          </w:p>
        </w:tc>
        <w:tc>
          <w:tcPr>
            <w:tcW w:w="522" w:type="pct"/>
          </w:tcPr>
          <w:p w14:paraId="5FE84CE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0.01</w:t>
            </w:r>
          </w:p>
        </w:tc>
      </w:tr>
      <w:tr w:rsidR="00F4158F" w:rsidRPr="00AD083E" w14:paraId="43CF76C1" w14:textId="77777777" w:rsidTr="00224B49">
        <w:trPr>
          <w:trHeight w:val="407"/>
        </w:trPr>
        <w:tc>
          <w:tcPr>
            <w:tcW w:w="1569" w:type="pct"/>
          </w:tcPr>
          <w:p w14:paraId="1ECD4B16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Male (%)</w:t>
            </w:r>
          </w:p>
        </w:tc>
        <w:tc>
          <w:tcPr>
            <w:tcW w:w="787" w:type="pct"/>
          </w:tcPr>
          <w:p w14:paraId="44C649D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49 (52.1)</w:t>
            </w:r>
          </w:p>
        </w:tc>
        <w:tc>
          <w:tcPr>
            <w:tcW w:w="943" w:type="pct"/>
          </w:tcPr>
          <w:p w14:paraId="060C3F9D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32 (44.4)</w:t>
            </w:r>
          </w:p>
        </w:tc>
        <w:tc>
          <w:tcPr>
            <w:tcW w:w="1179" w:type="pct"/>
          </w:tcPr>
          <w:p w14:paraId="1EF1107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17 (77.3)</w:t>
            </w:r>
          </w:p>
        </w:tc>
        <w:tc>
          <w:tcPr>
            <w:tcW w:w="522" w:type="pct"/>
          </w:tcPr>
          <w:p w14:paraId="2111D2C4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0.01</w:t>
            </w:r>
          </w:p>
        </w:tc>
      </w:tr>
      <w:tr w:rsidR="00F4158F" w:rsidRPr="00AD083E" w14:paraId="64FBAAFD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090BA3E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Admission diagnosis (%)</w:t>
            </w:r>
          </w:p>
        </w:tc>
        <w:tc>
          <w:tcPr>
            <w:tcW w:w="787" w:type="pct"/>
          </w:tcPr>
          <w:p w14:paraId="1E9AB97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943" w:type="pct"/>
          </w:tcPr>
          <w:p w14:paraId="30C90190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</w:tcPr>
          <w:p w14:paraId="2A4DBF2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522" w:type="pct"/>
          </w:tcPr>
          <w:p w14:paraId="03AB7D8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hAnsi="Aptos"/>
                <w:sz w:val="18"/>
                <w:szCs w:val="18"/>
                <w:lang w:val="en-US"/>
              </w:rPr>
              <w:t>0.40</w:t>
            </w:r>
          </w:p>
        </w:tc>
      </w:tr>
      <w:tr w:rsidR="00F4158F" w:rsidRPr="00AD083E" w14:paraId="286CA415" w14:textId="77777777" w:rsidTr="00224B49">
        <w:trPr>
          <w:trHeight w:val="407"/>
        </w:trPr>
        <w:tc>
          <w:tcPr>
            <w:tcW w:w="1569" w:type="pct"/>
          </w:tcPr>
          <w:p w14:paraId="25DB8AE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Acute brain injury (%)</w:t>
            </w:r>
          </w:p>
        </w:tc>
        <w:tc>
          <w:tcPr>
            <w:tcW w:w="787" w:type="pct"/>
          </w:tcPr>
          <w:p w14:paraId="726D3F7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39 (41.9)</w:t>
            </w:r>
          </w:p>
        </w:tc>
        <w:tc>
          <w:tcPr>
            <w:tcW w:w="943" w:type="pct"/>
          </w:tcPr>
          <w:p w14:paraId="6429DB14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33 (46.5)</w:t>
            </w:r>
          </w:p>
        </w:tc>
        <w:tc>
          <w:tcPr>
            <w:tcW w:w="1179" w:type="pct"/>
          </w:tcPr>
          <w:p w14:paraId="34C6767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6 (27.3)</w:t>
            </w:r>
          </w:p>
        </w:tc>
        <w:tc>
          <w:tcPr>
            <w:tcW w:w="522" w:type="pct"/>
          </w:tcPr>
          <w:p w14:paraId="3CBC8CA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F4158F" w:rsidRPr="00AD083E" w14:paraId="4604AEDE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6ADF830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Acute respiratory failure (%)</w:t>
            </w:r>
          </w:p>
        </w:tc>
        <w:tc>
          <w:tcPr>
            <w:tcW w:w="787" w:type="pct"/>
          </w:tcPr>
          <w:p w14:paraId="1BB3B09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8 ( 8.6)</w:t>
            </w:r>
          </w:p>
        </w:tc>
        <w:tc>
          <w:tcPr>
            <w:tcW w:w="943" w:type="pct"/>
          </w:tcPr>
          <w:p w14:paraId="578A581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6 ( 8.5)</w:t>
            </w:r>
          </w:p>
        </w:tc>
        <w:tc>
          <w:tcPr>
            <w:tcW w:w="1179" w:type="pct"/>
          </w:tcPr>
          <w:p w14:paraId="71632068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2 (9.1)</w:t>
            </w:r>
          </w:p>
        </w:tc>
        <w:tc>
          <w:tcPr>
            <w:tcW w:w="522" w:type="pct"/>
          </w:tcPr>
          <w:p w14:paraId="02DF27C0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F4158F" w:rsidRPr="00AD083E" w14:paraId="0A3D0E21" w14:textId="77777777" w:rsidTr="00224B49">
        <w:trPr>
          <w:trHeight w:val="420"/>
        </w:trPr>
        <w:tc>
          <w:tcPr>
            <w:tcW w:w="1569" w:type="pct"/>
          </w:tcPr>
          <w:p w14:paraId="3CB54461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Non-septic shock (%)</w:t>
            </w:r>
          </w:p>
        </w:tc>
        <w:tc>
          <w:tcPr>
            <w:tcW w:w="787" w:type="pct"/>
          </w:tcPr>
          <w:p w14:paraId="110D23E5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15 (16.1)</w:t>
            </w:r>
          </w:p>
        </w:tc>
        <w:tc>
          <w:tcPr>
            <w:tcW w:w="943" w:type="pct"/>
          </w:tcPr>
          <w:p w14:paraId="4026B5D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12 (16.9)</w:t>
            </w:r>
          </w:p>
        </w:tc>
        <w:tc>
          <w:tcPr>
            <w:tcW w:w="1179" w:type="pct"/>
          </w:tcPr>
          <w:p w14:paraId="281A2AE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 (13.6)</w:t>
            </w:r>
          </w:p>
        </w:tc>
        <w:tc>
          <w:tcPr>
            <w:tcW w:w="522" w:type="pct"/>
          </w:tcPr>
          <w:p w14:paraId="0EEBE1A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F4158F" w:rsidRPr="00AD083E" w14:paraId="77163216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6353B385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Sepsis and septic shock (%)</w:t>
            </w:r>
          </w:p>
        </w:tc>
        <w:tc>
          <w:tcPr>
            <w:tcW w:w="787" w:type="pct"/>
          </w:tcPr>
          <w:p w14:paraId="1D1AE39D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31 (33.3)</w:t>
            </w:r>
          </w:p>
        </w:tc>
        <w:tc>
          <w:tcPr>
            <w:tcW w:w="943" w:type="pct"/>
          </w:tcPr>
          <w:p w14:paraId="2B9ABFE6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20 (28.2)</w:t>
            </w:r>
          </w:p>
        </w:tc>
        <w:tc>
          <w:tcPr>
            <w:tcW w:w="1179" w:type="pct"/>
          </w:tcPr>
          <w:p w14:paraId="6AC0A76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11 (50.0)</w:t>
            </w:r>
          </w:p>
        </w:tc>
        <w:tc>
          <w:tcPr>
            <w:tcW w:w="522" w:type="pct"/>
          </w:tcPr>
          <w:p w14:paraId="7BE40EB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F4158F" w:rsidRPr="00AD083E" w14:paraId="2B67FC4A" w14:textId="77777777" w:rsidTr="00224B49">
        <w:trPr>
          <w:trHeight w:val="407"/>
        </w:trPr>
        <w:tc>
          <w:tcPr>
            <w:tcW w:w="1569" w:type="pct"/>
          </w:tcPr>
          <w:p w14:paraId="298C767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Hypertension (%)</w:t>
            </w:r>
          </w:p>
        </w:tc>
        <w:tc>
          <w:tcPr>
            <w:tcW w:w="787" w:type="pct"/>
          </w:tcPr>
          <w:p w14:paraId="0CAAAD66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40 (42.6)</w:t>
            </w:r>
          </w:p>
        </w:tc>
        <w:tc>
          <w:tcPr>
            <w:tcW w:w="943" w:type="pct"/>
          </w:tcPr>
          <w:p w14:paraId="0ACACB9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31 (43.1)</w:t>
            </w:r>
          </w:p>
        </w:tc>
        <w:tc>
          <w:tcPr>
            <w:tcW w:w="1179" w:type="pct"/>
          </w:tcPr>
          <w:p w14:paraId="20F04548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9 (40.9)</w:t>
            </w:r>
          </w:p>
        </w:tc>
        <w:tc>
          <w:tcPr>
            <w:tcW w:w="522" w:type="pct"/>
          </w:tcPr>
          <w:p w14:paraId="3C9E993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F4158F" w:rsidRPr="00AD083E" w14:paraId="5B981CDA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4F4676A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Diabetes (%)</w:t>
            </w:r>
          </w:p>
        </w:tc>
        <w:tc>
          <w:tcPr>
            <w:tcW w:w="787" w:type="pct"/>
          </w:tcPr>
          <w:p w14:paraId="5D42C15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19 (20.2)</w:t>
            </w:r>
          </w:p>
        </w:tc>
        <w:tc>
          <w:tcPr>
            <w:tcW w:w="943" w:type="pct"/>
          </w:tcPr>
          <w:p w14:paraId="65008DF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14 (19.4)</w:t>
            </w:r>
          </w:p>
        </w:tc>
        <w:tc>
          <w:tcPr>
            <w:tcW w:w="1179" w:type="pct"/>
          </w:tcPr>
          <w:p w14:paraId="6153D2C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 (22.7)</w:t>
            </w:r>
          </w:p>
        </w:tc>
        <w:tc>
          <w:tcPr>
            <w:tcW w:w="522" w:type="pct"/>
          </w:tcPr>
          <w:p w14:paraId="67CA6BD8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0.97</w:t>
            </w:r>
          </w:p>
        </w:tc>
      </w:tr>
      <w:tr w:rsidR="00F4158F" w:rsidRPr="00AD083E" w14:paraId="57F45AAB" w14:textId="77777777" w:rsidTr="00224B49">
        <w:trPr>
          <w:trHeight w:val="420"/>
        </w:trPr>
        <w:tc>
          <w:tcPr>
            <w:tcW w:w="1569" w:type="pct"/>
          </w:tcPr>
          <w:p w14:paraId="7597B9C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Atherosclerosis (%)</w:t>
            </w:r>
          </w:p>
        </w:tc>
        <w:tc>
          <w:tcPr>
            <w:tcW w:w="787" w:type="pct"/>
          </w:tcPr>
          <w:p w14:paraId="58BFC8C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17 (18.1)</w:t>
            </w:r>
          </w:p>
        </w:tc>
        <w:tc>
          <w:tcPr>
            <w:tcW w:w="943" w:type="pct"/>
          </w:tcPr>
          <w:p w14:paraId="5087973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11 (15.3)</w:t>
            </w:r>
          </w:p>
        </w:tc>
        <w:tc>
          <w:tcPr>
            <w:tcW w:w="1179" w:type="pct"/>
          </w:tcPr>
          <w:p w14:paraId="7CC1405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6 (27.3)</w:t>
            </w:r>
          </w:p>
        </w:tc>
        <w:tc>
          <w:tcPr>
            <w:tcW w:w="522" w:type="pct"/>
          </w:tcPr>
          <w:p w14:paraId="1CCF4E1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0.34</w:t>
            </w:r>
          </w:p>
        </w:tc>
      </w:tr>
      <w:tr w:rsidR="00F4158F" w:rsidRPr="00AD083E" w14:paraId="03F07B68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54472B6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Chronic respiratory disease (%)</w:t>
            </w:r>
          </w:p>
        </w:tc>
        <w:tc>
          <w:tcPr>
            <w:tcW w:w="787" w:type="pct"/>
          </w:tcPr>
          <w:p w14:paraId="495A2EF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13 (13.8)</w:t>
            </w:r>
          </w:p>
        </w:tc>
        <w:tc>
          <w:tcPr>
            <w:tcW w:w="943" w:type="pct"/>
          </w:tcPr>
          <w:p w14:paraId="23C7C9C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8 (11.1)</w:t>
            </w:r>
          </w:p>
        </w:tc>
        <w:tc>
          <w:tcPr>
            <w:tcW w:w="1179" w:type="pct"/>
          </w:tcPr>
          <w:p w14:paraId="429515F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 (22.7)</w:t>
            </w:r>
          </w:p>
        </w:tc>
        <w:tc>
          <w:tcPr>
            <w:tcW w:w="522" w:type="pct"/>
          </w:tcPr>
          <w:p w14:paraId="6C7948F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0.30</w:t>
            </w:r>
          </w:p>
        </w:tc>
      </w:tr>
      <w:tr w:rsidR="00F4158F" w:rsidRPr="00AD083E" w14:paraId="56AB5997" w14:textId="77777777" w:rsidTr="00224B49">
        <w:trPr>
          <w:trHeight w:val="407"/>
        </w:trPr>
        <w:tc>
          <w:tcPr>
            <w:tcW w:w="1569" w:type="pct"/>
          </w:tcPr>
          <w:p w14:paraId="3BBAF24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Chronic cardiac disease (%)</w:t>
            </w:r>
          </w:p>
        </w:tc>
        <w:tc>
          <w:tcPr>
            <w:tcW w:w="787" w:type="pct"/>
          </w:tcPr>
          <w:p w14:paraId="0DECD7F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17 (18.1)</w:t>
            </w:r>
          </w:p>
        </w:tc>
        <w:tc>
          <w:tcPr>
            <w:tcW w:w="943" w:type="pct"/>
          </w:tcPr>
          <w:p w14:paraId="52271B71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8 (11.1)</w:t>
            </w:r>
          </w:p>
        </w:tc>
        <w:tc>
          <w:tcPr>
            <w:tcW w:w="1179" w:type="pct"/>
          </w:tcPr>
          <w:p w14:paraId="415494A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9 (40.9)</w:t>
            </w:r>
          </w:p>
        </w:tc>
        <w:tc>
          <w:tcPr>
            <w:tcW w:w="522" w:type="pct"/>
          </w:tcPr>
          <w:p w14:paraId="64D83D0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0.01</w:t>
            </w:r>
          </w:p>
        </w:tc>
      </w:tr>
      <w:tr w:rsidR="00F4158F" w:rsidRPr="00AD083E" w14:paraId="3715D140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0698DA5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Active smoking (%)</w:t>
            </w:r>
          </w:p>
        </w:tc>
        <w:tc>
          <w:tcPr>
            <w:tcW w:w="787" w:type="pct"/>
          </w:tcPr>
          <w:p w14:paraId="30FCDEF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16 (17.0)</w:t>
            </w:r>
          </w:p>
        </w:tc>
        <w:tc>
          <w:tcPr>
            <w:tcW w:w="943" w:type="pct"/>
          </w:tcPr>
          <w:p w14:paraId="7002C61A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11 (15.3)</w:t>
            </w:r>
          </w:p>
        </w:tc>
        <w:tc>
          <w:tcPr>
            <w:tcW w:w="1179" w:type="pct"/>
          </w:tcPr>
          <w:p w14:paraId="3576D6D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 (22.7)</w:t>
            </w:r>
          </w:p>
        </w:tc>
        <w:tc>
          <w:tcPr>
            <w:tcW w:w="522" w:type="pct"/>
          </w:tcPr>
          <w:p w14:paraId="2B1DF391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0.62</w:t>
            </w:r>
          </w:p>
        </w:tc>
      </w:tr>
      <w:tr w:rsidR="00F4158F" w:rsidRPr="00AD083E" w14:paraId="2CC9E30D" w14:textId="77777777" w:rsidTr="00224B49">
        <w:trPr>
          <w:trHeight w:val="407"/>
        </w:trPr>
        <w:tc>
          <w:tcPr>
            <w:tcW w:w="1569" w:type="pct"/>
          </w:tcPr>
          <w:p w14:paraId="5B095A5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Chronic alcoholism (%)</w:t>
            </w:r>
          </w:p>
        </w:tc>
        <w:tc>
          <w:tcPr>
            <w:tcW w:w="787" w:type="pct"/>
          </w:tcPr>
          <w:p w14:paraId="10DBB07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12 (12.8)</w:t>
            </w:r>
          </w:p>
        </w:tc>
        <w:tc>
          <w:tcPr>
            <w:tcW w:w="943" w:type="pct"/>
          </w:tcPr>
          <w:p w14:paraId="570EB966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 ( 6.9)</w:t>
            </w:r>
          </w:p>
        </w:tc>
        <w:tc>
          <w:tcPr>
            <w:tcW w:w="1179" w:type="pct"/>
          </w:tcPr>
          <w:p w14:paraId="6AEB5FE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7 (31.8)</w:t>
            </w:r>
          </w:p>
        </w:tc>
        <w:tc>
          <w:tcPr>
            <w:tcW w:w="522" w:type="pct"/>
          </w:tcPr>
          <w:p w14:paraId="62CB5006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0.01</w:t>
            </w:r>
          </w:p>
        </w:tc>
      </w:tr>
      <w:tr w:rsidR="00F4158F" w:rsidRPr="00AD083E" w14:paraId="31BC0FF8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569" w:type="pct"/>
          </w:tcPr>
          <w:p w14:paraId="581840A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Neoplasia (%)</w:t>
            </w:r>
          </w:p>
        </w:tc>
        <w:tc>
          <w:tcPr>
            <w:tcW w:w="787" w:type="pct"/>
          </w:tcPr>
          <w:p w14:paraId="3574A20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15 (16.0)</w:t>
            </w:r>
          </w:p>
        </w:tc>
        <w:tc>
          <w:tcPr>
            <w:tcW w:w="943" w:type="pct"/>
          </w:tcPr>
          <w:p w14:paraId="5678C73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8 (11.1)</w:t>
            </w:r>
          </w:p>
        </w:tc>
        <w:tc>
          <w:tcPr>
            <w:tcW w:w="1179" w:type="pct"/>
          </w:tcPr>
          <w:p w14:paraId="727ED581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7 (31.8)</w:t>
            </w:r>
          </w:p>
        </w:tc>
        <w:tc>
          <w:tcPr>
            <w:tcW w:w="522" w:type="pct"/>
          </w:tcPr>
          <w:p w14:paraId="06D197E0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0.05</w:t>
            </w:r>
          </w:p>
        </w:tc>
      </w:tr>
      <w:tr w:rsidR="00F4158F" w:rsidRPr="00AD083E" w14:paraId="382623CA" w14:textId="77777777" w:rsidTr="00224B49">
        <w:trPr>
          <w:trHeight w:val="407"/>
        </w:trPr>
        <w:tc>
          <w:tcPr>
            <w:tcW w:w="1569" w:type="pct"/>
          </w:tcPr>
          <w:p w14:paraId="16BD5B4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Charlson score, mean (SD)</w:t>
            </w:r>
          </w:p>
        </w:tc>
        <w:tc>
          <w:tcPr>
            <w:tcW w:w="787" w:type="pct"/>
          </w:tcPr>
          <w:p w14:paraId="7963D03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3.9 (3.0)</w:t>
            </w:r>
          </w:p>
        </w:tc>
        <w:tc>
          <w:tcPr>
            <w:tcW w:w="943" w:type="pct"/>
          </w:tcPr>
          <w:p w14:paraId="0537BFE0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3.5 (3.0)</w:t>
            </w:r>
          </w:p>
        </w:tc>
        <w:tc>
          <w:tcPr>
            <w:tcW w:w="1179" w:type="pct"/>
          </w:tcPr>
          <w:p w14:paraId="46C8AB7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5.0 (2.8)</w:t>
            </w:r>
          </w:p>
        </w:tc>
        <w:tc>
          <w:tcPr>
            <w:tcW w:w="522" w:type="pct"/>
          </w:tcPr>
          <w:p w14:paraId="1B6621A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0.03</w:t>
            </w:r>
          </w:p>
        </w:tc>
      </w:tr>
      <w:tr w:rsidR="00F4158F" w:rsidRPr="00AD083E" w14:paraId="12115AD3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2A37DC98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SAPS II, mean (SD)</w:t>
            </w:r>
          </w:p>
        </w:tc>
        <w:tc>
          <w:tcPr>
            <w:tcW w:w="787" w:type="pct"/>
          </w:tcPr>
          <w:p w14:paraId="3C166F6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43.7 (17.8)</w:t>
            </w:r>
          </w:p>
        </w:tc>
        <w:tc>
          <w:tcPr>
            <w:tcW w:w="943" w:type="pct"/>
          </w:tcPr>
          <w:p w14:paraId="43BBFD56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40.4 (16.7)</w:t>
            </w:r>
          </w:p>
        </w:tc>
        <w:tc>
          <w:tcPr>
            <w:tcW w:w="1179" w:type="pct"/>
          </w:tcPr>
          <w:p w14:paraId="1DF293F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54.7 (17.3)</w:t>
            </w:r>
          </w:p>
        </w:tc>
        <w:tc>
          <w:tcPr>
            <w:tcW w:w="522" w:type="pct"/>
          </w:tcPr>
          <w:p w14:paraId="7E22A498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0.01</w:t>
            </w:r>
          </w:p>
        </w:tc>
      </w:tr>
      <w:tr w:rsidR="00F4158F" w:rsidRPr="00AD083E" w14:paraId="08A8F78B" w14:textId="77777777" w:rsidTr="00224B49">
        <w:trPr>
          <w:trHeight w:val="407"/>
        </w:trPr>
        <w:tc>
          <w:tcPr>
            <w:tcW w:w="1569" w:type="pct"/>
          </w:tcPr>
          <w:p w14:paraId="3ED61104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SOFA at 24h, mean (SD)</w:t>
            </w:r>
          </w:p>
        </w:tc>
        <w:tc>
          <w:tcPr>
            <w:tcW w:w="787" w:type="pct"/>
          </w:tcPr>
          <w:p w14:paraId="3557A16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5.7 (3.9)</w:t>
            </w:r>
          </w:p>
        </w:tc>
        <w:tc>
          <w:tcPr>
            <w:tcW w:w="943" w:type="pct"/>
          </w:tcPr>
          <w:p w14:paraId="7DD84CF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4.8 (3.6)</w:t>
            </w:r>
          </w:p>
        </w:tc>
        <w:tc>
          <w:tcPr>
            <w:tcW w:w="1179" w:type="pct"/>
          </w:tcPr>
          <w:p w14:paraId="6E0DFB1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8.6 (3.5)</w:t>
            </w:r>
          </w:p>
        </w:tc>
        <w:tc>
          <w:tcPr>
            <w:tcW w:w="522" w:type="pct"/>
          </w:tcPr>
          <w:p w14:paraId="2967A81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0.01</w:t>
            </w:r>
          </w:p>
        </w:tc>
      </w:tr>
      <w:tr w:rsidR="00F4158F" w:rsidRPr="00AD083E" w14:paraId="7B5A31D7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569" w:type="pct"/>
          </w:tcPr>
          <w:p w14:paraId="552D39E8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Mechanical ventilation (%)</w:t>
            </w:r>
          </w:p>
        </w:tc>
        <w:tc>
          <w:tcPr>
            <w:tcW w:w="787" w:type="pct"/>
          </w:tcPr>
          <w:p w14:paraId="43134BC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61 (64.9)</w:t>
            </w:r>
          </w:p>
        </w:tc>
        <w:tc>
          <w:tcPr>
            <w:tcW w:w="943" w:type="pct"/>
          </w:tcPr>
          <w:p w14:paraId="564EEA9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41 (56.9)</w:t>
            </w:r>
          </w:p>
        </w:tc>
        <w:tc>
          <w:tcPr>
            <w:tcW w:w="1179" w:type="pct"/>
          </w:tcPr>
          <w:p w14:paraId="2C8B29E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20 (90.9)</w:t>
            </w:r>
          </w:p>
        </w:tc>
        <w:tc>
          <w:tcPr>
            <w:tcW w:w="522" w:type="pct"/>
          </w:tcPr>
          <w:p w14:paraId="71D45F55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0.05</w:t>
            </w:r>
          </w:p>
        </w:tc>
      </w:tr>
      <w:tr w:rsidR="00F4158F" w:rsidRPr="00AD083E" w14:paraId="083DD73B" w14:textId="77777777" w:rsidTr="00224B49">
        <w:trPr>
          <w:trHeight w:val="407"/>
        </w:trPr>
        <w:tc>
          <w:tcPr>
            <w:tcW w:w="1569" w:type="pct"/>
          </w:tcPr>
          <w:p w14:paraId="4E370FF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Vasopressors (%)</w:t>
            </w:r>
          </w:p>
        </w:tc>
        <w:tc>
          <w:tcPr>
            <w:tcW w:w="787" w:type="pct"/>
          </w:tcPr>
          <w:p w14:paraId="316BA715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53 (58.2)</w:t>
            </w:r>
          </w:p>
        </w:tc>
        <w:tc>
          <w:tcPr>
            <w:tcW w:w="943" w:type="pct"/>
          </w:tcPr>
          <w:p w14:paraId="09F5A740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34 (48.6)</w:t>
            </w:r>
          </w:p>
        </w:tc>
        <w:tc>
          <w:tcPr>
            <w:tcW w:w="1179" w:type="pct"/>
          </w:tcPr>
          <w:p w14:paraId="301DF4D4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19 (90.5)</w:t>
            </w:r>
          </w:p>
        </w:tc>
        <w:tc>
          <w:tcPr>
            <w:tcW w:w="522" w:type="pct"/>
          </w:tcPr>
          <w:p w14:paraId="084633CC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 xml:space="preserve"> &lt; 0.05</w:t>
            </w:r>
          </w:p>
        </w:tc>
      </w:tr>
      <w:tr w:rsidR="00F4158F" w:rsidRPr="00AD083E" w14:paraId="478678D4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1569" w:type="pct"/>
          </w:tcPr>
          <w:p w14:paraId="477695CD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KDIGO 3 AKI (%)</w:t>
            </w:r>
          </w:p>
        </w:tc>
        <w:tc>
          <w:tcPr>
            <w:tcW w:w="787" w:type="pct"/>
          </w:tcPr>
          <w:p w14:paraId="2B5DA91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17 (18.1)</w:t>
            </w:r>
          </w:p>
        </w:tc>
        <w:tc>
          <w:tcPr>
            <w:tcW w:w="943" w:type="pct"/>
          </w:tcPr>
          <w:p w14:paraId="432DE753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9 (12.5)</w:t>
            </w:r>
          </w:p>
        </w:tc>
        <w:tc>
          <w:tcPr>
            <w:tcW w:w="1179" w:type="pct"/>
          </w:tcPr>
          <w:p w14:paraId="5310258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8 (36.4)</w:t>
            </w:r>
          </w:p>
        </w:tc>
        <w:tc>
          <w:tcPr>
            <w:tcW w:w="522" w:type="pct"/>
          </w:tcPr>
          <w:p w14:paraId="2D7DA096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0.05</w:t>
            </w:r>
          </w:p>
        </w:tc>
      </w:tr>
      <w:tr w:rsidR="00F4158F" w:rsidRPr="00AD083E" w14:paraId="6B7F7DD0" w14:textId="77777777" w:rsidTr="00224B49">
        <w:trPr>
          <w:trHeight w:val="407"/>
        </w:trPr>
        <w:tc>
          <w:tcPr>
            <w:tcW w:w="1569" w:type="pct"/>
          </w:tcPr>
          <w:p w14:paraId="0CD62AC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Length of stay, mean (SD)</w:t>
            </w:r>
          </w:p>
        </w:tc>
        <w:tc>
          <w:tcPr>
            <w:tcW w:w="787" w:type="pct"/>
          </w:tcPr>
          <w:p w14:paraId="0F34760E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12.4 (14.1)</w:t>
            </w:r>
          </w:p>
        </w:tc>
        <w:tc>
          <w:tcPr>
            <w:tcW w:w="943" w:type="pct"/>
          </w:tcPr>
          <w:p w14:paraId="6AA1B56D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13.0 (15.6)</w:t>
            </w:r>
          </w:p>
        </w:tc>
        <w:tc>
          <w:tcPr>
            <w:tcW w:w="1179" w:type="pct"/>
          </w:tcPr>
          <w:p w14:paraId="58B9F53B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10.2 (7.1)</w:t>
            </w:r>
          </w:p>
        </w:tc>
        <w:tc>
          <w:tcPr>
            <w:tcW w:w="522" w:type="pct"/>
          </w:tcPr>
          <w:p w14:paraId="7101C214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0.41</w:t>
            </w:r>
          </w:p>
        </w:tc>
      </w:tr>
      <w:tr w:rsidR="00F4158F" w:rsidRPr="00AD083E" w14:paraId="2B0CE812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569" w:type="pct"/>
          </w:tcPr>
          <w:p w14:paraId="150A7AD8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No. of ICU-free days, mean (SD)</w:t>
            </w:r>
          </w:p>
        </w:tc>
        <w:tc>
          <w:tcPr>
            <w:tcW w:w="787" w:type="pct"/>
          </w:tcPr>
          <w:p w14:paraId="4E1761B2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15.1 (10.5)</w:t>
            </w:r>
          </w:p>
        </w:tc>
        <w:tc>
          <w:tcPr>
            <w:tcW w:w="943" w:type="pct"/>
          </w:tcPr>
          <w:p w14:paraId="720BD07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19.1 (8.3)</w:t>
            </w:r>
          </w:p>
        </w:tc>
        <w:tc>
          <w:tcPr>
            <w:tcW w:w="1179" w:type="pct"/>
          </w:tcPr>
          <w:p w14:paraId="4A49472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2.0 (4.5)</w:t>
            </w:r>
          </w:p>
        </w:tc>
        <w:tc>
          <w:tcPr>
            <w:tcW w:w="522" w:type="pct"/>
          </w:tcPr>
          <w:p w14:paraId="783BD951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0.05</w:t>
            </w:r>
          </w:p>
        </w:tc>
      </w:tr>
      <w:tr w:rsidR="00F4158F" w:rsidRPr="00AD083E" w14:paraId="31A1C3A6" w14:textId="77777777" w:rsidTr="00224B49">
        <w:trPr>
          <w:trHeight w:val="77"/>
        </w:trPr>
        <w:tc>
          <w:tcPr>
            <w:tcW w:w="1569" w:type="pct"/>
          </w:tcPr>
          <w:p w14:paraId="292FC6E5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Death at day 28 (%)</w:t>
            </w:r>
          </w:p>
        </w:tc>
        <w:tc>
          <w:tcPr>
            <w:tcW w:w="787" w:type="pct"/>
          </w:tcPr>
          <w:p w14:paraId="28EDF631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22 (23.4)</w:t>
            </w:r>
          </w:p>
        </w:tc>
        <w:tc>
          <w:tcPr>
            <w:tcW w:w="943" w:type="pct"/>
          </w:tcPr>
          <w:p w14:paraId="4C0A75B7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179" w:type="pct"/>
          </w:tcPr>
          <w:p w14:paraId="4852C4FF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22 (100)</w:t>
            </w:r>
          </w:p>
        </w:tc>
        <w:tc>
          <w:tcPr>
            <w:tcW w:w="522" w:type="pct"/>
          </w:tcPr>
          <w:p w14:paraId="2A5C4A79" w14:textId="77777777" w:rsidR="00F4158F" w:rsidRPr="00AD083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</w:pPr>
            <w:r w:rsidRPr="00AD083E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&lt; 0.01</w:t>
            </w:r>
          </w:p>
        </w:tc>
      </w:tr>
    </w:tbl>
    <w:p w14:paraId="25DB79EB" w14:textId="77777777" w:rsidR="00F4158F" w:rsidRPr="00AD083E" w:rsidRDefault="00F4158F" w:rsidP="00F4158F">
      <w:pPr>
        <w:pStyle w:val="Souslegperso"/>
        <w:ind w:left="0" w:right="0"/>
      </w:pPr>
      <w:r w:rsidRPr="00AD083E">
        <w:t xml:space="preserve">Data are expressed as mean (SD) or number (%). p-val = p value, SAPS II = Simplified Acute Physiology Score II, SOFA = Sequential Organ Failure Assessment, AKI = Acute Kidney Injury, KDIGO = Kidney Disease Improving Global Outcomes, ICU = Intensive Care Unit. </w:t>
      </w:r>
    </w:p>
    <w:p w14:paraId="6FE0F234" w14:textId="77777777" w:rsidR="00F4158F" w:rsidRPr="00AD083E" w:rsidRDefault="00F4158F" w:rsidP="00F4158F">
      <w:pPr>
        <w:pStyle w:val="Souslegperso"/>
        <w:ind w:left="0" w:right="0"/>
      </w:pPr>
      <w:r w:rsidRPr="00AD083E">
        <w:t>Reported p-values refer to the comparison between Survivors and Nonsurvivors.</w:t>
      </w:r>
    </w:p>
    <w:p w14:paraId="23B899D2" w14:textId="77777777" w:rsidR="00F4158F" w:rsidRDefault="00F4158F" w:rsidP="00F4158F">
      <w:pPr>
        <w:pStyle w:val="Souslegperso"/>
        <w:ind w:left="0"/>
      </w:pPr>
    </w:p>
    <w:p w14:paraId="7BF1DA89" w14:textId="77777777" w:rsidR="00F4158F" w:rsidRDefault="00F4158F" w:rsidP="00F4158F">
      <w:pPr>
        <w:pStyle w:val="Souslegperso"/>
        <w:ind w:left="0"/>
      </w:pPr>
    </w:p>
    <w:p w14:paraId="0859C464" w14:textId="77777777" w:rsidR="00F4158F" w:rsidRDefault="00F4158F" w:rsidP="00F4158F">
      <w:pPr>
        <w:pStyle w:val="Souslegperso"/>
      </w:pPr>
    </w:p>
    <w:p w14:paraId="76CFE54D" w14:textId="77777777" w:rsidR="00F4158F" w:rsidRPr="002B33F4" w:rsidRDefault="00F4158F" w:rsidP="00F4158F">
      <w:pPr>
        <w:pStyle w:val="Tabperso"/>
        <w:ind w:left="0" w:right="0"/>
      </w:pPr>
      <w:bookmarkStart w:id="1" w:name="_Toc200399257"/>
      <w:r w:rsidRPr="001A7BB2">
        <w:t>Table 2. Mean PtC</w:t>
      </w:r>
      <w:r>
        <w:t>O₂</w:t>
      </w:r>
      <w:r w:rsidRPr="001A7BB2">
        <w:t xml:space="preserve"> and PatC</w:t>
      </w:r>
      <w:r>
        <w:t>O₂</w:t>
      </w:r>
      <w:r w:rsidRPr="001A7BB2">
        <w:t xml:space="preserve"> values during the first 48h following ICU admission.</w:t>
      </w:r>
      <w:bookmarkEnd w:id="1"/>
    </w:p>
    <w:tbl>
      <w:tblPr>
        <w:tblStyle w:val="PlainTable1"/>
        <w:tblW w:w="9918" w:type="dxa"/>
        <w:jc w:val="center"/>
        <w:tblLayout w:type="fixed"/>
        <w:tblLook w:val="0420" w:firstRow="1" w:lastRow="0" w:firstColumn="0" w:lastColumn="0" w:noHBand="0" w:noVBand="1"/>
      </w:tblPr>
      <w:tblGrid>
        <w:gridCol w:w="1838"/>
        <w:gridCol w:w="1077"/>
        <w:gridCol w:w="1333"/>
        <w:gridCol w:w="1559"/>
        <w:gridCol w:w="851"/>
        <w:gridCol w:w="1294"/>
        <w:gridCol w:w="1115"/>
        <w:gridCol w:w="851"/>
      </w:tblGrid>
      <w:tr w:rsidR="00F4158F" w:rsidRPr="00B010A6" w14:paraId="6FC90F50" w14:textId="77777777" w:rsidTr="00224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tcW w:w="1838" w:type="dxa"/>
            <w:shd w:val="clear" w:color="auto" w:fill="D1D1D1" w:themeFill="background2" w:themeFillShade="E6"/>
            <w:vAlign w:val="center"/>
          </w:tcPr>
          <w:p w14:paraId="209CA4EC" w14:textId="77777777" w:rsidR="00F4158F" w:rsidRPr="00891E7E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 w:right="100"/>
              <w:jc w:val="center"/>
              <w:rPr>
                <w:rFonts w:ascii="Aptos" w:hAnsi="Aptos"/>
                <w:b w:val="0"/>
                <w:bCs w:val="0"/>
                <w:sz w:val="19"/>
                <w:szCs w:val="19"/>
                <w:lang w:val="en-US"/>
              </w:rPr>
            </w:pPr>
          </w:p>
        </w:tc>
        <w:tc>
          <w:tcPr>
            <w:tcW w:w="1077" w:type="dxa"/>
            <w:shd w:val="clear" w:color="auto" w:fill="D1D1D1" w:themeFill="background2" w:themeFillShade="E6"/>
            <w:vAlign w:val="center"/>
          </w:tcPr>
          <w:p w14:paraId="346FC59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All,</w:t>
            </w:r>
          </w:p>
          <w:p w14:paraId="3EFBA26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jc w:val="center"/>
              <w:rPr>
                <w:rFonts w:ascii="Aptos" w:hAnsi="Aptos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n = 94</w:t>
            </w:r>
          </w:p>
        </w:tc>
        <w:tc>
          <w:tcPr>
            <w:tcW w:w="1333" w:type="dxa"/>
            <w:shd w:val="clear" w:color="auto" w:fill="D1D1D1" w:themeFill="background2" w:themeFillShade="E6"/>
            <w:vAlign w:val="center"/>
          </w:tcPr>
          <w:p w14:paraId="5692D30A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 w:right="100" w:firstLine="0"/>
              <w:jc w:val="center"/>
              <w:rPr>
                <w:rFonts w:ascii="Aptos" w:eastAsia="Helvetica" w:hAnsi="Aptos" w:cs="Helvetica"/>
                <w:b w:val="0"/>
                <w:bCs w:val="0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Survivors n= 72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59B6FD40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jc w:val="center"/>
              <w:rPr>
                <w:rFonts w:ascii="Aptos" w:eastAsia="Helvetica" w:hAnsi="Aptos" w:cs="Helvetica"/>
                <w:b w:val="0"/>
                <w:bCs w:val="0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Nonsurvivorsn= 22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p w14:paraId="5C1E5930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 w:right="100" w:firstLine="0"/>
              <w:jc w:val="center"/>
              <w:rPr>
                <w:rFonts w:ascii="Aptos" w:eastAsia="Helvetica" w:hAnsi="Aptos" w:cs="Helvetica"/>
                <w:b w:val="0"/>
                <w:bCs w:val="0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p-val</w:t>
            </w:r>
          </w:p>
          <w:p w14:paraId="1350779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 w:right="100" w:firstLine="0"/>
              <w:jc w:val="center"/>
              <w:rPr>
                <w:rFonts w:ascii="Aptos" w:eastAsia="Helvetica" w:hAnsi="Aptos" w:cs="Helvetica"/>
                <w:color w:val="000000"/>
                <w:sz w:val="19"/>
                <w:szCs w:val="19"/>
              </w:rPr>
            </w:pP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11084D3F" w14:textId="77777777" w:rsidR="00F4158F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 w:right="100" w:firstLine="0"/>
              <w:jc w:val="center"/>
              <w:rPr>
                <w:rFonts w:ascii="Aptos" w:eastAsia="Helvetica" w:hAnsi="Aptos" w:cs="Helvetica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 xml:space="preserve">Early </w:t>
            </w:r>
            <w:r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NS</w:t>
            </w:r>
          </w:p>
          <w:p w14:paraId="0688339F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 w:right="100" w:firstLine="0"/>
              <w:jc w:val="center"/>
              <w:rPr>
                <w:rFonts w:ascii="Aptos" w:eastAsia="Helvetica" w:hAnsi="Aptos" w:cs="Helvetica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n = 7</w:t>
            </w:r>
          </w:p>
        </w:tc>
        <w:tc>
          <w:tcPr>
            <w:tcW w:w="1115" w:type="dxa"/>
            <w:shd w:val="clear" w:color="auto" w:fill="D1D1D1" w:themeFill="background2" w:themeFillShade="E6"/>
            <w:vAlign w:val="center"/>
          </w:tcPr>
          <w:p w14:paraId="3231040C" w14:textId="77777777" w:rsidR="00F4158F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jc w:val="center"/>
              <w:rPr>
                <w:rFonts w:ascii="Aptos" w:eastAsia="Helvetica" w:hAnsi="Aptos" w:cs="Helvetica"/>
                <w:b w:val="0"/>
                <w:bCs w:val="0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Late</w:t>
            </w:r>
            <w:r>
              <w:rPr>
                <w:rFonts w:ascii="Aptos" w:eastAsia="Helvetica" w:hAnsi="Aptos" w:cs="Helvetica"/>
                <w:color w:val="000000"/>
                <w:sz w:val="19"/>
                <w:szCs w:val="19"/>
              </w:rPr>
              <w:t xml:space="preserve"> NS</w:t>
            </w:r>
          </w:p>
          <w:p w14:paraId="1D751D6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n = 15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p w14:paraId="30F682A4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 w:right="100" w:firstLine="0"/>
              <w:jc w:val="center"/>
              <w:rPr>
                <w:rFonts w:ascii="Aptos" w:eastAsia="Helvetica" w:hAnsi="Aptos" w:cs="Helvetica"/>
                <w:b w:val="0"/>
                <w:bCs w:val="0"/>
                <w:color w:val="000000"/>
                <w:sz w:val="19"/>
                <w:szCs w:val="19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9"/>
                <w:szCs w:val="19"/>
              </w:rPr>
              <w:t>p-val</w:t>
            </w:r>
          </w:p>
          <w:p w14:paraId="7BFE8F36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jc w:val="center"/>
              <w:rPr>
                <w:rFonts w:ascii="Aptos" w:eastAsia="Helvetica" w:hAnsi="Aptos" w:cs="Helvetica"/>
                <w:color w:val="000000"/>
                <w:sz w:val="19"/>
                <w:szCs w:val="19"/>
              </w:rPr>
            </w:pPr>
          </w:p>
        </w:tc>
      </w:tr>
      <w:tr w:rsidR="00F4158F" w:rsidRPr="00B010A6" w14:paraId="432BCC89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tcW w:w="1838" w:type="dxa"/>
            <w:vAlign w:val="center"/>
          </w:tcPr>
          <w:p w14:paraId="0F5D6448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PtCO₂ at   baseline</w:t>
            </w:r>
          </w:p>
        </w:tc>
        <w:tc>
          <w:tcPr>
            <w:tcW w:w="1077" w:type="dxa"/>
            <w:vAlign w:val="center"/>
          </w:tcPr>
          <w:p w14:paraId="0CDCC72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53.9 (11.7)</w:t>
            </w:r>
          </w:p>
        </w:tc>
        <w:tc>
          <w:tcPr>
            <w:tcW w:w="1333" w:type="dxa"/>
            <w:vAlign w:val="center"/>
          </w:tcPr>
          <w:p w14:paraId="0CD097A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54.0 (9.6)</w:t>
            </w:r>
          </w:p>
        </w:tc>
        <w:tc>
          <w:tcPr>
            <w:tcW w:w="1559" w:type="dxa"/>
            <w:vAlign w:val="center"/>
          </w:tcPr>
          <w:p w14:paraId="3955D661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53.9 (17.1)</w:t>
            </w:r>
          </w:p>
        </w:tc>
        <w:tc>
          <w:tcPr>
            <w:tcW w:w="851" w:type="dxa"/>
            <w:vAlign w:val="center"/>
          </w:tcPr>
          <w:p w14:paraId="2D0E0761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94" w:type="dxa"/>
            <w:vAlign w:val="center"/>
          </w:tcPr>
          <w:p w14:paraId="0E3DDA4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65.4 (25.5)</w:t>
            </w:r>
          </w:p>
        </w:tc>
        <w:tc>
          <w:tcPr>
            <w:tcW w:w="1115" w:type="dxa"/>
            <w:vAlign w:val="center"/>
          </w:tcPr>
          <w:p w14:paraId="75EC6914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48.5 (7.9)</w:t>
            </w:r>
          </w:p>
        </w:tc>
        <w:tc>
          <w:tcPr>
            <w:tcW w:w="851" w:type="dxa"/>
            <w:vAlign w:val="center"/>
          </w:tcPr>
          <w:p w14:paraId="09880B7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03</w:t>
            </w:r>
          </w:p>
        </w:tc>
      </w:tr>
      <w:tr w:rsidR="00F4158F" w:rsidRPr="00B010A6" w14:paraId="45DC2D53" w14:textId="77777777" w:rsidTr="00224B49">
        <w:trPr>
          <w:trHeight w:val="417"/>
          <w:jc w:val="center"/>
        </w:trPr>
        <w:tc>
          <w:tcPr>
            <w:tcW w:w="1838" w:type="dxa"/>
            <w:vAlign w:val="center"/>
          </w:tcPr>
          <w:p w14:paraId="02527F7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Day 1 mean PtCO₂</w:t>
            </w:r>
          </w:p>
        </w:tc>
        <w:tc>
          <w:tcPr>
            <w:tcW w:w="1077" w:type="dxa"/>
            <w:vAlign w:val="center"/>
          </w:tcPr>
          <w:p w14:paraId="31F1781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54.5 (11.5)</w:t>
            </w:r>
          </w:p>
        </w:tc>
        <w:tc>
          <w:tcPr>
            <w:tcW w:w="1333" w:type="dxa"/>
            <w:vAlign w:val="center"/>
          </w:tcPr>
          <w:p w14:paraId="1799AFA1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53.9 (8.3)</w:t>
            </w:r>
          </w:p>
        </w:tc>
        <w:tc>
          <w:tcPr>
            <w:tcW w:w="1559" w:type="dxa"/>
            <w:vAlign w:val="center"/>
          </w:tcPr>
          <w:p w14:paraId="7DF37BB7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56.3 (18.6)</w:t>
            </w:r>
          </w:p>
        </w:tc>
        <w:tc>
          <w:tcPr>
            <w:tcW w:w="851" w:type="dxa"/>
            <w:vAlign w:val="center"/>
          </w:tcPr>
          <w:p w14:paraId="00DE1F9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294" w:type="dxa"/>
            <w:vAlign w:val="center"/>
          </w:tcPr>
          <w:p w14:paraId="646E5398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70.7 (26.5)</w:t>
            </w:r>
          </w:p>
        </w:tc>
        <w:tc>
          <w:tcPr>
            <w:tcW w:w="1115" w:type="dxa"/>
            <w:vAlign w:val="center"/>
          </w:tcPr>
          <w:p w14:paraId="7789DE76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49.5 (8.1)</w:t>
            </w:r>
          </w:p>
        </w:tc>
        <w:tc>
          <w:tcPr>
            <w:tcW w:w="851" w:type="dxa"/>
            <w:vAlign w:val="center"/>
          </w:tcPr>
          <w:p w14:paraId="7F283DEA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07</w:t>
            </w:r>
          </w:p>
        </w:tc>
      </w:tr>
      <w:tr w:rsidR="00F4158F" w:rsidRPr="00B010A6" w14:paraId="194528DB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tcW w:w="1838" w:type="dxa"/>
            <w:vAlign w:val="center"/>
          </w:tcPr>
          <w:p w14:paraId="2AC3919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Day 2 mean PtCO₂</w:t>
            </w:r>
          </w:p>
        </w:tc>
        <w:tc>
          <w:tcPr>
            <w:tcW w:w="1077" w:type="dxa"/>
            <w:vAlign w:val="center"/>
          </w:tcPr>
          <w:p w14:paraId="2BB5D9F3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54.2 (12.0)</w:t>
            </w:r>
          </w:p>
        </w:tc>
        <w:tc>
          <w:tcPr>
            <w:tcW w:w="1333" w:type="dxa"/>
            <w:vAlign w:val="center"/>
          </w:tcPr>
          <w:p w14:paraId="7A7715AB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52.6 (7.1)</w:t>
            </w:r>
          </w:p>
        </w:tc>
        <w:tc>
          <w:tcPr>
            <w:tcW w:w="1559" w:type="dxa"/>
            <w:vAlign w:val="center"/>
          </w:tcPr>
          <w:p w14:paraId="45872B8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60.0 (21.3)</w:t>
            </w:r>
          </w:p>
        </w:tc>
        <w:tc>
          <w:tcPr>
            <w:tcW w:w="851" w:type="dxa"/>
            <w:vAlign w:val="center"/>
          </w:tcPr>
          <w:p w14:paraId="6D9D647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94" w:type="dxa"/>
            <w:vAlign w:val="center"/>
          </w:tcPr>
          <w:p w14:paraId="4A23BFD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71.2 (27.1)</w:t>
            </w:r>
          </w:p>
        </w:tc>
        <w:tc>
          <w:tcPr>
            <w:tcW w:w="1115" w:type="dxa"/>
            <w:vAlign w:val="center"/>
          </w:tcPr>
          <w:p w14:paraId="58842F5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55.7 (18.0)</w:t>
            </w:r>
          </w:p>
        </w:tc>
        <w:tc>
          <w:tcPr>
            <w:tcW w:w="851" w:type="dxa"/>
            <w:vAlign w:val="center"/>
          </w:tcPr>
          <w:p w14:paraId="6219F7D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55</w:t>
            </w:r>
          </w:p>
        </w:tc>
      </w:tr>
      <w:tr w:rsidR="00F4158F" w:rsidRPr="00B010A6" w14:paraId="31DF03E9" w14:textId="77777777" w:rsidTr="00224B49">
        <w:trPr>
          <w:trHeight w:val="394"/>
          <w:jc w:val="center"/>
        </w:trPr>
        <w:tc>
          <w:tcPr>
            <w:tcW w:w="1838" w:type="dxa"/>
            <w:vAlign w:val="center"/>
          </w:tcPr>
          <w:p w14:paraId="0D3D0CD0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48h mean PtCO₂</w:t>
            </w:r>
          </w:p>
        </w:tc>
        <w:tc>
          <w:tcPr>
            <w:tcW w:w="1077" w:type="dxa"/>
            <w:vAlign w:val="center"/>
          </w:tcPr>
          <w:p w14:paraId="7A214453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54.5 (11.3)</w:t>
            </w:r>
          </w:p>
        </w:tc>
        <w:tc>
          <w:tcPr>
            <w:tcW w:w="1333" w:type="dxa"/>
            <w:vAlign w:val="center"/>
          </w:tcPr>
          <w:p w14:paraId="69473044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53.2 (6.8)</w:t>
            </w:r>
          </w:p>
        </w:tc>
        <w:tc>
          <w:tcPr>
            <w:tcW w:w="1559" w:type="dxa"/>
            <w:vAlign w:val="center"/>
          </w:tcPr>
          <w:p w14:paraId="6B139451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58.7 (19.6)</w:t>
            </w:r>
          </w:p>
        </w:tc>
        <w:tc>
          <w:tcPr>
            <w:tcW w:w="851" w:type="dxa"/>
            <w:vAlign w:val="center"/>
          </w:tcPr>
          <w:p w14:paraId="692DCBA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94" w:type="dxa"/>
            <w:vAlign w:val="center"/>
          </w:tcPr>
          <w:p w14:paraId="1CEBAD8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72.9 (27.7)</w:t>
            </w:r>
          </w:p>
        </w:tc>
        <w:tc>
          <w:tcPr>
            <w:tcW w:w="1115" w:type="dxa"/>
            <w:vAlign w:val="center"/>
          </w:tcPr>
          <w:p w14:paraId="186DBDD0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52.1 (10.0)</w:t>
            </w:r>
          </w:p>
        </w:tc>
        <w:tc>
          <w:tcPr>
            <w:tcW w:w="851" w:type="dxa"/>
            <w:vAlign w:val="center"/>
          </w:tcPr>
          <w:p w14:paraId="451781E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68</w:t>
            </w:r>
          </w:p>
        </w:tc>
      </w:tr>
      <w:tr w:rsidR="00F4158F" w:rsidRPr="00B010A6" w14:paraId="6A3562B6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tcW w:w="1838" w:type="dxa"/>
            <w:vAlign w:val="center"/>
          </w:tcPr>
          <w:p w14:paraId="53A5D3B1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PatCO₂ at baseline</w:t>
            </w:r>
          </w:p>
        </w:tc>
        <w:tc>
          <w:tcPr>
            <w:tcW w:w="1077" w:type="dxa"/>
            <w:vAlign w:val="center"/>
          </w:tcPr>
          <w:p w14:paraId="1BB7032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17.9 (10.4)</w:t>
            </w:r>
          </w:p>
        </w:tc>
        <w:tc>
          <w:tcPr>
            <w:tcW w:w="1333" w:type="dxa"/>
            <w:vAlign w:val="center"/>
          </w:tcPr>
          <w:p w14:paraId="5701689A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17.0 (9.0)</w:t>
            </w:r>
          </w:p>
        </w:tc>
        <w:tc>
          <w:tcPr>
            <w:tcW w:w="1559" w:type="dxa"/>
            <w:vAlign w:val="center"/>
          </w:tcPr>
          <w:p w14:paraId="6C16CFEF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20.4 (13.3)</w:t>
            </w:r>
          </w:p>
        </w:tc>
        <w:tc>
          <w:tcPr>
            <w:tcW w:w="851" w:type="dxa"/>
            <w:vAlign w:val="center"/>
          </w:tcPr>
          <w:p w14:paraId="4233E48F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94" w:type="dxa"/>
            <w:vAlign w:val="center"/>
          </w:tcPr>
          <w:p w14:paraId="5BD4089B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28.2 (20.7)</w:t>
            </w:r>
          </w:p>
        </w:tc>
        <w:tc>
          <w:tcPr>
            <w:tcW w:w="1115" w:type="dxa"/>
            <w:vAlign w:val="center"/>
          </w:tcPr>
          <w:p w14:paraId="705B0729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16.1 (3.4)</w:t>
            </w:r>
          </w:p>
        </w:tc>
        <w:tc>
          <w:tcPr>
            <w:tcW w:w="851" w:type="dxa"/>
            <w:vAlign w:val="center"/>
          </w:tcPr>
          <w:p w14:paraId="6F2E9C77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57</w:t>
            </w:r>
          </w:p>
        </w:tc>
      </w:tr>
      <w:tr w:rsidR="00F4158F" w:rsidRPr="00B010A6" w14:paraId="5374DAC1" w14:textId="77777777" w:rsidTr="00224B49">
        <w:trPr>
          <w:trHeight w:val="417"/>
          <w:jc w:val="center"/>
        </w:trPr>
        <w:tc>
          <w:tcPr>
            <w:tcW w:w="1838" w:type="dxa"/>
            <w:vAlign w:val="center"/>
          </w:tcPr>
          <w:p w14:paraId="1D18C619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Day 1 mean PatCO₂</w:t>
            </w:r>
          </w:p>
        </w:tc>
        <w:tc>
          <w:tcPr>
            <w:tcW w:w="1077" w:type="dxa"/>
            <w:vAlign w:val="center"/>
          </w:tcPr>
          <w:p w14:paraId="5A7468B9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18.3 (10.5)</w:t>
            </w:r>
          </w:p>
        </w:tc>
        <w:tc>
          <w:tcPr>
            <w:tcW w:w="1333" w:type="dxa"/>
            <w:vAlign w:val="center"/>
          </w:tcPr>
          <w:p w14:paraId="3EE27186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16.9 (6.9)</w:t>
            </w:r>
          </w:p>
        </w:tc>
        <w:tc>
          <w:tcPr>
            <w:tcW w:w="1559" w:type="dxa"/>
            <w:vAlign w:val="center"/>
          </w:tcPr>
          <w:p w14:paraId="102A063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21.8 (16.5)</w:t>
            </w:r>
          </w:p>
        </w:tc>
        <w:tc>
          <w:tcPr>
            <w:tcW w:w="851" w:type="dxa"/>
            <w:vAlign w:val="center"/>
          </w:tcPr>
          <w:p w14:paraId="373DFC7F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294" w:type="dxa"/>
            <w:vAlign w:val="center"/>
          </w:tcPr>
          <w:p w14:paraId="600C5FAA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35.3 (23.6)</w:t>
            </w:r>
          </w:p>
        </w:tc>
        <w:tc>
          <w:tcPr>
            <w:tcW w:w="1115" w:type="dxa"/>
            <w:vAlign w:val="center"/>
          </w:tcPr>
          <w:p w14:paraId="55BEDA31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15.5 (6.0)</w:t>
            </w:r>
          </w:p>
        </w:tc>
        <w:tc>
          <w:tcPr>
            <w:tcW w:w="851" w:type="dxa"/>
            <w:vAlign w:val="center"/>
          </w:tcPr>
          <w:p w14:paraId="15C5770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42</w:t>
            </w:r>
          </w:p>
        </w:tc>
      </w:tr>
      <w:tr w:rsidR="00F4158F" w:rsidRPr="00B010A6" w14:paraId="3680E1B2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tcW w:w="1838" w:type="dxa"/>
            <w:vAlign w:val="center"/>
          </w:tcPr>
          <w:p w14:paraId="44F8FE5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Day 2</w:t>
            </w: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 xml:space="preserve"> </w:t>
            </w: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  <w:lang w:val="en-US"/>
              </w:rPr>
              <w:t>mean Pat</w:t>
            </w: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CO₂</w:t>
            </w:r>
          </w:p>
        </w:tc>
        <w:tc>
          <w:tcPr>
            <w:tcW w:w="1077" w:type="dxa"/>
            <w:vAlign w:val="center"/>
          </w:tcPr>
          <w:p w14:paraId="1F41725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15.7 (11.7)</w:t>
            </w:r>
          </w:p>
        </w:tc>
        <w:tc>
          <w:tcPr>
            <w:tcW w:w="1333" w:type="dxa"/>
            <w:vAlign w:val="center"/>
          </w:tcPr>
          <w:p w14:paraId="2CCB8829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12.7 (5.4)</w:t>
            </w:r>
          </w:p>
        </w:tc>
        <w:tc>
          <w:tcPr>
            <w:tcW w:w="1559" w:type="dxa"/>
            <w:vAlign w:val="center"/>
          </w:tcPr>
          <w:p w14:paraId="1733549B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23.1 (18.3)</w:t>
            </w:r>
          </w:p>
        </w:tc>
        <w:tc>
          <w:tcPr>
            <w:tcW w:w="851" w:type="dxa"/>
            <w:vAlign w:val="center"/>
          </w:tcPr>
          <w:p w14:paraId="27416B44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94" w:type="dxa"/>
            <w:vAlign w:val="center"/>
          </w:tcPr>
          <w:p w14:paraId="13BCE8F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35.3 (26.3)</w:t>
            </w:r>
          </w:p>
        </w:tc>
        <w:tc>
          <w:tcPr>
            <w:tcW w:w="1115" w:type="dxa"/>
            <w:vAlign w:val="center"/>
          </w:tcPr>
          <w:p w14:paraId="51414C34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18.4 (12.6)</w:t>
            </w:r>
          </w:p>
        </w:tc>
        <w:tc>
          <w:tcPr>
            <w:tcW w:w="851" w:type="dxa"/>
            <w:vAlign w:val="center"/>
          </w:tcPr>
          <w:p w14:paraId="51153AE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14</w:t>
            </w:r>
          </w:p>
        </w:tc>
      </w:tr>
      <w:tr w:rsidR="00F4158F" w:rsidRPr="00B010A6" w14:paraId="7AA2F2F2" w14:textId="77777777" w:rsidTr="00224B49">
        <w:trPr>
          <w:trHeight w:val="417"/>
          <w:jc w:val="center"/>
        </w:trPr>
        <w:tc>
          <w:tcPr>
            <w:tcW w:w="1838" w:type="dxa"/>
            <w:vAlign w:val="center"/>
          </w:tcPr>
          <w:p w14:paraId="095F2B3B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48h mean PatCO₂</w:t>
            </w:r>
          </w:p>
        </w:tc>
        <w:tc>
          <w:tcPr>
            <w:tcW w:w="1077" w:type="dxa"/>
            <w:vAlign w:val="center"/>
          </w:tcPr>
          <w:p w14:paraId="230A2770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17.6 (10.4)</w:t>
            </w:r>
          </w:p>
        </w:tc>
        <w:tc>
          <w:tcPr>
            <w:tcW w:w="1333" w:type="dxa"/>
            <w:vAlign w:val="center"/>
          </w:tcPr>
          <w:p w14:paraId="5797C595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15.6 (5.1)</w:t>
            </w:r>
          </w:p>
        </w:tc>
        <w:tc>
          <w:tcPr>
            <w:tcW w:w="1559" w:type="dxa"/>
            <w:vAlign w:val="center"/>
          </w:tcPr>
          <w:p w14:paraId="7483D36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23.2 (17.4)</w:t>
            </w:r>
          </w:p>
        </w:tc>
        <w:tc>
          <w:tcPr>
            <w:tcW w:w="851" w:type="dxa"/>
            <w:vAlign w:val="center"/>
          </w:tcPr>
          <w:p w14:paraId="0052BE77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94" w:type="dxa"/>
            <w:vAlign w:val="center"/>
          </w:tcPr>
          <w:p w14:paraId="016181D3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36.6 (24.6)</w:t>
            </w:r>
          </w:p>
        </w:tc>
        <w:tc>
          <w:tcPr>
            <w:tcW w:w="1115" w:type="dxa"/>
            <w:vAlign w:val="center"/>
          </w:tcPr>
          <w:p w14:paraId="14BE1DA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16.9 (8.1)</w:t>
            </w:r>
          </w:p>
        </w:tc>
        <w:tc>
          <w:tcPr>
            <w:tcW w:w="851" w:type="dxa"/>
            <w:vAlign w:val="center"/>
          </w:tcPr>
          <w:p w14:paraId="5C85232A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57</w:t>
            </w:r>
          </w:p>
        </w:tc>
      </w:tr>
      <w:tr w:rsidR="00F4158F" w:rsidRPr="00B010A6" w14:paraId="5E969542" w14:textId="77777777" w:rsidTr="0022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tcW w:w="1838" w:type="dxa"/>
            <w:vAlign w:val="center"/>
          </w:tcPr>
          <w:p w14:paraId="584F354F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right="100" w:firstLine="0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 xml:space="preserve"> ∆</w:t>
            </w: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  <w:vertAlign w:val="subscript"/>
              </w:rPr>
              <w:t>(d2-d1)</w:t>
            </w: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PatCO₂</w:t>
            </w:r>
          </w:p>
        </w:tc>
        <w:tc>
          <w:tcPr>
            <w:tcW w:w="1077" w:type="dxa"/>
            <w:vAlign w:val="center"/>
          </w:tcPr>
          <w:p w14:paraId="71BCFA3A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-2.1 (10.8)</w:t>
            </w:r>
          </w:p>
        </w:tc>
        <w:tc>
          <w:tcPr>
            <w:tcW w:w="1333" w:type="dxa"/>
            <w:vAlign w:val="center"/>
          </w:tcPr>
          <w:p w14:paraId="79D87DCD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-4.6 (8.0)</w:t>
            </w:r>
          </w:p>
        </w:tc>
        <w:tc>
          <w:tcPr>
            <w:tcW w:w="1559" w:type="dxa"/>
            <w:vAlign w:val="center"/>
          </w:tcPr>
          <w:p w14:paraId="015F0FB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3.6 (14.2)</w:t>
            </w:r>
          </w:p>
        </w:tc>
        <w:tc>
          <w:tcPr>
            <w:tcW w:w="851" w:type="dxa"/>
            <w:vAlign w:val="center"/>
          </w:tcPr>
          <w:p w14:paraId="36E9DAA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94" w:type="dxa"/>
            <w:vAlign w:val="center"/>
          </w:tcPr>
          <w:p w14:paraId="447550D2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4.8 (23.5)</w:t>
            </w:r>
          </w:p>
        </w:tc>
        <w:tc>
          <w:tcPr>
            <w:tcW w:w="1115" w:type="dxa"/>
            <w:vAlign w:val="center"/>
          </w:tcPr>
          <w:p w14:paraId="63AA50AB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3.2 (10.1)</w:t>
            </w:r>
          </w:p>
        </w:tc>
        <w:tc>
          <w:tcPr>
            <w:tcW w:w="851" w:type="dxa"/>
            <w:vAlign w:val="center"/>
          </w:tcPr>
          <w:p w14:paraId="17E59BCC" w14:textId="77777777" w:rsidR="00F4158F" w:rsidRPr="00B010A6" w:rsidRDefault="00F4158F" w:rsidP="0022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0"/>
              <w:jc w:val="center"/>
              <w:rPr>
                <w:rFonts w:ascii="Aptos" w:eastAsia="Helvetica" w:hAnsi="Aptos" w:cs="Helvetica"/>
                <w:color w:val="000000"/>
                <w:sz w:val="18"/>
                <w:szCs w:val="18"/>
              </w:rPr>
            </w:pPr>
            <w:r w:rsidRPr="00B010A6"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0.0</w:t>
            </w:r>
            <w:r>
              <w:rPr>
                <w:rFonts w:ascii="Aptos" w:eastAsia="Helvetica" w:hAnsi="Aptos" w:cs="Helvetica"/>
                <w:color w:val="000000"/>
                <w:sz w:val="18"/>
                <w:szCs w:val="18"/>
              </w:rPr>
              <w:t>2</w:t>
            </w:r>
          </w:p>
        </w:tc>
      </w:tr>
    </w:tbl>
    <w:p w14:paraId="51E8EF00" w14:textId="77777777" w:rsidR="00F4158F" w:rsidRDefault="00F4158F" w:rsidP="00F4158F">
      <w:pPr>
        <w:pStyle w:val="Souslegperso"/>
        <w:ind w:left="0" w:right="0"/>
      </w:pPr>
      <w:r w:rsidRPr="001A7BB2">
        <w:t>PtC</w:t>
      </w:r>
      <w:r>
        <w:t>O₂</w:t>
      </w:r>
      <w:r w:rsidRPr="001A7BB2">
        <w:t xml:space="preserve"> and PatC</w:t>
      </w:r>
      <w:r>
        <w:t>O₂</w:t>
      </w:r>
      <w:r w:rsidRPr="001A7BB2">
        <w:t xml:space="preserve"> mean</w:t>
      </w:r>
      <w:r>
        <w:t xml:space="preserve"> (</w:t>
      </w:r>
      <w:r w:rsidRPr="000D434B">
        <w:t xml:space="preserve">SD) values at baseline, during day 1, day 2, the first 48h following admission, and PatCO₂ variation between day 1 and day 2, expressed in mmHg. </w:t>
      </w:r>
      <w:r>
        <w:t>Nonsurvivors were stratified into early (≤ day 7) and late (between day 7 and day 28) deaths.</w:t>
      </w:r>
    </w:p>
    <w:p w14:paraId="7025ADA9" w14:textId="77777777" w:rsidR="00F4158F" w:rsidRDefault="00F4158F" w:rsidP="00F4158F">
      <w:pPr>
        <w:pStyle w:val="Souslegperso"/>
        <w:ind w:left="0" w:right="0"/>
      </w:pPr>
      <w:r>
        <w:t xml:space="preserve">NS : nonsurvivors, p-val : p value, </w:t>
      </w:r>
      <w:r w:rsidRPr="000D434B">
        <w:t xml:space="preserve">PtCO₂ </w:t>
      </w:r>
      <w:r>
        <w:t>:</w:t>
      </w:r>
      <w:r w:rsidRPr="000D434B">
        <w:t xml:space="preserve"> Transcutaneous partial pressure in CO₂, PatCO₂ </w:t>
      </w:r>
      <w:r>
        <w:t>:</w:t>
      </w:r>
      <w:r w:rsidRPr="000D434B">
        <w:t xml:space="preserve"> arterio-tissular gradient in CO₂, ∆</w:t>
      </w:r>
      <w:r w:rsidRPr="000D434B">
        <w:rPr>
          <w:vertAlign w:val="subscript"/>
        </w:rPr>
        <w:t>(d2-d1)</w:t>
      </w:r>
      <w:r w:rsidRPr="000D434B">
        <w:t xml:space="preserve">PatCO₂ </w:t>
      </w:r>
      <w:r>
        <w:t>:</w:t>
      </w:r>
      <w:r w:rsidRPr="000D434B">
        <w:t xml:space="preserve"> PatCO₂ difference between day 2</w:t>
      </w:r>
      <w:r w:rsidRPr="001A7BB2">
        <w:t xml:space="preserve"> and day 1.</w:t>
      </w:r>
    </w:p>
    <w:p w14:paraId="7084245A" w14:textId="77777777" w:rsidR="00F4158F" w:rsidRPr="00B65E45" w:rsidRDefault="00F4158F" w:rsidP="00F4158F">
      <w:pPr>
        <w:pStyle w:val="Souslegperso"/>
        <w:ind w:left="0" w:right="0"/>
      </w:pPr>
    </w:p>
    <w:p w14:paraId="443FCC6F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8F"/>
    <w:rsid w:val="002978F5"/>
    <w:rsid w:val="003852CF"/>
    <w:rsid w:val="004E780C"/>
    <w:rsid w:val="004E796E"/>
    <w:rsid w:val="00F4158F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6405"/>
  <w15:chartTrackingRefBased/>
  <w15:docId w15:val="{92DA7087-54A4-494B-80BE-84CE57F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8F"/>
    <w:pPr>
      <w:suppressAutoHyphens/>
      <w:spacing w:before="240" w:after="240" w:line="360" w:lineRule="auto"/>
      <w:ind w:firstLine="284"/>
      <w:jc w:val="both"/>
    </w:pPr>
    <w:rPr>
      <w:rFonts w:ascii="Arial" w:eastAsia="SimSun" w:hAnsi="Arial" w:cs="Times New Roman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58F"/>
    <w:pPr>
      <w:keepNext/>
      <w:keepLines/>
      <w:suppressAutoHyphens w:val="0"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58F"/>
    <w:pPr>
      <w:keepNext/>
      <w:keepLines/>
      <w:suppressAutoHyphens w:val="0"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58F"/>
    <w:pPr>
      <w:keepNext/>
      <w:keepLines/>
      <w:suppressAutoHyphens w:val="0"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58F"/>
    <w:pPr>
      <w:keepNext/>
      <w:keepLines/>
      <w:suppressAutoHyphens w:val="0"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58F"/>
    <w:pPr>
      <w:keepNext/>
      <w:keepLines/>
      <w:suppressAutoHyphens w:val="0"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58F"/>
    <w:pPr>
      <w:keepNext/>
      <w:keepLines/>
      <w:suppressAutoHyphens w:val="0"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58F"/>
    <w:pPr>
      <w:keepNext/>
      <w:keepLines/>
      <w:suppressAutoHyphens w:val="0"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58F"/>
    <w:pPr>
      <w:keepNext/>
      <w:keepLines/>
      <w:suppressAutoHyphens w:val="0"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58F"/>
    <w:pPr>
      <w:keepNext/>
      <w:keepLines/>
      <w:suppressAutoHyphens w:val="0"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58F"/>
    <w:pPr>
      <w:suppressAutoHyphens w:val="0"/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58F"/>
    <w:pPr>
      <w:numPr>
        <w:ilvl w:val="1"/>
      </w:numPr>
      <w:suppressAutoHyphens w:val="0"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1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58F"/>
    <w:pPr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1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58F"/>
    <w:pPr>
      <w:suppressAutoHyphens w:val="0"/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1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58F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F4158F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perso">
    <w:name w:val="Tab_perso"/>
    <w:basedOn w:val="Normal"/>
    <w:link w:val="TabpersoCar"/>
    <w:qFormat/>
    <w:rsid w:val="00F4158F"/>
    <w:pPr>
      <w:spacing w:before="0" w:after="120" w:line="240" w:lineRule="auto"/>
      <w:ind w:left="567" w:right="567" w:firstLine="0"/>
    </w:pPr>
    <w:rPr>
      <w:rFonts w:ascii="Aptos" w:hAnsi="Aptos"/>
      <w:b/>
      <w:sz w:val="22"/>
      <w:szCs w:val="22"/>
      <w:lang w:val="en-US"/>
    </w:rPr>
  </w:style>
  <w:style w:type="character" w:customStyle="1" w:styleId="TabpersoCar">
    <w:name w:val="Tab_perso Car"/>
    <w:basedOn w:val="DefaultParagraphFont"/>
    <w:link w:val="Tabperso"/>
    <w:rsid w:val="00F4158F"/>
    <w:rPr>
      <w:rFonts w:ascii="Aptos" w:eastAsia="SimSun" w:hAnsi="Aptos" w:cs="Times New Roman"/>
      <w:b/>
      <w:kern w:val="0"/>
      <w:sz w:val="22"/>
      <w:szCs w:val="22"/>
      <w:lang w:eastAsia="fr-FR"/>
      <w14:ligatures w14:val="none"/>
    </w:rPr>
  </w:style>
  <w:style w:type="paragraph" w:customStyle="1" w:styleId="Souslegperso">
    <w:name w:val="Sous_leg_perso"/>
    <w:basedOn w:val="Normal"/>
    <w:qFormat/>
    <w:rsid w:val="00F4158F"/>
    <w:pPr>
      <w:spacing w:before="0" w:after="120" w:line="240" w:lineRule="auto"/>
      <w:ind w:left="567" w:right="567" w:firstLine="0"/>
    </w:pPr>
    <w:rPr>
      <w:rFonts w:ascii="Aptos" w:hAnsi="Aptos"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2026-05-11T14:14:00Z</dcterms:created>
  <dcterms:modified xsi:type="dcterms:W3CDTF">2026-05-11T14:15:00Z</dcterms:modified>
</cp:coreProperties>
</file>