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A291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Supplementary</w:t>
      </w:r>
      <w:bookmarkStart w:id="0" w:name="_GoBack"/>
      <w:bookmarkEnd w:id="0"/>
    </w:p>
    <w:p w14:paraId="0D658388">
      <w:pPr>
        <w:pStyle w:val="6"/>
        <w:spacing w:line="360" w:lineRule="auto"/>
        <w:jc w:val="left"/>
        <w:rPr>
          <w:rFonts w:ascii="Times New Roman" w:hAnsi="Times New Roman"/>
          <w:kern w:val="36"/>
          <w:sz w:val="22"/>
          <w:szCs w:val="22"/>
          <w:lang w:eastAsia="zh-CN"/>
        </w:rPr>
      </w:pPr>
      <w:r>
        <w:rPr>
          <w:rFonts w:ascii="Times New Roman" w:hAnsi="Times New Roman"/>
          <w:kern w:val="36"/>
          <w:sz w:val="22"/>
          <w:szCs w:val="22"/>
          <w:lang w:eastAsia="zh-CN"/>
        </w:rPr>
        <w:t>Clinicopathological evaluation of mismatch repair protein expression and circulating biomarkers in colorectal carcinoma and colorectal polyps</w:t>
      </w:r>
    </w:p>
    <w:p w14:paraId="42054DA4">
      <w:pPr>
        <w:pStyle w:val="2"/>
        <w:spacing w:before="214" w:line="208" w:lineRule="auto"/>
        <w:ind w:left="10" w:leftChars="5"/>
        <w:jc w:val="left"/>
        <w:rPr>
          <w:color w:val="000000" w:themeColor="text1"/>
          <w:sz w:val="22"/>
          <w:szCs w:val="22"/>
          <w14:textFill>
            <w14:solidFill>
              <w14:schemeClr w14:val="tx1"/>
            </w14:solidFill>
          </w14:textFill>
        </w:rPr>
      </w:pPr>
      <w:r>
        <w:rPr>
          <w:color w:val="000000" w:themeColor="text1"/>
          <w:kern w:val="0"/>
          <w:sz w:val="22"/>
          <w:szCs w:val="22"/>
          <w:lang w:eastAsia="zh-CN"/>
          <w14:textFill>
            <w14:solidFill>
              <w14:schemeClr w14:val="tx1"/>
            </w14:solidFill>
          </w14:textFill>
        </w:rPr>
        <w:t>Yan Li</w:t>
      </w:r>
      <w:r>
        <w:rPr>
          <w:color w:val="000000" w:themeColor="text1"/>
          <w:spacing w:val="2"/>
          <w:position w:val="6"/>
          <w:sz w:val="22"/>
          <w:szCs w:val="22"/>
          <w14:textFill>
            <w14:solidFill>
              <w14:schemeClr w14:val="tx1"/>
            </w14:solidFill>
          </w14:textFill>
        </w:rPr>
        <w:t>1,2*,</w:t>
      </w:r>
      <w:r>
        <w:rPr>
          <w:color w:val="000000" w:themeColor="text1"/>
          <w:kern w:val="0"/>
          <w:sz w:val="22"/>
          <w:szCs w:val="22"/>
          <w:lang w:eastAsia="zh-CN"/>
          <w14:textFill>
            <w14:solidFill>
              <w14:schemeClr w14:val="tx1"/>
            </w14:solidFill>
          </w14:textFill>
        </w:rPr>
        <w:t xml:space="preserve"> Lizhen Dou</w:t>
      </w:r>
      <w:r>
        <w:rPr>
          <w:color w:val="000000" w:themeColor="text1"/>
          <w:spacing w:val="2"/>
          <w:position w:val="6"/>
          <w:sz w:val="22"/>
          <w:szCs w:val="22"/>
          <w14:textFill>
            <w14:solidFill>
              <w14:schemeClr w14:val="tx1"/>
            </w14:solidFill>
          </w14:textFill>
        </w:rPr>
        <w:t>4*</w:t>
      </w:r>
      <w:r>
        <w:rPr>
          <w:color w:val="000000" w:themeColor="text1"/>
          <w:kern w:val="0"/>
          <w:sz w:val="22"/>
          <w:szCs w:val="22"/>
          <w:lang w:eastAsia="zh-CN"/>
          <w14:textFill>
            <w14:solidFill>
              <w14:schemeClr w14:val="tx1"/>
            </w14:solidFill>
          </w14:textFill>
        </w:rPr>
        <w:t>, Tian Huan</w:t>
      </w:r>
      <w:r>
        <w:rPr>
          <w:rFonts w:eastAsia="宋体"/>
          <w:color w:val="000000" w:themeColor="text1"/>
          <w:spacing w:val="2"/>
          <w:position w:val="6"/>
          <w:sz w:val="22"/>
          <w:szCs w:val="22"/>
          <w:lang w:eastAsia="zh-CN"/>
          <w14:textFill>
            <w14:solidFill>
              <w14:schemeClr w14:val="tx1"/>
            </w14:solidFill>
          </w14:textFill>
        </w:rPr>
        <w:t>6,7</w:t>
      </w:r>
      <w:r>
        <w:rPr>
          <w:color w:val="000000" w:themeColor="text1"/>
          <w:spacing w:val="2"/>
          <w:position w:val="6"/>
          <w:sz w:val="22"/>
          <w:szCs w:val="22"/>
          <w14:textFill>
            <w14:solidFill>
              <w14:schemeClr w14:val="tx1"/>
            </w14:solidFill>
          </w14:textFill>
        </w:rPr>
        <w:t>*</w:t>
      </w:r>
      <w:r>
        <w:rPr>
          <w:color w:val="000000" w:themeColor="text1"/>
          <w:kern w:val="0"/>
          <w:sz w:val="22"/>
          <w:szCs w:val="22"/>
          <w:lang w:eastAsia="zh-CN"/>
          <w14:textFill>
            <w14:solidFill>
              <w14:schemeClr w14:val="tx1"/>
            </w14:solidFill>
          </w14:textFill>
        </w:rPr>
        <w:t>, Yu Xiong</w:t>
      </w:r>
      <w:r>
        <w:rPr>
          <w:color w:val="000000" w:themeColor="text1"/>
          <w:spacing w:val="1"/>
          <w:position w:val="6"/>
          <w:sz w:val="22"/>
          <w:szCs w:val="22"/>
          <w14:textFill>
            <w14:solidFill>
              <w14:schemeClr w14:val="tx1"/>
            </w14:solidFill>
          </w14:textFill>
        </w:rPr>
        <w:t>1,</w:t>
      </w:r>
      <w:r>
        <w:rPr>
          <w:rFonts w:eastAsia="宋体"/>
          <w:color w:val="000000" w:themeColor="text1"/>
          <w:spacing w:val="1"/>
          <w:position w:val="6"/>
          <w:sz w:val="22"/>
          <w:szCs w:val="22"/>
          <w:lang w:eastAsia="zh-CN"/>
          <w14:textFill>
            <w14:solidFill>
              <w14:schemeClr w14:val="tx1"/>
            </w14:solidFill>
          </w14:textFill>
        </w:rPr>
        <w:t>2,3</w:t>
      </w:r>
      <w:r>
        <w:rPr>
          <w:color w:val="000000" w:themeColor="text1"/>
          <w:kern w:val="0"/>
          <w:sz w:val="22"/>
          <w:szCs w:val="22"/>
          <w:lang w:eastAsia="zh-CN"/>
          <w14:textFill>
            <w14:solidFill>
              <w14:schemeClr w14:val="tx1"/>
            </w14:solidFill>
          </w14:textFill>
        </w:rPr>
        <w:t xml:space="preserve">, </w:t>
      </w:r>
      <w:r>
        <w:rPr>
          <w:rFonts w:eastAsia="宋体"/>
          <w:color w:val="000000" w:themeColor="text1"/>
          <w:spacing w:val="1"/>
          <w:position w:val="-2"/>
          <w:sz w:val="22"/>
          <w:szCs w:val="22"/>
          <w:lang w:eastAsia="zh-CN"/>
          <w14:textFill>
            <w14:solidFill>
              <w14:schemeClr w14:val="tx1"/>
            </w14:solidFill>
          </w14:textFill>
        </w:rPr>
        <w:t>Chan Wei</w:t>
      </w:r>
      <w:r>
        <w:rPr>
          <w:color w:val="000000" w:themeColor="text1"/>
          <w:spacing w:val="1"/>
          <w:position w:val="6"/>
          <w:sz w:val="22"/>
          <w:szCs w:val="22"/>
          <w14:textFill>
            <w14:solidFill>
              <w14:schemeClr w14:val="tx1"/>
            </w14:solidFill>
          </w14:textFill>
        </w:rPr>
        <w:t>1,</w:t>
      </w:r>
      <w:r>
        <w:rPr>
          <w:rFonts w:eastAsia="宋体"/>
          <w:color w:val="000000" w:themeColor="text1"/>
          <w:spacing w:val="1"/>
          <w:position w:val="6"/>
          <w:sz w:val="22"/>
          <w:szCs w:val="22"/>
          <w:lang w:eastAsia="zh-CN"/>
          <w14:textFill>
            <w14:solidFill>
              <w14:schemeClr w14:val="tx1"/>
            </w14:solidFill>
          </w14:textFill>
        </w:rPr>
        <w:t>2</w:t>
      </w:r>
      <w:r>
        <w:rPr>
          <w:color w:val="000000" w:themeColor="text1"/>
          <w:kern w:val="0"/>
          <w:sz w:val="22"/>
          <w:szCs w:val="22"/>
          <w:lang w:eastAsia="zh-CN"/>
          <w14:textFill>
            <w14:solidFill>
              <w14:schemeClr w14:val="tx1"/>
            </w14:solidFill>
          </w14:textFill>
        </w:rPr>
        <w:t>, Li Huang</w:t>
      </w:r>
      <w:r>
        <w:rPr>
          <w:color w:val="000000" w:themeColor="text1"/>
          <w:spacing w:val="1"/>
          <w:position w:val="6"/>
          <w:sz w:val="22"/>
          <w:szCs w:val="22"/>
          <w14:textFill>
            <w14:solidFill>
              <w14:schemeClr w14:val="tx1"/>
            </w14:solidFill>
          </w14:textFill>
        </w:rPr>
        <w:t>1,</w:t>
      </w:r>
      <w:r>
        <w:rPr>
          <w:rFonts w:eastAsia="宋体"/>
          <w:color w:val="000000" w:themeColor="text1"/>
          <w:spacing w:val="1"/>
          <w:position w:val="6"/>
          <w:sz w:val="22"/>
          <w:szCs w:val="22"/>
          <w:lang w:eastAsia="zh-CN"/>
          <w14:textFill>
            <w14:solidFill>
              <w14:schemeClr w14:val="tx1"/>
            </w14:solidFill>
          </w14:textFill>
        </w:rPr>
        <w:t>2</w:t>
      </w:r>
      <w:r>
        <w:rPr>
          <w:color w:val="000000" w:themeColor="text1"/>
          <w:kern w:val="0"/>
          <w:sz w:val="22"/>
          <w:szCs w:val="22"/>
          <w:lang w:eastAsia="zh-CN"/>
          <w14:textFill>
            <w14:solidFill>
              <w14:schemeClr w14:val="tx1"/>
            </w14:solidFill>
          </w14:textFill>
        </w:rPr>
        <w:t>, Zhuoyi Qiu</w:t>
      </w:r>
      <w:r>
        <w:rPr>
          <w:color w:val="000000" w:themeColor="text1"/>
          <w:spacing w:val="1"/>
          <w:position w:val="6"/>
          <w:sz w:val="22"/>
          <w:szCs w:val="22"/>
          <w14:textFill>
            <w14:solidFill>
              <w14:schemeClr w14:val="tx1"/>
            </w14:solidFill>
          </w14:textFill>
        </w:rPr>
        <w:t>1,</w:t>
      </w:r>
      <w:r>
        <w:rPr>
          <w:rFonts w:eastAsia="宋体"/>
          <w:color w:val="000000" w:themeColor="text1"/>
          <w:spacing w:val="1"/>
          <w:position w:val="6"/>
          <w:sz w:val="22"/>
          <w:szCs w:val="22"/>
          <w:lang w:eastAsia="zh-CN"/>
          <w14:textFill>
            <w14:solidFill>
              <w14:schemeClr w14:val="tx1"/>
            </w14:solidFill>
          </w14:textFill>
        </w:rPr>
        <w:t>2</w:t>
      </w:r>
      <w:r>
        <w:rPr>
          <w:color w:val="000000" w:themeColor="text1"/>
          <w:kern w:val="0"/>
          <w:sz w:val="22"/>
          <w:szCs w:val="22"/>
          <w:lang w:eastAsia="zh-CN"/>
          <w14:textFill>
            <w14:solidFill>
              <w14:schemeClr w14:val="tx1"/>
            </w14:solidFill>
          </w14:textFill>
        </w:rPr>
        <w:t>, Yanshan Bi</w:t>
      </w:r>
      <w:r>
        <w:rPr>
          <w:color w:val="000000" w:themeColor="text1"/>
          <w:spacing w:val="1"/>
          <w:position w:val="6"/>
          <w:sz w:val="22"/>
          <w:szCs w:val="22"/>
          <w14:textFill>
            <w14:solidFill>
              <w14:schemeClr w14:val="tx1"/>
            </w14:solidFill>
          </w14:textFill>
        </w:rPr>
        <w:t>1,</w:t>
      </w:r>
      <w:r>
        <w:rPr>
          <w:rFonts w:eastAsia="宋体"/>
          <w:color w:val="000000" w:themeColor="text1"/>
          <w:spacing w:val="1"/>
          <w:position w:val="6"/>
          <w:sz w:val="22"/>
          <w:szCs w:val="22"/>
          <w:lang w:eastAsia="zh-CN"/>
          <w14:textFill>
            <w14:solidFill>
              <w14:schemeClr w14:val="tx1"/>
            </w14:solidFill>
          </w14:textFill>
        </w:rPr>
        <w:t>2</w:t>
      </w:r>
      <w:r>
        <w:rPr>
          <w:color w:val="000000" w:themeColor="text1"/>
          <w:spacing w:val="1"/>
          <w:position w:val="-2"/>
          <w:sz w:val="22"/>
          <w:szCs w:val="22"/>
          <w14:textFill>
            <w14:solidFill>
              <w14:schemeClr w14:val="tx1"/>
            </w14:solidFill>
          </w14:textFill>
        </w:rPr>
        <w:t xml:space="preserve">, </w:t>
      </w:r>
      <w:r>
        <w:rPr>
          <w:rFonts w:eastAsia="宋体"/>
          <w:color w:val="000000" w:themeColor="text1"/>
          <w:position w:val="-2"/>
          <w:sz w:val="22"/>
          <w:szCs w:val="22"/>
          <w:lang w:eastAsia="zh-CN"/>
          <w14:textFill>
            <w14:solidFill>
              <w14:schemeClr w14:val="tx1"/>
            </w14:solidFill>
          </w14:textFill>
        </w:rPr>
        <w:t>Qiaoqiao</w:t>
      </w:r>
      <w:r>
        <w:rPr>
          <w:color w:val="000000" w:themeColor="text1"/>
          <w:spacing w:val="1"/>
          <w:position w:val="-2"/>
          <w:sz w:val="22"/>
          <w:szCs w:val="22"/>
          <w14:textFill>
            <w14:solidFill>
              <w14:schemeClr w14:val="tx1"/>
            </w14:solidFill>
          </w14:textFill>
        </w:rPr>
        <w:t xml:space="preserve"> </w:t>
      </w:r>
      <w:r>
        <w:rPr>
          <w:rFonts w:eastAsia="宋体"/>
          <w:color w:val="000000" w:themeColor="text1"/>
          <w:position w:val="-2"/>
          <w:sz w:val="22"/>
          <w:szCs w:val="22"/>
          <w:lang w:eastAsia="zh-CN"/>
          <w14:textFill>
            <w14:solidFill>
              <w14:schemeClr w14:val="tx1"/>
            </w14:solidFill>
          </w14:textFill>
        </w:rPr>
        <w:t>Liu</w:t>
      </w:r>
      <w:r>
        <w:rPr>
          <w:rFonts w:eastAsia="宋体"/>
          <w:color w:val="000000" w:themeColor="text1"/>
          <w:spacing w:val="1"/>
          <w:position w:val="5"/>
          <w:sz w:val="22"/>
          <w:szCs w:val="22"/>
          <w:lang w:eastAsia="zh-CN"/>
          <w14:textFill>
            <w14:solidFill>
              <w14:schemeClr w14:val="tx1"/>
            </w14:solidFill>
          </w14:textFill>
        </w:rPr>
        <w:t>8</w:t>
      </w:r>
      <w:r>
        <w:rPr>
          <w:color w:val="000000" w:themeColor="text1"/>
          <w:spacing w:val="1"/>
          <w:position w:val="5"/>
          <w:sz w:val="22"/>
          <w:szCs w:val="22"/>
          <w14:textFill>
            <w14:solidFill>
              <w14:schemeClr w14:val="tx1"/>
            </w14:solidFill>
          </w14:textFill>
        </w:rPr>
        <w:t>#</w:t>
      </w:r>
      <w:r>
        <w:rPr>
          <w:color w:val="000000" w:themeColor="text1"/>
          <w:kern w:val="0"/>
          <w:sz w:val="22"/>
          <w:szCs w:val="22"/>
          <w:lang w:eastAsia="zh-CN"/>
          <w14:textFill>
            <w14:solidFill>
              <w14:schemeClr w14:val="tx1"/>
            </w14:solidFill>
          </w14:textFill>
        </w:rPr>
        <w:t>, Q</w:t>
      </w:r>
      <w:r>
        <w:rPr>
          <w:rFonts w:eastAsia="宋体"/>
          <w:color w:val="000000" w:themeColor="text1"/>
          <w:position w:val="-1"/>
          <w:sz w:val="22"/>
          <w:szCs w:val="22"/>
          <w:lang w:eastAsia="zh-CN"/>
          <w14:textFill>
            <w14:solidFill>
              <w14:schemeClr w14:val="tx1"/>
            </w14:solidFill>
          </w14:textFill>
        </w:rPr>
        <w:t xml:space="preserve">inghua </w:t>
      </w:r>
      <w:r>
        <w:rPr>
          <w:color w:val="000000" w:themeColor="text1"/>
          <w:position w:val="-2"/>
          <w:sz w:val="22"/>
          <w:szCs w:val="22"/>
          <w14:textFill>
            <w14:solidFill>
              <w14:schemeClr w14:val="tx1"/>
            </w14:solidFill>
          </w14:textFill>
        </w:rPr>
        <w:t>H</w:t>
      </w:r>
      <w:r>
        <w:rPr>
          <w:rFonts w:eastAsia="宋体"/>
          <w:color w:val="000000" w:themeColor="text1"/>
          <w:position w:val="-2"/>
          <w:sz w:val="22"/>
          <w:szCs w:val="22"/>
          <w:lang w:eastAsia="zh-CN"/>
          <w14:textFill>
            <w14:solidFill>
              <w14:schemeClr w14:val="tx1"/>
            </w14:solidFill>
          </w14:textFill>
        </w:rPr>
        <w:t>uang</w:t>
      </w:r>
      <w:r>
        <w:rPr>
          <w:rFonts w:eastAsia="宋体"/>
          <w:color w:val="000000" w:themeColor="text1"/>
          <w:spacing w:val="1"/>
          <w:position w:val="5"/>
          <w:sz w:val="22"/>
          <w:szCs w:val="22"/>
          <w:lang w:eastAsia="zh-CN"/>
          <w14:textFill>
            <w14:solidFill>
              <w14:schemeClr w14:val="tx1"/>
            </w14:solidFill>
          </w14:textFill>
        </w:rPr>
        <w:t>5</w:t>
      </w:r>
      <w:r>
        <w:rPr>
          <w:color w:val="000000" w:themeColor="text1"/>
          <w:spacing w:val="1"/>
          <w:position w:val="5"/>
          <w:sz w:val="22"/>
          <w:szCs w:val="22"/>
          <w14:textFill>
            <w14:solidFill>
              <w14:schemeClr w14:val="tx1"/>
            </w14:solidFill>
          </w14:textFill>
        </w:rPr>
        <w:t>#</w:t>
      </w:r>
    </w:p>
    <w:p w14:paraId="5B091EF5">
      <w:pPr>
        <w:spacing w:line="360" w:lineRule="auto"/>
        <w:jc w:val="left"/>
        <w:rPr>
          <w:rFonts w:ascii="Times" w:hAnsi="Times"/>
          <w:kern w:val="0"/>
          <w:sz w:val="22"/>
          <w:szCs w:val="22"/>
        </w:rPr>
      </w:pPr>
    </w:p>
    <w:p w14:paraId="436D5395">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1 Department of Medical Laboratory, The Third Affiliated Hospital of Guangxi Medical University (The Second Nanning People’s Hospital), Nanning, Guangxi 530031, China.</w:t>
      </w:r>
    </w:p>
    <w:p w14:paraId="059844E7">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2 Guangxi Key Laboratory of Molecular Immunology Research, Nanning, Guangxi 530031, China.</w:t>
      </w:r>
    </w:p>
    <w:p w14:paraId="4C3542CE">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3 China-ASEAN Medical Research Center, China Hospital Development Institute, Shanghai Jiao Tong University, Shanghai 200025, China.</w:t>
      </w:r>
    </w:p>
    <w:p w14:paraId="5EFD4A92">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4 Immunohistochemistry (IHC) Laboratory, The Third Affiliated Hospital of Guangxi Medical University (The Second Nanning People’s Hospital), Nanning, Guangxi 530031, China.</w:t>
      </w:r>
    </w:p>
    <w:p w14:paraId="48AB3769">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5 Department of Clinical Laboratory, Maternal and Child Health Hospital of Nanning City, Nanning, Guangxi 530011, China.</w:t>
      </w:r>
    </w:p>
    <w:p w14:paraId="132DFC45">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6 Laboratory of Stem Cells and Translational Medicine, School of Medicine, The Second Affiliated Hospital of South China University of Technology (Guangzhou First People’s Hospital), Guangzhou, Guangdong 510180, China.</w:t>
      </w:r>
    </w:p>
    <w:p w14:paraId="60C979EC">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7 Laboratory of Stem Cells and Translational Medicine, Institute for Life Science, School of Medicine, South China University of Technology, Guangzhou, Guangdong 510640, China.</w:t>
      </w:r>
    </w:p>
    <w:p w14:paraId="30EF7BA2">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8 Zhejiang University School of Medicine, Hangzhou, Zhejiang 310058, China.</w:t>
      </w:r>
    </w:p>
    <w:p w14:paraId="38E12C14">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 These authors contributed equally to this work.</w:t>
      </w:r>
    </w:p>
    <w:p w14:paraId="6A209A95">
      <w:pPr>
        <w:spacing w:line="360" w:lineRule="auto"/>
        <w:jc w:val="left"/>
        <w:rPr>
          <w:rFonts w:ascii="Times New Roman" w:hAnsi="Times New Roman" w:cs="Times New Roman"/>
          <w:kern w:val="0"/>
          <w:sz w:val="22"/>
          <w:szCs w:val="22"/>
        </w:rPr>
      </w:pPr>
      <w:r>
        <w:rPr>
          <w:rFonts w:ascii="Times New Roman" w:hAnsi="Times New Roman" w:cs="Times New Roman"/>
          <w:kern w:val="0"/>
          <w:sz w:val="22"/>
          <w:szCs w:val="22"/>
        </w:rPr>
        <w:t># Corresponding authors.</w:t>
      </w:r>
    </w:p>
    <w:p w14:paraId="76503201">
      <w:pPr>
        <w:pStyle w:val="7"/>
        <w:jc w:val="left"/>
        <w:rPr>
          <w:rFonts w:hint="eastAsia" w:ascii="Times New Roman" w:hAnsi="Times New Roman" w:cs="Times New Roman"/>
          <w:sz w:val="22"/>
          <w:szCs w:val="22"/>
        </w:rPr>
      </w:pPr>
      <w:r>
        <w:rPr>
          <w:rFonts w:ascii="Times New Roman" w:hAnsi="Times New Roman" w:cs="Times New Roman"/>
          <w:b/>
          <w:bCs/>
          <w:sz w:val="22"/>
          <w:szCs w:val="22"/>
        </w:rPr>
        <w:t>Supplementary Methods</w:t>
      </w:r>
    </w:p>
    <w:p w14:paraId="0596DF60">
      <w:pPr>
        <w:pStyle w:val="9"/>
        <w:spacing w:before="0" w:beforeAutospacing="0" w:after="0" w:afterAutospacing="0" w:line="360" w:lineRule="auto"/>
        <w:ind w:firstLine="220" w:firstLineChars="100"/>
        <w:jc w:val="left"/>
        <w:rPr>
          <w:rFonts w:hint="eastAsia" w:ascii="Times New Roman" w:hAnsi="Times New Roman" w:cs="Times New Roman"/>
          <w:sz w:val="22"/>
          <w:szCs w:val="22"/>
        </w:rPr>
      </w:pPr>
      <w:r>
        <w:rPr>
          <w:rFonts w:ascii="Times New Roman" w:hAnsi="Times New Roman" w:cs="Times New Roman"/>
          <w:sz w:val="22"/>
          <w:szCs w:val="22"/>
        </w:rPr>
        <w:t>Routine laboratory variables were retrospectively extracted from the institutional electronic medical record system of The Second Nanning People’s Hospital for all enrolled patients at the time of diagnosis or admission. The analyzed parameters included coagulation indices (PT-INR, APTT, TT, and PT), tumor-associated markers (AFP and CA153), liver function indicators (ALP, ALB, ALT, AST, and TBil), metabolic and lipid-related variables (GLU, TC, HDL-C, LDL-C, and UA), and renal function markers (creatinine), all of which were measured in the hospital’s clinical laboratory using standardized automated analyzers in accordance with manufacturer protocols and routine quality control procedures. Patients were stratified into colorectal carcinoma and colorectal polyp groups for comparative analysis, and continuous variables were presented as individual data points with mean ± standard deviation. Given that many variables exhibited non-normal distributions, statistical comparisons were primarily performed using the Mann–Whitney U test, with P values &lt; 0.05 considered statistically significant. Data visualization and statistical analyses were conducted using GraphPad Prism (version 10.2.0) and R software (version 2025.09.2+418), ensuring consistency with the analytical framework described in the main Methods section.</w:t>
      </w:r>
    </w:p>
    <w:p w14:paraId="7613558B">
      <w:pPr>
        <w:pStyle w:val="7"/>
        <w:jc w:val="left"/>
        <w:rPr>
          <w:rFonts w:hint="eastAsia" w:ascii="Times New Roman" w:hAnsi="Times New Roman" w:cs="Times New Roman"/>
          <w:b/>
          <w:bCs/>
          <w:sz w:val="22"/>
          <w:szCs w:val="22"/>
        </w:rPr>
      </w:pPr>
      <w:r>
        <w:rPr>
          <w:rFonts w:hint="eastAsia" w:ascii="Times New Roman" w:hAnsi="Times New Roman" w:cs="Times New Roman"/>
          <w:b/>
          <w:bCs/>
          <w:sz w:val="22"/>
          <w:szCs w:val="22"/>
        </w:rPr>
        <w:t>Figure</w:t>
      </w:r>
      <w:r>
        <w:rPr>
          <w:rFonts w:ascii="Times New Roman" w:hAnsi="Times New Roman" w:cs="Times New Roman"/>
          <w:b/>
          <w:bCs/>
          <w:sz w:val="22"/>
          <w:szCs w:val="22"/>
        </w:rPr>
        <w:t xml:space="preserve"> </w:t>
      </w:r>
      <w:r>
        <w:rPr>
          <w:rFonts w:hint="eastAsia" w:ascii="Times New Roman" w:hAnsi="Times New Roman" w:cs="Times New Roman"/>
          <w:b/>
          <w:bCs/>
          <w:sz w:val="22"/>
          <w:szCs w:val="22"/>
        </w:rPr>
        <w:t>Legend</w:t>
      </w:r>
    </w:p>
    <w:p w14:paraId="05F2B794">
      <w:pPr>
        <w:pStyle w:val="7"/>
        <w:spacing w:before="0" w:beforeAutospacing="0" w:after="0" w:afterAutospacing="0" w:line="360" w:lineRule="auto"/>
        <w:jc w:val="left"/>
        <w:rPr>
          <w:rFonts w:hint="eastAsia" w:ascii="Times New Roman" w:hAnsi="Times New Roman" w:cs="Times New Roman"/>
          <w:sz w:val="22"/>
          <w:szCs w:val="22"/>
        </w:rPr>
      </w:pPr>
      <w:r>
        <w:rPr>
          <w:rFonts w:ascii="Times New Roman" w:hAnsi="Times New Roman" w:cs="Times New Roman"/>
          <w:b/>
          <w:bCs/>
          <w:sz w:val="22"/>
          <w:szCs w:val="22"/>
        </w:rPr>
        <w:t>Figure S1.</w:t>
      </w:r>
      <w:r>
        <w:rPr>
          <w:rFonts w:ascii="Times New Roman" w:hAnsi="Times New Roman" w:cs="Times New Roman"/>
          <w:sz w:val="22"/>
          <w:szCs w:val="22"/>
        </w:rPr>
        <w:t xml:space="preserve"> Extended comparison of additional routine laboratory variables between colorectal polyps and colorectal carcinoma. Scatter plots showing group-wise comparisons of additional routine clinical parameters. (A) PT-INR ratio. (B) Activated partial thromboplastin time (APTT). (C) Thrombin time (TT). (D) Prothrombin time (PT). (E) Alpha-fetoprotein (AFP). (F) Cancer antigen 15-3 (CA15-3). (G) Alkaline phosphatase (ALP). (H) Albumin (ALB). (I) Alanine aminotransferase (ALT). (J) Aspartate aminotransferase (AST). (K) Total bilirubin (TBil). (L) Glucose (GLU). (M) Total cholesterol (TC). (N) High-density lipoprotein cholesterol (HDL-C). (O) Low-density lipoprotein cholesterol (LDL-C). (P) Uric acid (UA). (Q) Creatinine (Cr). Blue indicates colorectal polyps and red indicates colorectal carcinoma. Horizontal bars denote group means. Although several variables showed statistically significant differences between groups, most exhibited modest effect sizes and were therefore retained as supplementary findings.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Sylfaen"/>
    <w:panose1 w:val="020B0604020202020204"/>
    <w:charset w:val="00"/>
    <w:family w:val="roman"/>
    <w:pitch w:val="default"/>
    <w:sig w:usb0="00000000" w:usb1="00000000" w:usb2="00000009" w:usb3="00000000" w:csb0="000001FF" w:csb1="00000000"/>
  </w:font>
  <w:font w:name="Sylfaen">
    <w:panose1 w:val="010A0502050306030303"/>
    <w:charset w:val="00"/>
    <w:family w:val="auto"/>
    <w:pitch w:val="default"/>
    <w:sig w:usb0="040006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421CEF08-B0CB-4A5D-9EF3-052983F43E4F}"/>
    <w:docVar w:name="KY_MEDREF_VERSION" w:val="3"/>
  </w:docVars>
  <w:rsids>
    <w:rsidRoot w:val="0075304E"/>
    <w:rsid w:val="00001BA9"/>
    <w:rsid w:val="00002597"/>
    <w:rsid w:val="000174A4"/>
    <w:rsid w:val="00030ECA"/>
    <w:rsid w:val="00031F51"/>
    <w:rsid w:val="0006361E"/>
    <w:rsid w:val="0008619C"/>
    <w:rsid w:val="00095E58"/>
    <w:rsid w:val="000B44F9"/>
    <w:rsid w:val="000B71B9"/>
    <w:rsid w:val="000C1F86"/>
    <w:rsid w:val="0010608C"/>
    <w:rsid w:val="00174DAB"/>
    <w:rsid w:val="00180A96"/>
    <w:rsid w:val="00190054"/>
    <w:rsid w:val="001A2B6F"/>
    <w:rsid w:val="001E75EB"/>
    <w:rsid w:val="00254838"/>
    <w:rsid w:val="002A4538"/>
    <w:rsid w:val="002C497E"/>
    <w:rsid w:val="002E19FB"/>
    <w:rsid w:val="0030583F"/>
    <w:rsid w:val="0031661D"/>
    <w:rsid w:val="00325BEA"/>
    <w:rsid w:val="00336D0C"/>
    <w:rsid w:val="00341F74"/>
    <w:rsid w:val="00352ADA"/>
    <w:rsid w:val="0037184F"/>
    <w:rsid w:val="003C2714"/>
    <w:rsid w:val="004039FF"/>
    <w:rsid w:val="0043116C"/>
    <w:rsid w:val="00465988"/>
    <w:rsid w:val="004C52CF"/>
    <w:rsid w:val="004D4422"/>
    <w:rsid w:val="004F1905"/>
    <w:rsid w:val="005341A3"/>
    <w:rsid w:val="005551BB"/>
    <w:rsid w:val="00564328"/>
    <w:rsid w:val="00594DC3"/>
    <w:rsid w:val="005A1A52"/>
    <w:rsid w:val="005A7335"/>
    <w:rsid w:val="005C5F24"/>
    <w:rsid w:val="005D5F78"/>
    <w:rsid w:val="005E31CF"/>
    <w:rsid w:val="00617AAE"/>
    <w:rsid w:val="00621FDC"/>
    <w:rsid w:val="00633BB0"/>
    <w:rsid w:val="0068184B"/>
    <w:rsid w:val="00682260"/>
    <w:rsid w:val="00687BD9"/>
    <w:rsid w:val="00693734"/>
    <w:rsid w:val="006D3BBE"/>
    <w:rsid w:val="006E2CA6"/>
    <w:rsid w:val="006F65E2"/>
    <w:rsid w:val="00705679"/>
    <w:rsid w:val="0075304E"/>
    <w:rsid w:val="007575A4"/>
    <w:rsid w:val="00764FDD"/>
    <w:rsid w:val="00784D4D"/>
    <w:rsid w:val="007913CB"/>
    <w:rsid w:val="00794AFE"/>
    <w:rsid w:val="008258F7"/>
    <w:rsid w:val="00861BC1"/>
    <w:rsid w:val="008C7C59"/>
    <w:rsid w:val="008F1551"/>
    <w:rsid w:val="009243F0"/>
    <w:rsid w:val="00950C42"/>
    <w:rsid w:val="00976282"/>
    <w:rsid w:val="00A97F3A"/>
    <w:rsid w:val="00AA380F"/>
    <w:rsid w:val="00AA609E"/>
    <w:rsid w:val="00AC71C5"/>
    <w:rsid w:val="00AC79D3"/>
    <w:rsid w:val="00AD7A3C"/>
    <w:rsid w:val="00B07BA0"/>
    <w:rsid w:val="00B17E9C"/>
    <w:rsid w:val="00B70FBA"/>
    <w:rsid w:val="00B806E1"/>
    <w:rsid w:val="00BB53DF"/>
    <w:rsid w:val="00BC4053"/>
    <w:rsid w:val="00BD0192"/>
    <w:rsid w:val="00BE0D15"/>
    <w:rsid w:val="00BE7D05"/>
    <w:rsid w:val="00BF1B66"/>
    <w:rsid w:val="00C071E3"/>
    <w:rsid w:val="00C07BD1"/>
    <w:rsid w:val="00C21F54"/>
    <w:rsid w:val="00C317FE"/>
    <w:rsid w:val="00C76A80"/>
    <w:rsid w:val="00CA6243"/>
    <w:rsid w:val="00DB7731"/>
    <w:rsid w:val="00DD65DD"/>
    <w:rsid w:val="00E17D6C"/>
    <w:rsid w:val="00E30E08"/>
    <w:rsid w:val="00E36FCC"/>
    <w:rsid w:val="00E3754B"/>
    <w:rsid w:val="00E46682"/>
    <w:rsid w:val="00E64AB5"/>
    <w:rsid w:val="00E8768C"/>
    <w:rsid w:val="00F0547F"/>
    <w:rsid w:val="00F20F0A"/>
    <w:rsid w:val="00F254F6"/>
    <w:rsid w:val="00F266E7"/>
    <w:rsid w:val="00F46DF8"/>
    <w:rsid w:val="00F73F8F"/>
    <w:rsid w:val="00F95FAC"/>
    <w:rsid w:val="00FA512F"/>
    <w:rsid w:val="00FF2C97"/>
    <w:rsid w:val="00FF5227"/>
    <w:rsid w:val="00FF6C1F"/>
    <w:rsid w:val="02041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semiHidden/>
    <w:qFormat/>
    <w:uiPriority w:val="0"/>
    <w:rPr>
      <w:rFonts w:ascii="Times New Roman" w:hAnsi="Times New Roman" w:eastAsia="Times New Roman" w:cs="Times New Roman"/>
      <w:sz w:val="22"/>
      <w:lang w:eastAsia="en-US"/>
    </w:rPr>
  </w:style>
  <w:style w:type="character" w:customStyle="1" w:styleId="5">
    <w:name w:val="正文文本 字符"/>
    <w:basedOn w:val="4"/>
    <w:link w:val="2"/>
    <w:semiHidden/>
    <w:qFormat/>
    <w:uiPriority w:val="0"/>
    <w:rPr>
      <w:rFonts w:ascii="Times New Roman" w:hAnsi="Times New Roman" w:eastAsia="Times New Roman" w:cs="Times New Roman"/>
      <w:sz w:val="22"/>
      <w:szCs w:val="22"/>
      <w:lang w:eastAsia="en-US"/>
    </w:rPr>
  </w:style>
  <w:style w:type="paragraph" w:customStyle="1" w:styleId="6">
    <w:name w:val="BC_Author_Address"/>
    <w:basedOn w:val="1"/>
    <w:next w:val="1"/>
    <w:qFormat/>
    <w:uiPriority w:val="0"/>
    <w:pPr>
      <w:widowControl/>
      <w:spacing w:after="240" w:line="480" w:lineRule="auto"/>
      <w:jc w:val="center"/>
    </w:pPr>
    <w:rPr>
      <w:rFonts w:ascii="Times" w:hAnsi="Times" w:eastAsia="宋体" w:cs="Times New Roman"/>
      <w:kern w:val="0"/>
      <w:sz w:val="24"/>
      <w:szCs w:val="20"/>
      <w:lang w:eastAsia="en-US"/>
    </w:rPr>
  </w:style>
  <w:style w:type="paragraph" w:customStyle="1" w:styleId="7">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p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
    <w:name w:val="p3"/>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506</Words>
  <Characters>3416</Characters>
  <Lines>27</Lines>
  <Paragraphs>7</Paragraphs>
  <TotalTime>4</TotalTime>
  <ScaleCrop>false</ScaleCrop>
  <LinksUpToDate>false</LinksUpToDate>
  <CharactersWithSpaces>3905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2026-03-30T14:44:00Z</dcterms:created>
  <dc:creator>LQQ</dc:creator>
  <cp:lastModifiedBy>不知道</cp:lastModifiedBy>
  <dcterms:modified xsi:type="dcterms:W3CDTF">2026-04-22T05:04:59Z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eyJoZGlkIjoiMzg3YzM2MGQ0NmFlMTEyYTk0NTBmZjk2ZWRhZjQzZTciLCJ1c2VySWQiOiI4MTc1ODQ4NDMifQ==</vt:lpwstr>
  </property>
  <property fmtid="{D5CDD505-2E9C-101B-9397-08002B2CF9AE}" pid="3" name="KSOProductBuildVer">
    <vt:lpwstr>2052-12.1.0.25225</vt:lpwstr>
  </property>
  <property fmtid="{D5CDD505-2E9C-101B-9397-08002B2CF9AE}" pid="4" name="ICV">
    <vt:lpwstr>C619277F2A984724BBBE5BEA905936A5_13</vt:lpwstr>
  </property>
</Properties>
</file>