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4B94C" w14:textId="77777777" w:rsidR="00C947A0" w:rsidRPr="004C2E03" w:rsidRDefault="00C947A0" w:rsidP="00C947A0">
      <w:pPr>
        <w:rPr>
          <w:rFonts w:ascii="Times New Roman" w:eastAsiaTheme="minorEastAsia" w:hAnsi="Times New Roman" w:cs="Times New Roman"/>
          <w:sz w:val="21"/>
          <w:szCs w:val="21"/>
        </w:rPr>
      </w:pPr>
      <w:r w:rsidRPr="004C2E03">
        <w:rPr>
          <w:rFonts w:ascii="Times New Roman" w:eastAsiaTheme="minorEastAsia" w:hAnsi="Times New Roman" w:cs="Times New Roman"/>
          <w:noProof/>
          <w:sz w:val="21"/>
          <w:szCs w:val="21"/>
        </w:rPr>
        <w:drawing>
          <wp:inline distT="0" distB="0" distL="0" distR="0" wp14:anchorId="3B1DA05D" wp14:editId="0D438897">
            <wp:extent cx="5274310" cy="3691890"/>
            <wp:effectExtent l="0" t="0" r="2540" b="3810"/>
            <wp:docPr id="14141310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31039" name="图片 14141310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691890"/>
                    </a:xfrm>
                    <a:prstGeom prst="rect">
                      <a:avLst/>
                    </a:prstGeom>
                  </pic:spPr>
                </pic:pic>
              </a:graphicData>
            </a:graphic>
          </wp:inline>
        </w:drawing>
      </w:r>
    </w:p>
    <w:p w14:paraId="7DC54F74" w14:textId="7B164A95" w:rsidR="00C947A0" w:rsidRPr="004C2E03" w:rsidRDefault="00C947A0" w:rsidP="00C947A0">
      <w:pPr>
        <w:rPr>
          <w:rFonts w:ascii="Times New Roman" w:eastAsiaTheme="minorEastAsia" w:hAnsi="Times New Roman" w:cs="Times New Roman"/>
          <w:b/>
          <w:bCs/>
          <w:sz w:val="21"/>
          <w:szCs w:val="21"/>
        </w:rPr>
      </w:pPr>
      <w:r w:rsidRPr="004C2E03">
        <w:rPr>
          <w:rFonts w:ascii="Times New Roman" w:eastAsiaTheme="minorEastAsia" w:hAnsi="Times New Roman" w:cs="Times New Roman"/>
          <w:b/>
          <w:bCs/>
          <w:sz w:val="21"/>
          <w:szCs w:val="21"/>
        </w:rPr>
        <w:t>Supplementary Figure S</w:t>
      </w:r>
      <w:r w:rsidRPr="004C2E03">
        <w:rPr>
          <w:rFonts w:ascii="Times New Roman" w:eastAsiaTheme="minorEastAsia" w:hAnsi="Times New Roman" w:cs="Times New Roman" w:hint="eastAsia"/>
          <w:b/>
          <w:bCs/>
          <w:sz w:val="21"/>
          <w:szCs w:val="21"/>
        </w:rPr>
        <w:t>1</w:t>
      </w:r>
      <w:r w:rsidRPr="004C2E03">
        <w:rPr>
          <w:rFonts w:ascii="Times New Roman" w:eastAsiaTheme="minorEastAsia" w:hAnsi="Times New Roman" w:cs="Times New Roman"/>
          <w:b/>
          <w:bCs/>
          <w:sz w:val="21"/>
          <w:szCs w:val="21"/>
        </w:rPr>
        <w:t>. Quantitative Comparison of Daily Emergency Department Volume Changes Across Specialized Departments.</w:t>
      </w:r>
    </w:p>
    <w:p w14:paraId="158613D9" w14:textId="1B7FE83B" w:rsidR="00C947A0" w:rsidRPr="004C2E03" w:rsidRDefault="00C947A0" w:rsidP="00C947A0">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Notes:</w:t>
      </w:r>
      <w:r w:rsidRPr="004C2E03">
        <w:rPr>
          <w:rFonts w:ascii="Times New Roman" w:eastAsiaTheme="minorEastAsia" w:hAnsi="Times New Roman" w:cs="Times New Roman"/>
          <w:sz w:val="21"/>
          <w:szCs w:val="21"/>
        </w:rPr>
        <w:t xml:space="preserve"> This figure illustrates the distinct departmental patterns of the healthcare-seeking surge across the Main and Validation</w:t>
      </w:r>
      <w:r w:rsidR="007D43F2" w:rsidRPr="004C2E03">
        <w:rPr>
          <w:rFonts w:ascii="Times New Roman" w:eastAsiaTheme="minorEastAsia" w:hAnsi="Times New Roman" w:cs="Times New Roman"/>
          <w:sz w:val="21"/>
          <w:szCs w:val="21"/>
        </w:rPr>
        <w:t xml:space="preserve"> cohorts</w:t>
      </w:r>
      <w:r w:rsidRPr="004C2E03">
        <w:rPr>
          <w:rFonts w:ascii="Times New Roman" w:eastAsiaTheme="minorEastAsia" w:hAnsi="Times New Roman" w:cs="Times New Roman"/>
          <w:sz w:val="21"/>
          <w:szCs w:val="21"/>
        </w:rPr>
        <w:t>.</w:t>
      </w:r>
    </w:p>
    <w:p w14:paraId="53B4254D" w14:textId="77777777" w:rsidR="00C947A0" w:rsidRPr="004C2E03" w:rsidRDefault="00C947A0" w:rsidP="00C947A0">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Bars</w:t>
      </w:r>
      <w:r w:rsidRPr="004C2E03">
        <w:rPr>
          <w:rFonts w:ascii="Times New Roman" w:eastAsiaTheme="minorEastAsia" w:hAnsi="Times New Roman" w:cs="Times New Roman"/>
          <w:sz w:val="21"/>
          <w:szCs w:val="21"/>
        </w:rPr>
        <w:t>: Dark blue bars represent the cardiovascular department, and light blue bars represent the respiratory department. Shaded bars (alpha 0.5) denote the 15-day baseline period (Pre), and solid bars denote the 15-day post-event period (Post). Error bars represent the standard deviation (SD) of daily visit volumes.</w:t>
      </w:r>
    </w:p>
    <w:p w14:paraId="4107E106" w14:textId="77777777" w:rsidR="00C947A0" w:rsidRPr="004C2E03" w:rsidRDefault="00C947A0" w:rsidP="00C947A0">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Statistical Annotations</w:t>
      </w:r>
      <w:r w:rsidRPr="004C2E03">
        <w:rPr>
          <w:rFonts w:ascii="Times New Roman" w:eastAsiaTheme="minorEastAsia" w:hAnsi="Times New Roman" w:cs="Times New Roman"/>
          <w:sz w:val="21"/>
          <w:szCs w:val="21"/>
        </w:rPr>
        <w:t xml:space="preserve">: Independent samples </w:t>
      </w:r>
      <w:r w:rsidRPr="004C2E03">
        <w:rPr>
          <w:rFonts w:ascii="Times New Roman" w:eastAsiaTheme="minorEastAsia" w:hAnsi="Times New Roman" w:cs="Times New Roman"/>
          <w:i/>
          <w:iCs/>
          <w:sz w:val="21"/>
          <w:szCs w:val="21"/>
        </w:rPr>
        <w:t>t</w:t>
      </w:r>
      <w:r w:rsidRPr="004C2E03">
        <w:rPr>
          <w:rFonts w:ascii="Times New Roman" w:eastAsiaTheme="minorEastAsia" w:hAnsi="Times New Roman" w:cs="Times New Roman"/>
          <w:sz w:val="21"/>
          <w:szCs w:val="21"/>
        </w:rPr>
        <w:t xml:space="preserve">-tests were performed to calculate </w:t>
      </w:r>
      <w:r w:rsidRPr="004C2E03">
        <w:rPr>
          <w:rFonts w:ascii="Times New Roman" w:eastAsiaTheme="minorEastAsia" w:hAnsi="Times New Roman" w:cs="Times New Roman"/>
          <w:i/>
          <w:iCs/>
          <w:sz w:val="21"/>
          <w:szCs w:val="21"/>
        </w:rPr>
        <w:t>p</w:t>
      </w:r>
      <w:r w:rsidRPr="004C2E03">
        <w:rPr>
          <w:rFonts w:ascii="Times New Roman" w:eastAsiaTheme="minorEastAsia" w:hAnsi="Times New Roman" w:cs="Times New Roman"/>
          <w:sz w:val="21"/>
          <w:szCs w:val="21"/>
        </w:rPr>
        <w:t>-values, and Cohen’s d was used as the effect size to quantify the magnitude of the level shift relative to baseline fluctuations.</w:t>
      </w:r>
    </w:p>
    <w:p w14:paraId="66508C27" w14:textId="5829F6FA" w:rsidR="00C947A0" w:rsidRPr="004C2E03" w:rsidRDefault="00C947A0" w:rsidP="00C947A0">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Interpretation</w:t>
      </w:r>
      <w:r w:rsidRPr="004C2E03">
        <w:rPr>
          <w:rFonts w:ascii="Times New Roman" w:eastAsiaTheme="minorEastAsia" w:hAnsi="Times New Roman" w:cs="Times New Roman"/>
          <w:sz w:val="21"/>
          <w:szCs w:val="21"/>
        </w:rPr>
        <w:t xml:space="preserve">: The post-event surge was characterized by an overwhelming expansion of cardiovascular service demand (Main: </w:t>
      </w:r>
      <w:r w:rsidRPr="004C2E03">
        <w:rPr>
          <w:rFonts w:ascii="Times New Roman" w:eastAsiaTheme="minorEastAsia" w:hAnsi="Times New Roman" w:cs="Times New Roman"/>
          <w:i/>
          <w:iCs/>
          <w:sz w:val="21"/>
          <w:szCs w:val="21"/>
        </w:rPr>
        <w:t>d</w:t>
      </w:r>
      <w:r w:rsidRPr="004C2E03">
        <w:rPr>
          <w:rFonts w:ascii="Times New Roman" w:eastAsiaTheme="minorEastAsia" w:hAnsi="Times New Roman" w:cs="Times New Roman"/>
          <w:sz w:val="21"/>
          <w:szCs w:val="21"/>
        </w:rPr>
        <w:t xml:space="preserve">=2.94; Validation: </w:t>
      </w:r>
      <w:r w:rsidRPr="004C2E03">
        <w:rPr>
          <w:rFonts w:ascii="Times New Roman" w:eastAsiaTheme="minorEastAsia" w:hAnsi="Times New Roman" w:cs="Times New Roman"/>
          <w:i/>
          <w:iCs/>
          <w:sz w:val="21"/>
          <w:szCs w:val="21"/>
        </w:rPr>
        <w:t>d</w:t>
      </w:r>
      <w:r w:rsidRPr="004C2E03">
        <w:rPr>
          <w:rFonts w:ascii="Times New Roman" w:eastAsiaTheme="minorEastAsia" w:hAnsi="Times New Roman" w:cs="Times New Roman"/>
          <w:sz w:val="21"/>
          <w:szCs w:val="21"/>
        </w:rPr>
        <w:t>=1.85). In contrast, the respiratory department</w:t>
      </w:r>
      <w:r w:rsidRPr="004C2E03">
        <w:rPr>
          <w:rFonts w:ascii="Times New Roman" w:eastAsiaTheme="minorEastAsia" w:hAnsi="Times New Roman" w:cs="Times New Roman" w:hint="eastAsia"/>
          <w:sz w:val="21"/>
          <w:szCs w:val="21"/>
        </w:rPr>
        <w:t>-</w:t>
      </w:r>
      <w:r w:rsidRPr="004C2E03">
        <w:rPr>
          <w:rFonts w:ascii="Times New Roman" w:eastAsiaTheme="minorEastAsia" w:hAnsi="Times New Roman" w:cs="Times New Roman"/>
          <w:sz w:val="21"/>
          <w:szCs w:val="21"/>
        </w:rPr>
        <w:t xml:space="preserve">the only other emergency department in the center—showed no significant change in the </w:t>
      </w:r>
      <w:r w:rsidR="00DC2E93" w:rsidRPr="004C2E03">
        <w:rPr>
          <w:rFonts w:ascii="Times New Roman" w:eastAsiaTheme="minorEastAsia" w:hAnsi="Times New Roman" w:cs="Times New Roman" w:hint="eastAsia"/>
          <w:sz w:val="21"/>
          <w:szCs w:val="21"/>
        </w:rPr>
        <w:t>M</w:t>
      </w:r>
      <w:r w:rsidRPr="004C2E03">
        <w:rPr>
          <w:rFonts w:ascii="Times New Roman" w:eastAsiaTheme="minorEastAsia" w:hAnsi="Times New Roman" w:cs="Times New Roman"/>
          <w:sz w:val="21"/>
          <w:szCs w:val="21"/>
        </w:rPr>
        <w:t>ain cohort (</w:t>
      </w:r>
      <w:r w:rsidRPr="004C2E03">
        <w:rPr>
          <w:rFonts w:ascii="Times New Roman" w:eastAsiaTheme="minorEastAsia" w:hAnsi="Times New Roman" w:cs="Times New Roman"/>
          <w:i/>
          <w:iCs/>
          <w:sz w:val="21"/>
          <w:szCs w:val="21"/>
        </w:rPr>
        <w:t>p</w:t>
      </w:r>
      <w:r w:rsidRPr="004C2E03">
        <w:rPr>
          <w:rFonts w:ascii="Times New Roman" w:eastAsiaTheme="minorEastAsia" w:hAnsi="Times New Roman" w:cs="Times New Roman"/>
          <w:sz w:val="21"/>
          <w:szCs w:val="21"/>
        </w:rPr>
        <w:t>=0.091) and a much smaller absolute increase in the validation cohort. This striking divergence confirms the specialty-specific nature of the surge, effectively ruling out generalized hospital-wide crowding or non-specific seasonal effects.</w:t>
      </w:r>
    </w:p>
    <w:p w14:paraId="2A418CE9" w14:textId="21384266" w:rsidR="00C947A0" w:rsidRPr="004C2E03" w:rsidRDefault="00C947A0">
      <w:pPr>
        <w:widowControl/>
        <w:spacing w:line="240" w:lineRule="auto"/>
        <w:jc w:val="left"/>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lastRenderedPageBreak/>
        <w:br w:type="page"/>
      </w:r>
    </w:p>
    <w:p w14:paraId="0657F7BC" w14:textId="77777777" w:rsidR="008A3558" w:rsidRPr="004C2E03" w:rsidRDefault="008A3558" w:rsidP="00C947A0">
      <w:pPr>
        <w:widowControl/>
        <w:spacing w:line="240" w:lineRule="auto"/>
        <w:jc w:val="left"/>
        <w:rPr>
          <w:rFonts w:ascii="Times New Roman" w:eastAsiaTheme="minorEastAsia" w:hAnsi="Times New Roman" w:cs="Times New Roman"/>
          <w:sz w:val="21"/>
          <w:szCs w:val="21"/>
        </w:rPr>
      </w:pPr>
    </w:p>
    <w:p w14:paraId="56E0180D" w14:textId="11136FAA" w:rsidR="00AA40D4" w:rsidRPr="004C2E03" w:rsidRDefault="00E83DEB">
      <w:pPr>
        <w:rPr>
          <w:rFonts w:ascii="Times New Roman" w:eastAsiaTheme="minorEastAsia" w:hAnsi="Times New Roman" w:cs="Times New Roman"/>
          <w:sz w:val="21"/>
          <w:szCs w:val="21"/>
        </w:rPr>
      </w:pPr>
      <w:r w:rsidRPr="004C2E03">
        <w:rPr>
          <w:rFonts w:ascii="Times New Roman" w:eastAsiaTheme="minorEastAsia" w:hAnsi="Times New Roman" w:cs="Times New Roman"/>
          <w:noProof/>
          <w:sz w:val="21"/>
          <w:szCs w:val="21"/>
        </w:rPr>
        <w:drawing>
          <wp:inline distT="0" distB="0" distL="0" distR="0" wp14:anchorId="31AF7A17" wp14:editId="730E0DF6">
            <wp:extent cx="5274310" cy="5783580"/>
            <wp:effectExtent l="0" t="0" r="2540" b="7620"/>
            <wp:docPr id="1991944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4470" name="图片 1991944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783580"/>
                    </a:xfrm>
                    <a:prstGeom prst="rect">
                      <a:avLst/>
                    </a:prstGeom>
                  </pic:spPr>
                </pic:pic>
              </a:graphicData>
            </a:graphic>
          </wp:inline>
        </w:drawing>
      </w:r>
    </w:p>
    <w:p w14:paraId="7DD26AE7" w14:textId="42060863" w:rsidR="00224E75" w:rsidRPr="004C2E03" w:rsidRDefault="00224E75">
      <w:pPr>
        <w:rPr>
          <w:rFonts w:ascii="Times New Roman" w:eastAsiaTheme="minorEastAsia" w:hAnsi="Times New Roman" w:cs="Times New Roman"/>
          <w:b/>
          <w:bCs/>
          <w:sz w:val="21"/>
          <w:szCs w:val="21"/>
        </w:rPr>
      </w:pPr>
      <w:r w:rsidRPr="004C2E03">
        <w:rPr>
          <w:rFonts w:ascii="Times New Roman" w:eastAsiaTheme="minorEastAsia" w:hAnsi="Times New Roman" w:cs="Times New Roman"/>
          <w:b/>
          <w:bCs/>
          <w:sz w:val="21"/>
          <w:szCs w:val="21"/>
        </w:rPr>
        <w:t xml:space="preserve">Supplementary </w:t>
      </w:r>
      <w:bookmarkStart w:id="0" w:name="OLE_LINK17"/>
      <w:r w:rsidRPr="004C2E03">
        <w:rPr>
          <w:rFonts w:ascii="Times New Roman" w:eastAsiaTheme="minorEastAsia" w:hAnsi="Times New Roman" w:cs="Times New Roman"/>
          <w:b/>
          <w:bCs/>
          <w:sz w:val="21"/>
          <w:szCs w:val="21"/>
        </w:rPr>
        <w:t>Figure S</w:t>
      </w:r>
      <w:r w:rsidR="00C947A0" w:rsidRPr="004C2E03">
        <w:rPr>
          <w:rFonts w:ascii="Times New Roman" w:eastAsiaTheme="minorEastAsia" w:hAnsi="Times New Roman" w:cs="Times New Roman" w:hint="eastAsia"/>
          <w:b/>
          <w:bCs/>
          <w:sz w:val="21"/>
          <w:szCs w:val="21"/>
        </w:rPr>
        <w:t>2</w:t>
      </w:r>
      <w:r w:rsidRPr="004C2E03">
        <w:rPr>
          <w:rFonts w:ascii="Times New Roman" w:eastAsiaTheme="minorEastAsia" w:hAnsi="Times New Roman" w:cs="Times New Roman"/>
          <w:b/>
          <w:bCs/>
          <w:sz w:val="21"/>
          <w:szCs w:val="21"/>
        </w:rPr>
        <w:t>.</w:t>
      </w:r>
      <w:bookmarkEnd w:id="0"/>
      <w:r w:rsidR="00312945" w:rsidRPr="004C2E03">
        <w:rPr>
          <w:rFonts w:ascii="Times New Roman" w:eastAsiaTheme="minorEastAsia" w:hAnsi="Times New Roman" w:cs="Times New Roman" w:hint="eastAsia"/>
          <w:b/>
          <w:bCs/>
          <w:sz w:val="21"/>
          <w:szCs w:val="21"/>
        </w:rPr>
        <w:t xml:space="preserve"> </w:t>
      </w:r>
      <w:r w:rsidR="00312945" w:rsidRPr="004C2E03">
        <w:rPr>
          <w:rFonts w:ascii="Times New Roman" w:eastAsiaTheme="minorEastAsia" w:hAnsi="Times New Roman" w:cs="Times New Roman"/>
          <w:b/>
          <w:bCs/>
          <w:sz w:val="21"/>
          <w:szCs w:val="21"/>
        </w:rPr>
        <w:t>Spatiotemporal Distribution of Emergency Department Presentations Across Hospital</w:t>
      </w:r>
      <w:r w:rsidR="007D43F2" w:rsidRPr="004C2E03">
        <w:rPr>
          <w:rFonts w:ascii="Times New Roman" w:eastAsiaTheme="minorEastAsia" w:hAnsi="Times New Roman" w:cs="Times New Roman"/>
          <w:b/>
          <w:bCs/>
          <w:sz w:val="21"/>
          <w:szCs w:val="21"/>
        </w:rPr>
        <w:t xml:space="preserve"> cohorts</w:t>
      </w:r>
      <w:r w:rsidR="00312945" w:rsidRPr="004C2E03">
        <w:rPr>
          <w:rFonts w:ascii="Times New Roman" w:eastAsiaTheme="minorEastAsia" w:hAnsi="Times New Roman" w:cs="Times New Roman"/>
          <w:b/>
          <w:bCs/>
          <w:sz w:val="21"/>
          <w:szCs w:val="21"/>
        </w:rPr>
        <w:t xml:space="preserve"> and Specialties.</w:t>
      </w:r>
    </w:p>
    <w:p w14:paraId="3E0EAF51" w14:textId="7365A58A" w:rsidR="00312945" w:rsidRPr="004C2E03" w:rsidRDefault="00224E75" w:rsidP="00312945">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Notes:</w:t>
      </w:r>
      <w:r w:rsidRPr="004C2E03">
        <w:rPr>
          <w:rFonts w:ascii="Times New Roman" w:eastAsiaTheme="minorEastAsia" w:hAnsi="Times New Roman" w:cs="Times New Roman"/>
          <w:sz w:val="21"/>
          <w:szCs w:val="21"/>
        </w:rPr>
        <w:t xml:space="preserve"> </w:t>
      </w:r>
      <w:r w:rsidR="00312945" w:rsidRPr="004C2E03">
        <w:rPr>
          <w:rFonts w:ascii="Times New Roman" w:eastAsiaTheme="minorEastAsia" w:hAnsi="Times New Roman" w:cs="Times New Roman"/>
          <w:sz w:val="21"/>
          <w:szCs w:val="21"/>
        </w:rPr>
        <w:t>This 30-day calendar heatmap visualizes the granular hourly distribution of emergency department (ED) visits (15 days pre-event and 15 days post-event).</w:t>
      </w:r>
    </w:p>
    <w:p w14:paraId="486B09C8" w14:textId="67A36140" w:rsidR="00312945" w:rsidRPr="004C2E03" w:rsidRDefault="00312945" w:rsidP="00312945">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Panels (A, B): Total ED volume for the Main and Validation</w:t>
      </w:r>
      <w:r w:rsidR="007D43F2" w:rsidRPr="004C2E03">
        <w:rPr>
          <w:rFonts w:ascii="Times New Roman" w:eastAsiaTheme="minorEastAsia" w:hAnsi="Times New Roman" w:cs="Times New Roman"/>
          <w:sz w:val="21"/>
          <w:szCs w:val="21"/>
        </w:rPr>
        <w:t xml:space="preserve"> cohorts</w:t>
      </w:r>
      <w:r w:rsidRPr="004C2E03">
        <w:rPr>
          <w:rFonts w:ascii="Times New Roman" w:eastAsiaTheme="minorEastAsia" w:hAnsi="Times New Roman" w:cs="Times New Roman"/>
          <w:sz w:val="21"/>
          <w:szCs w:val="21"/>
        </w:rPr>
        <w:t>, respectively.</w:t>
      </w:r>
    </w:p>
    <w:p w14:paraId="7004783A" w14:textId="5C5E5006" w:rsidR="00312945" w:rsidRPr="004C2E03" w:rsidRDefault="00312945" w:rsidP="00312945">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Panels (C, D): Cardiovascular department presentations, showing a prominent and sustained nocturnal surge following the SCD event announcement.</w:t>
      </w:r>
    </w:p>
    <w:p w14:paraId="6E06260A" w14:textId="5B836FA1" w:rsidR="00312945" w:rsidRPr="004C2E03" w:rsidRDefault="00312945" w:rsidP="00312945">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Panels (E, F): Respiratory department presentations, which served as an internal control group, demonstrating stable, baseline-level activity throughout the study period.</w:t>
      </w:r>
    </w:p>
    <w:p w14:paraId="7CEA1334" w14:textId="5BB54127" w:rsidR="00224E75" w:rsidRPr="004C2E03" w:rsidRDefault="00312945" w:rsidP="00312945">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lastRenderedPageBreak/>
        <w:t>The x-axis represents the hour of the day (00:00</w:t>
      </w:r>
      <w:r w:rsidR="000D721B" w:rsidRPr="004C2E03">
        <w:rPr>
          <w:rFonts w:ascii="Times New Roman" w:eastAsiaTheme="minorEastAsia" w:hAnsi="Times New Roman" w:cs="Times New Roman" w:hint="eastAsia"/>
          <w:sz w:val="21"/>
          <w:szCs w:val="21"/>
        </w:rPr>
        <w:t>-</w:t>
      </w:r>
      <w:r w:rsidRPr="004C2E03">
        <w:rPr>
          <w:rFonts w:ascii="Times New Roman" w:eastAsiaTheme="minorEastAsia" w:hAnsi="Times New Roman" w:cs="Times New Roman"/>
          <w:sz w:val="21"/>
          <w:szCs w:val="21"/>
        </w:rPr>
        <w:t>23:00); the y-axis represents the date (MM-DD, year omitted for clarity). Color intensity corresponds to hourly visit volume, with darker red indicating higher density. The blue rectangles highlight March 24, 2026, the date of the public event announcement. The distinct divergence between the explosive cardiovascular surge and respiratory stability across both</w:t>
      </w:r>
      <w:r w:rsidR="007D43F2" w:rsidRPr="004C2E03">
        <w:rPr>
          <w:rFonts w:ascii="Times New Roman" w:eastAsiaTheme="minorEastAsia" w:hAnsi="Times New Roman" w:cs="Times New Roman"/>
          <w:sz w:val="21"/>
          <w:szCs w:val="21"/>
        </w:rPr>
        <w:t xml:space="preserve"> cohorts</w:t>
      </w:r>
      <w:r w:rsidRPr="004C2E03">
        <w:rPr>
          <w:rFonts w:ascii="Times New Roman" w:eastAsiaTheme="minorEastAsia" w:hAnsi="Times New Roman" w:cs="Times New Roman"/>
          <w:sz w:val="21"/>
          <w:szCs w:val="21"/>
        </w:rPr>
        <w:t xml:space="preserve"> provides robust visual evidence for the specialty-specific impact of </w:t>
      </w:r>
      <w:r w:rsidR="00A74C24" w:rsidRPr="004C2E03">
        <w:rPr>
          <w:rFonts w:ascii="Times New Roman" w:eastAsiaTheme="minorEastAsia" w:hAnsi="Times New Roman" w:cs="Times New Roman"/>
          <w:sz w:val="21"/>
          <w:szCs w:val="21"/>
        </w:rPr>
        <w:t>media-associated cardiac-related health concerns</w:t>
      </w:r>
      <w:r w:rsidRPr="004C2E03">
        <w:rPr>
          <w:rFonts w:ascii="Times New Roman" w:eastAsiaTheme="minorEastAsia" w:hAnsi="Times New Roman" w:cs="Times New Roman"/>
          <w:sz w:val="21"/>
          <w:szCs w:val="21"/>
        </w:rPr>
        <w:t>.</w:t>
      </w:r>
    </w:p>
    <w:p w14:paraId="7742113B" w14:textId="77777777" w:rsidR="00224E75" w:rsidRPr="004C2E03" w:rsidRDefault="00224E75">
      <w:pPr>
        <w:widowControl/>
        <w:spacing w:line="240" w:lineRule="auto"/>
        <w:jc w:val="left"/>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br w:type="page"/>
      </w:r>
    </w:p>
    <w:p w14:paraId="2D6D95C0" w14:textId="755C4F93" w:rsidR="00C947A0" w:rsidRPr="004C2E03" w:rsidRDefault="00C947A0">
      <w:pPr>
        <w:widowControl/>
        <w:spacing w:line="240" w:lineRule="auto"/>
        <w:jc w:val="left"/>
        <w:rPr>
          <w:rFonts w:ascii="Times New Roman" w:eastAsiaTheme="minorEastAsia" w:hAnsi="Times New Roman" w:cs="Times New Roman"/>
          <w:sz w:val="21"/>
          <w:szCs w:val="21"/>
        </w:rPr>
      </w:pPr>
    </w:p>
    <w:p w14:paraId="1F679CA0" w14:textId="27F13E06" w:rsidR="00224E75" w:rsidRPr="004C2E03" w:rsidRDefault="004011C6">
      <w:pPr>
        <w:rPr>
          <w:rFonts w:ascii="Times New Roman" w:eastAsiaTheme="minorEastAsia" w:hAnsi="Times New Roman" w:cs="Times New Roman"/>
          <w:sz w:val="21"/>
          <w:szCs w:val="21"/>
        </w:rPr>
      </w:pPr>
      <w:r w:rsidRPr="004C2E03">
        <w:rPr>
          <w:rFonts w:ascii="Times New Roman" w:eastAsiaTheme="minorEastAsia" w:hAnsi="Times New Roman" w:cs="Times New Roman"/>
          <w:noProof/>
          <w:sz w:val="21"/>
          <w:szCs w:val="21"/>
        </w:rPr>
        <w:drawing>
          <wp:inline distT="0" distB="0" distL="0" distR="0" wp14:anchorId="6CE536BB" wp14:editId="71B97B3C">
            <wp:extent cx="5274310" cy="4860290"/>
            <wp:effectExtent l="0" t="0" r="2540" b="0"/>
            <wp:docPr id="9731428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42803" name="图片 9731428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860290"/>
                    </a:xfrm>
                    <a:prstGeom prst="rect">
                      <a:avLst/>
                    </a:prstGeom>
                  </pic:spPr>
                </pic:pic>
              </a:graphicData>
            </a:graphic>
          </wp:inline>
        </w:drawing>
      </w:r>
    </w:p>
    <w:p w14:paraId="721B4ECD" w14:textId="02F09881" w:rsidR="00224E75" w:rsidRPr="004C2E03" w:rsidRDefault="00FF7FE3">
      <w:pPr>
        <w:rPr>
          <w:rFonts w:ascii="Times New Roman" w:eastAsiaTheme="minorEastAsia" w:hAnsi="Times New Roman" w:cs="Times New Roman"/>
          <w:b/>
          <w:bCs/>
          <w:sz w:val="21"/>
          <w:szCs w:val="21"/>
        </w:rPr>
      </w:pPr>
      <w:bookmarkStart w:id="1" w:name="OLE_LINK1"/>
      <w:r w:rsidRPr="004C2E03">
        <w:rPr>
          <w:rFonts w:ascii="Times New Roman" w:eastAsiaTheme="minorEastAsia" w:hAnsi="Times New Roman" w:cs="Times New Roman"/>
          <w:b/>
          <w:bCs/>
          <w:sz w:val="21"/>
          <w:szCs w:val="21"/>
        </w:rPr>
        <w:t>Supplementary Figure S</w:t>
      </w:r>
      <w:r w:rsidR="00C947A0" w:rsidRPr="004C2E03">
        <w:rPr>
          <w:rFonts w:ascii="Times New Roman" w:eastAsiaTheme="minorEastAsia" w:hAnsi="Times New Roman" w:cs="Times New Roman" w:hint="eastAsia"/>
          <w:b/>
          <w:bCs/>
          <w:sz w:val="21"/>
          <w:szCs w:val="21"/>
        </w:rPr>
        <w:t>3</w:t>
      </w:r>
      <w:bookmarkEnd w:id="1"/>
      <w:r w:rsidRPr="004C2E03">
        <w:rPr>
          <w:rFonts w:ascii="Times New Roman" w:eastAsiaTheme="minorEastAsia" w:hAnsi="Times New Roman" w:cs="Times New Roman"/>
          <w:b/>
          <w:bCs/>
          <w:sz w:val="21"/>
          <w:szCs w:val="21"/>
        </w:rPr>
        <w:t xml:space="preserve">. </w:t>
      </w:r>
      <w:r w:rsidR="0045280D" w:rsidRPr="004C2E03">
        <w:rPr>
          <w:rFonts w:ascii="Times New Roman" w:eastAsiaTheme="minorEastAsia" w:hAnsi="Times New Roman" w:cs="Times New Roman"/>
          <w:b/>
          <w:bCs/>
          <w:sz w:val="21"/>
          <w:szCs w:val="21"/>
        </w:rPr>
        <w:t>Exploratory Individual-level Phenotyping</w:t>
      </w:r>
      <w:r w:rsidRPr="004C2E03">
        <w:rPr>
          <w:rFonts w:ascii="Times New Roman" w:eastAsiaTheme="minorEastAsia" w:hAnsi="Times New Roman" w:cs="Times New Roman"/>
          <w:b/>
          <w:bCs/>
          <w:sz w:val="21"/>
          <w:szCs w:val="21"/>
        </w:rPr>
        <w:t xml:space="preserve"> (SHAP Waterfall Plots) of Typical Surge-Period Presentations Across Main and Validation</w:t>
      </w:r>
      <w:r w:rsidR="007D43F2" w:rsidRPr="004C2E03">
        <w:rPr>
          <w:rFonts w:ascii="Times New Roman" w:eastAsiaTheme="minorEastAsia" w:hAnsi="Times New Roman" w:cs="Times New Roman"/>
          <w:b/>
          <w:bCs/>
          <w:sz w:val="21"/>
          <w:szCs w:val="21"/>
        </w:rPr>
        <w:t xml:space="preserve"> cohorts</w:t>
      </w:r>
      <w:r w:rsidRPr="004C2E03">
        <w:rPr>
          <w:rFonts w:ascii="Times New Roman" w:eastAsiaTheme="minorEastAsia" w:hAnsi="Times New Roman" w:cs="Times New Roman"/>
          <w:b/>
          <w:bCs/>
          <w:sz w:val="21"/>
          <w:szCs w:val="21"/>
        </w:rPr>
        <w:t>.</w:t>
      </w:r>
    </w:p>
    <w:p w14:paraId="64F2977E" w14:textId="6841436C" w:rsidR="004011C6" w:rsidRPr="004C2E03" w:rsidRDefault="00224E75" w:rsidP="004011C6">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Notes:</w:t>
      </w:r>
      <w:r w:rsidR="00A04B05" w:rsidRPr="004C2E03">
        <w:rPr>
          <w:rFonts w:ascii="Times New Roman" w:eastAsiaTheme="minorEastAsia" w:hAnsi="Times New Roman" w:cs="Times New Roman" w:hint="eastAsia"/>
          <w:sz w:val="21"/>
          <w:szCs w:val="21"/>
        </w:rPr>
        <w:t xml:space="preserve"> </w:t>
      </w:r>
      <w:r w:rsidR="004011C6" w:rsidRPr="004C2E03">
        <w:rPr>
          <w:rFonts w:ascii="Times New Roman" w:eastAsiaTheme="minorEastAsia" w:hAnsi="Times New Roman" w:cs="Times New Roman"/>
          <w:sz w:val="21"/>
          <w:szCs w:val="21"/>
        </w:rPr>
        <w:t xml:space="preserve">This figure illustrates the interpretative logic of the XGBoost model </w:t>
      </w:r>
      <w:r w:rsidR="0045280D" w:rsidRPr="004C2E03">
        <w:rPr>
          <w:rFonts w:ascii="Times New Roman" w:eastAsiaTheme="minorEastAsia" w:hAnsi="Times New Roman" w:cs="Times New Roman"/>
          <w:sz w:val="21"/>
          <w:szCs w:val="21"/>
        </w:rPr>
        <w:t>in characterizing the surge-associated phenotype within</w:t>
      </w:r>
      <w:r w:rsidR="004011C6" w:rsidRPr="004C2E03">
        <w:rPr>
          <w:rFonts w:ascii="Times New Roman" w:eastAsiaTheme="minorEastAsia" w:hAnsi="Times New Roman" w:cs="Times New Roman"/>
          <w:sz w:val="21"/>
          <w:szCs w:val="21"/>
        </w:rPr>
        <w:t xml:space="preserve"> healthcare-seeking surge within two independent cohorts. According to </w:t>
      </w:r>
      <w:r w:rsidR="004011C6" w:rsidRPr="004C2E03">
        <w:rPr>
          <w:rFonts w:ascii="Times New Roman" w:eastAsiaTheme="minorEastAsia" w:hAnsi="Times New Roman" w:cs="Times New Roman"/>
          <w:b/>
          <w:bCs/>
          <w:sz w:val="21"/>
          <w:szCs w:val="21"/>
        </w:rPr>
        <w:t>Table 1</w:t>
      </w:r>
      <w:r w:rsidR="004011C6" w:rsidRPr="004C2E03">
        <w:rPr>
          <w:rFonts w:ascii="Times New Roman" w:eastAsiaTheme="minorEastAsia" w:hAnsi="Times New Roman" w:cs="Times New Roman"/>
          <w:sz w:val="21"/>
          <w:szCs w:val="21"/>
        </w:rPr>
        <w:t xml:space="preserve">, the under-45 age group exhibited the most significant proportional increase (+5.1%) following the SCD event; thus, representative patients aged 35–45 years were selected for </w:t>
      </w:r>
      <w:r w:rsidR="0045280D" w:rsidRPr="004C2E03">
        <w:rPr>
          <w:rFonts w:ascii="Times New Roman" w:eastAsiaTheme="minorEastAsia" w:hAnsi="Times New Roman" w:cs="Times New Roman"/>
          <w:sz w:val="21"/>
          <w:szCs w:val="21"/>
        </w:rPr>
        <w:t>granular phenotyping analysis</w:t>
      </w:r>
      <w:r w:rsidR="004011C6" w:rsidRPr="004C2E03">
        <w:rPr>
          <w:rFonts w:ascii="Times New Roman" w:eastAsiaTheme="minorEastAsia" w:hAnsi="Times New Roman" w:cs="Times New Roman"/>
          <w:sz w:val="21"/>
          <w:szCs w:val="21"/>
        </w:rPr>
        <w:t>.</w:t>
      </w:r>
    </w:p>
    <w:p w14:paraId="49AA97A9" w14:textId="77777777" w:rsidR="004011C6" w:rsidRPr="004C2E03" w:rsidRDefault="004011C6" w:rsidP="004011C6">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Panel (A): Waterfall plot for a representative patient in the Main cohort during the post-event surge period.</w:t>
      </w:r>
    </w:p>
    <w:p w14:paraId="3C331D62" w14:textId="06C519FE" w:rsidR="00C73330" w:rsidRPr="004C2E03" w:rsidRDefault="004011C6" w:rsidP="004011C6">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Panel (B): Waterfall plot for a representative patient in the Validation cohort during the same period.</w:t>
      </w:r>
    </w:p>
    <w:p w14:paraId="15F3819E" w14:textId="36046ABD" w:rsidR="004011C6" w:rsidRPr="004C2E03" w:rsidRDefault="004011C6" w:rsidP="004011C6">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 xml:space="preserve">Statistical Framework: Each plot deconstructs the shift from the baseline expected value </w:t>
      </w:r>
      <w:r w:rsidR="00A04B05" w:rsidRPr="004C2E03">
        <w:rPr>
          <w:rFonts w:ascii="Times New Roman" w:eastAsiaTheme="minorEastAsia" w:hAnsi="Times New Roman" w:cs="Times New Roman"/>
          <w:sz w:val="21"/>
          <w:szCs w:val="21"/>
        </w:rPr>
        <w:t xml:space="preserve"> </w:t>
      </w:r>
      <w:r w:rsidRPr="004C2E03">
        <w:rPr>
          <w:rFonts w:ascii="Times New Roman" w:eastAsiaTheme="minorEastAsia" w:hAnsi="Times New Roman" w:cs="Times New Roman"/>
          <w:i/>
          <w:iCs/>
          <w:sz w:val="21"/>
          <w:szCs w:val="21"/>
        </w:rPr>
        <w:t>E[f(X)]</w:t>
      </w:r>
      <w:r w:rsidR="00A04B05" w:rsidRPr="004C2E03">
        <w:rPr>
          <w:rFonts w:ascii="Times New Roman" w:eastAsiaTheme="minorEastAsia" w:hAnsi="Times New Roman" w:cs="Times New Roman"/>
          <w:sz w:val="21"/>
          <w:szCs w:val="21"/>
        </w:rPr>
        <w:t xml:space="preserve"> </w:t>
      </w:r>
      <w:r w:rsidRPr="004C2E03">
        <w:rPr>
          <w:rFonts w:ascii="Times New Roman" w:eastAsiaTheme="minorEastAsia" w:hAnsi="Times New Roman" w:cs="Times New Roman"/>
          <w:sz w:val="21"/>
          <w:szCs w:val="21"/>
        </w:rPr>
        <w:t xml:space="preserve"> (the average predicted probability across the study population) to the specific case output </w:t>
      </w:r>
      <w:r w:rsidR="00A04B05" w:rsidRPr="004C2E03">
        <w:rPr>
          <w:rFonts w:ascii="Times New Roman" w:eastAsiaTheme="minorEastAsia" w:hAnsi="Times New Roman" w:cs="Times New Roman"/>
          <w:i/>
          <w:iCs/>
          <w:sz w:val="21"/>
          <w:szCs w:val="21"/>
        </w:rPr>
        <w:t xml:space="preserve"> </w:t>
      </w:r>
      <w:r w:rsidRPr="004C2E03">
        <w:rPr>
          <w:rFonts w:ascii="Times New Roman" w:eastAsiaTheme="minorEastAsia" w:hAnsi="Times New Roman" w:cs="Times New Roman"/>
          <w:i/>
          <w:iCs/>
          <w:sz w:val="21"/>
          <w:szCs w:val="21"/>
        </w:rPr>
        <w:t>f(x)</w:t>
      </w:r>
      <w:r w:rsidR="00A04B05" w:rsidRPr="004C2E03">
        <w:rPr>
          <w:rFonts w:ascii="Times New Roman" w:eastAsiaTheme="minorEastAsia" w:hAnsi="Times New Roman" w:cs="Times New Roman"/>
          <w:sz w:val="21"/>
          <w:szCs w:val="21"/>
        </w:rPr>
        <w:t xml:space="preserve"> </w:t>
      </w:r>
      <w:r w:rsidRPr="004C2E03">
        <w:rPr>
          <w:rFonts w:ascii="Times New Roman" w:eastAsiaTheme="minorEastAsia" w:hAnsi="Times New Roman" w:cs="Times New Roman"/>
          <w:sz w:val="21"/>
          <w:szCs w:val="21"/>
        </w:rPr>
        <w:t xml:space="preserve"> </w:t>
      </w:r>
      <w:r w:rsidRPr="004C2E03">
        <w:rPr>
          <w:rFonts w:ascii="Times New Roman" w:eastAsiaTheme="minorEastAsia" w:hAnsi="Times New Roman" w:cs="Times New Roman"/>
          <w:sz w:val="21"/>
          <w:szCs w:val="21"/>
        </w:rPr>
        <w:lastRenderedPageBreak/>
        <w:t>(the predicted log-odds of a visit being part of the event-driven surge).</w:t>
      </w:r>
    </w:p>
    <w:p w14:paraId="39C03782" w14:textId="77777777" w:rsidR="004011C6" w:rsidRPr="004C2E03" w:rsidRDefault="004011C6" w:rsidP="004011C6">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Visual Representation: Red bars denote features that positively contribute to the surge classification (positive SHAP values), while blue bars indicate negative contributions. The length of each bar represents the magnitude of the feature’s influence.</w:t>
      </w:r>
    </w:p>
    <w:p w14:paraId="1E1E370B" w14:textId="77777777" w:rsidR="004011C6" w:rsidRPr="004C2E03" w:rsidRDefault="004011C6" w:rsidP="004011C6">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Interpretation of Findings: Notably, 'Age' serves as a consistent and predominant positive driver across both representative cases, reinforcing the demographic shift toward younger and middle-aged populations observed in the population-level data. The directional contribution of 'Nighttime Presentation' varies between the two cases (positive in Panel A, negative in Panel B), highlighting the model’s capacity to integrate nuanced individual-level feature interactions while maintaining consistent global attribution patterns.</w:t>
      </w:r>
    </w:p>
    <w:p w14:paraId="3C3C3801" w14:textId="3D8F82A0" w:rsidR="004C2E03" w:rsidRPr="004C2E03" w:rsidRDefault="004011C6" w:rsidP="00592C5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Standardization: To ensure direct comparability of feature magnitudes between cohorts, the X-axes of both panels are aligned to a fixed log-odds scale (range: -2.5 to 2.5).</w:t>
      </w:r>
    </w:p>
    <w:p w14:paraId="45931169" w14:textId="77777777" w:rsidR="004C2E03" w:rsidRPr="004C2E03" w:rsidRDefault="004C2E03">
      <w:pPr>
        <w:widowControl/>
        <w:spacing w:line="240" w:lineRule="auto"/>
        <w:jc w:val="left"/>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br w:type="page"/>
      </w:r>
    </w:p>
    <w:p w14:paraId="2881D66C" w14:textId="6DBF9AD9" w:rsidR="004C2E03" w:rsidRPr="004C2E03" w:rsidRDefault="004C2E03">
      <w:pPr>
        <w:widowControl/>
        <w:spacing w:line="240" w:lineRule="auto"/>
        <w:jc w:val="left"/>
        <w:rPr>
          <w:rFonts w:ascii="Times New Roman" w:eastAsiaTheme="minorEastAsia" w:hAnsi="Times New Roman" w:cs="Times New Roman"/>
          <w:b/>
          <w:bCs/>
          <w:sz w:val="21"/>
          <w:szCs w:val="21"/>
        </w:rPr>
      </w:pPr>
      <w:r w:rsidRPr="004C2E03">
        <w:rPr>
          <w:rFonts w:ascii="Times New Roman" w:eastAsiaTheme="minorEastAsia" w:hAnsi="Times New Roman" w:cs="Times New Roman"/>
          <w:b/>
          <w:bCs/>
          <w:sz w:val="21"/>
          <w:szCs w:val="21"/>
        </w:rPr>
        <w:lastRenderedPageBreak/>
        <w:t>Supplementary Table S</w:t>
      </w:r>
      <w:r w:rsidR="00D91CFF">
        <w:rPr>
          <w:rFonts w:ascii="Times New Roman" w:eastAsiaTheme="minorEastAsia" w:hAnsi="Times New Roman" w:cs="Times New Roman" w:hint="eastAsia"/>
          <w:b/>
          <w:bCs/>
          <w:sz w:val="21"/>
          <w:szCs w:val="21"/>
        </w:rPr>
        <w:t>1</w:t>
      </w:r>
      <w:r w:rsidRPr="004C2E03">
        <w:rPr>
          <w:rFonts w:ascii="Times New Roman" w:eastAsiaTheme="minorEastAsia" w:hAnsi="Times New Roman" w:cs="Times New Roman"/>
          <w:b/>
          <w:bCs/>
          <w:sz w:val="21"/>
          <w:szCs w:val="21"/>
        </w:rPr>
        <w:t>. XGBoost Model Configuration and Technical Specifications</w:t>
      </w:r>
    </w:p>
    <w:tbl>
      <w:tblPr>
        <w:tblW w:w="5000" w:type="pct"/>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956"/>
        <w:gridCol w:w="4350"/>
      </w:tblGrid>
      <w:tr w:rsidR="004C2E03" w:rsidRPr="004C2E03" w14:paraId="77D4F0B2" w14:textId="77777777" w:rsidTr="004C2E03">
        <w:trPr>
          <w:tblHeader/>
          <w:tblCellSpacing w:w="15" w:type="dxa"/>
        </w:trPr>
        <w:tc>
          <w:tcPr>
            <w:tcW w:w="2354" w:type="pct"/>
            <w:tcBorders>
              <w:bottom w:val="single" w:sz="4" w:space="0" w:color="auto"/>
            </w:tcBorders>
            <w:tcMar>
              <w:top w:w="240" w:type="dxa"/>
              <w:left w:w="0" w:type="dxa"/>
              <w:bottom w:w="240" w:type="dxa"/>
              <w:right w:w="180" w:type="dxa"/>
            </w:tcMar>
            <w:vAlign w:val="center"/>
            <w:hideMark/>
          </w:tcPr>
          <w:p w14:paraId="4286CBDB"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Parameter / Metric</w:t>
            </w:r>
          </w:p>
        </w:tc>
        <w:tc>
          <w:tcPr>
            <w:tcW w:w="2592" w:type="pct"/>
            <w:tcBorders>
              <w:bottom w:val="single" w:sz="4" w:space="0" w:color="auto"/>
            </w:tcBorders>
            <w:tcMar>
              <w:top w:w="240" w:type="dxa"/>
              <w:left w:w="0" w:type="dxa"/>
              <w:bottom w:w="240" w:type="dxa"/>
              <w:right w:w="0" w:type="dxa"/>
            </w:tcMar>
            <w:vAlign w:val="center"/>
            <w:hideMark/>
          </w:tcPr>
          <w:p w14:paraId="4847715E"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Specification / Value</w:t>
            </w:r>
          </w:p>
        </w:tc>
      </w:tr>
      <w:tr w:rsidR="004C2E03" w:rsidRPr="004C2E03" w14:paraId="56A53307" w14:textId="77777777" w:rsidTr="004C2E03">
        <w:trPr>
          <w:tblCellSpacing w:w="15" w:type="dxa"/>
        </w:trPr>
        <w:tc>
          <w:tcPr>
            <w:tcW w:w="2354" w:type="pct"/>
            <w:tcMar>
              <w:top w:w="240" w:type="dxa"/>
              <w:left w:w="0" w:type="dxa"/>
              <w:bottom w:w="240" w:type="dxa"/>
              <w:right w:w="180" w:type="dxa"/>
            </w:tcMar>
            <w:vAlign w:val="center"/>
            <w:hideMark/>
          </w:tcPr>
          <w:p w14:paraId="3F22DCCB"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Algorithm</w:t>
            </w:r>
          </w:p>
        </w:tc>
        <w:tc>
          <w:tcPr>
            <w:tcW w:w="2592" w:type="pct"/>
            <w:tcMar>
              <w:top w:w="240" w:type="dxa"/>
              <w:left w:w="0" w:type="dxa"/>
              <w:bottom w:w="240" w:type="dxa"/>
              <w:right w:w="0" w:type="dxa"/>
            </w:tcMar>
            <w:vAlign w:val="center"/>
            <w:hideMark/>
          </w:tcPr>
          <w:p w14:paraId="377D229A"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eXtreme Gradient Boosting (XGBoost)</w:t>
            </w:r>
          </w:p>
        </w:tc>
      </w:tr>
      <w:tr w:rsidR="004C2E03" w:rsidRPr="004C2E03" w14:paraId="2C94E25C" w14:textId="77777777" w:rsidTr="004C2E03">
        <w:trPr>
          <w:tblCellSpacing w:w="15" w:type="dxa"/>
        </w:trPr>
        <w:tc>
          <w:tcPr>
            <w:tcW w:w="2354" w:type="pct"/>
            <w:tcMar>
              <w:top w:w="240" w:type="dxa"/>
              <w:left w:w="0" w:type="dxa"/>
              <w:bottom w:w="240" w:type="dxa"/>
              <w:right w:w="180" w:type="dxa"/>
            </w:tcMar>
            <w:vAlign w:val="center"/>
            <w:hideMark/>
          </w:tcPr>
          <w:p w14:paraId="1AA37F84"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Data Partitioning</w:t>
            </w:r>
          </w:p>
        </w:tc>
        <w:tc>
          <w:tcPr>
            <w:tcW w:w="2592" w:type="pct"/>
            <w:tcMar>
              <w:top w:w="240" w:type="dxa"/>
              <w:left w:w="0" w:type="dxa"/>
              <w:bottom w:w="240" w:type="dxa"/>
              <w:right w:w="0" w:type="dxa"/>
            </w:tcMar>
            <w:vAlign w:val="center"/>
            <w:hideMark/>
          </w:tcPr>
          <w:p w14:paraId="0D5FBAFB"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70% Training / 30% Internal Validation</w:t>
            </w:r>
          </w:p>
        </w:tc>
      </w:tr>
      <w:tr w:rsidR="004C2E03" w:rsidRPr="004C2E03" w14:paraId="36437017" w14:textId="77777777" w:rsidTr="004C2E03">
        <w:trPr>
          <w:tblCellSpacing w:w="15" w:type="dxa"/>
        </w:trPr>
        <w:tc>
          <w:tcPr>
            <w:tcW w:w="2354" w:type="pct"/>
            <w:tcMar>
              <w:top w:w="240" w:type="dxa"/>
              <w:left w:w="0" w:type="dxa"/>
              <w:bottom w:w="240" w:type="dxa"/>
              <w:right w:w="180" w:type="dxa"/>
            </w:tcMar>
            <w:vAlign w:val="center"/>
            <w:hideMark/>
          </w:tcPr>
          <w:p w14:paraId="66BCBF95"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Hyperparameter: learning_rate</w:t>
            </w:r>
          </w:p>
        </w:tc>
        <w:tc>
          <w:tcPr>
            <w:tcW w:w="2592" w:type="pct"/>
            <w:tcMar>
              <w:top w:w="240" w:type="dxa"/>
              <w:left w:w="0" w:type="dxa"/>
              <w:bottom w:w="240" w:type="dxa"/>
              <w:right w:w="0" w:type="dxa"/>
            </w:tcMar>
            <w:vAlign w:val="center"/>
            <w:hideMark/>
          </w:tcPr>
          <w:p w14:paraId="720EA100"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0.1</w:t>
            </w:r>
          </w:p>
        </w:tc>
      </w:tr>
      <w:tr w:rsidR="004C2E03" w:rsidRPr="004C2E03" w14:paraId="00007A23" w14:textId="77777777" w:rsidTr="004C2E03">
        <w:trPr>
          <w:tblCellSpacing w:w="15" w:type="dxa"/>
        </w:trPr>
        <w:tc>
          <w:tcPr>
            <w:tcW w:w="2354" w:type="pct"/>
            <w:tcMar>
              <w:top w:w="240" w:type="dxa"/>
              <w:left w:w="0" w:type="dxa"/>
              <w:bottom w:w="240" w:type="dxa"/>
              <w:right w:w="180" w:type="dxa"/>
            </w:tcMar>
            <w:vAlign w:val="center"/>
            <w:hideMark/>
          </w:tcPr>
          <w:p w14:paraId="542FFC32"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Hyperparameter: max_depth</w:t>
            </w:r>
          </w:p>
        </w:tc>
        <w:tc>
          <w:tcPr>
            <w:tcW w:w="2592" w:type="pct"/>
            <w:tcMar>
              <w:top w:w="240" w:type="dxa"/>
              <w:left w:w="0" w:type="dxa"/>
              <w:bottom w:w="240" w:type="dxa"/>
              <w:right w:w="0" w:type="dxa"/>
            </w:tcMar>
            <w:vAlign w:val="center"/>
            <w:hideMark/>
          </w:tcPr>
          <w:p w14:paraId="4FEADBD6"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3 (Optimized to prevent overfitting)</w:t>
            </w:r>
          </w:p>
        </w:tc>
      </w:tr>
      <w:tr w:rsidR="004C2E03" w:rsidRPr="004C2E03" w14:paraId="26F93515" w14:textId="77777777" w:rsidTr="004C2E03">
        <w:trPr>
          <w:tblCellSpacing w:w="15" w:type="dxa"/>
        </w:trPr>
        <w:tc>
          <w:tcPr>
            <w:tcW w:w="2354" w:type="pct"/>
            <w:tcMar>
              <w:top w:w="240" w:type="dxa"/>
              <w:left w:w="0" w:type="dxa"/>
              <w:bottom w:w="240" w:type="dxa"/>
              <w:right w:w="180" w:type="dxa"/>
            </w:tcMar>
            <w:vAlign w:val="center"/>
            <w:hideMark/>
          </w:tcPr>
          <w:p w14:paraId="2D5A3894"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Hyperparameter: n_estimators</w:t>
            </w:r>
          </w:p>
        </w:tc>
        <w:tc>
          <w:tcPr>
            <w:tcW w:w="2592" w:type="pct"/>
            <w:tcMar>
              <w:top w:w="240" w:type="dxa"/>
              <w:left w:w="0" w:type="dxa"/>
              <w:bottom w:w="240" w:type="dxa"/>
              <w:right w:w="0" w:type="dxa"/>
            </w:tcMar>
            <w:vAlign w:val="center"/>
            <w:hideMark/>
          </w:tcPr>
          <w:p w14:paraId="79395184"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100</w:t>
            </w:r>
          </w:p>
        </w:tc>
      </w:tr>
      <w:tr w:rsidR="004C2E03" w:rsidRPr="004C2E03" w14:paraId="53CB08F6" w14:textId="77777777" w:rsidTr="004C2E03">
        <w:trPr>
          <w:tblCellSpacing w:w="15" w:type="dxa"/>
        </w:trPr>
        <w:tc>
          <w:tcPr>
            <w:tcW w:w="2354" w:type="pct"/>
            <w:tcMar>
              <w:top w:w="240" w:type="dxa"/>
              <w:left w:w="0" w:type="dxa"/>
              <w:bottom w:w="240" w:type="dxa"/>
              <w:right w:w="180" w:type="dxa"/>
            </w:tcMar>
            <w:vAlign w:val="center"/>
            <w:hideMark/>
          </w:tcPr>
          <w:p w14:paraId="4176317C"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Hyperparameter: subsample</w:t>
            </w:r>
          </w:p>
        </w:tc>
        <w:tc>
          <w:tcPr>
            <w:tcW w:w="2592" w:type="pct"/>
            <w:tcMar>
              <w:top w:w="240" w:type="dxa"/>
              <w:left w:w="0" w:type="dxa"/>
              <w:bottom w:w="240" w:type="dxa"/>
              <w:right w:w="0" w:type="dxa"/>
            </w:tcMar>
            <w:vAlign w:val="center"/>
            <w:hideMark/>
          </w:tcPr>
          <w:p w14:paraId="6E552721"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0.8</w:t>
            </w:r>
          </w:p>
        </w:tc>
      </w:tr>
      <w:tr w:rsidR="004C2E03" w:rsidRPr="004C2E03" w14:paraId="771FE8B3" w14:textId="77777777" w:rsidTr="004C2E03">
        <w:trPr>
          <w:tblCellSpacing w:w="15" w:type="dxa"/>
        </w:trPr>
        <w:tc>
          <w:tcPr>
            <w:tcW w:w="2354" w:type="pct"/>
            <w:tcMar>
              <w:top w:w="240" w:type="dxa"/>
              <w:left w:w="0" w:type="dxa"/>
              <w:bottom w:w="240" w:type="dxa"/>
              <w:right w:w="180" w:type="dxa"/>
            </w:tcMar>
            <w:vAlign w:val="center"/>
            <w:hideMark/>
          </w:tcPr>
          <w:p w14:paraId="2F239578"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Implementation</w:t>
            </w:r>
          </w:p>
        </w:tc>
        <w:tc>
          <w:tcPr>
            <w:tcW w:w="2592" w:type="pct"/>
            <w:tcMar>
              <w:top w:w="240" w:type="dxa"/>
              <w:left w:w="0" w:type="dxa"/>
              <w:bottom w:w="240" w:type="dxa"/>
              <w:right w:w="0" w:type="dxa"/>
            </w:tcMar>
            <w:vAlign w:val="center"/>
            <w:hideMark/>
          </w:tcPr>
          <w:p w14:paraId="0329D6BE" w14:textId="77777777" w:rsidR="004C2E03" w:rsidRPr="004C2E03" w:rsidRDefault="004C2E03" w:rsidP="004C2E03">
            <w:pPr>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t>Python v3.10; XGBoost library v1.7.1</w:t>
            </w:r>
          </w:p>
        </w:tc>
      </w:tr>
    </w:tbl>
    <w:p w14:paraId="20CEEE0F" w14:textId="408DED5F" w:rsidR="00C947A0" w:rsidRPr="004C2E03" w:rsidRDefault="004C2E03" w:rsidP="00592C53">
      <w:pPr>
        <w:rPr>
          <w:rFonts w:ascii="Times New Roman" w:eastAsiaTheme="minorEastAsia" w:hAnsi="Times New Roman" w:cs="Times New Roman"/>
          <w:sz w:val="21"/>
          <w:szCs w:val="21"/>
        </w:rPr>
      </w:pPr>
      <w:r w:rsidRPr="004C2E03">
        <w:rPr>
          <w:rFonts w:ascii="Times New Roman" w:eastAsiaTheme="minorEastAsia" w:hAnsi="Times New Roman" w:cs="Times New Roman"/>
          <w:b/>
          <w:bCs/>
          <w:sz w:val="21"/>
          <w:szCs w:val="21"/>
        </w:rPr>
        <w:t>Notes:</w:t>
      </w:r>
      <w:r w:rsidRPr="004C2E03">
        <w:rPr>
          <w:rFonts w:ascii="Times New Roman" w:eastAsiaTheme="minorEastAsia" w:hAnsi="Times New Roman" w:cs="Times New Roman"/>
          <w:sz w:val="21"/>
          <w:szCs w:val="21"/>
        </w:rPr>
        <w:t xml:space="preserve"> This table summarizes the technical configuration and hyperparameter settings of the XGBoost model. The model was optimized for exploratory feature attribution rather than predictive performance. Consistent parameters were applied across both the main and validation cohorts to ensure the stability of the identified clinical phenotypes.</w:t>
      </w:r>
    </w:p>
    <w:p w14:paraId="7DDB0E29" w14:textId="77777777" w:rsidR="00C947A0" w:rsidRPr="004C2E03" w:rsidRDefault="00C947A0">
      <w:pPr>
        <w:widowControl/>
        <w:spacing w:line="240" w:lineRule="auto"/>
        <w:jc w:val="left"/>
        <w:rPr>
          <w:rFonts w:ascii="Times New Roman" w:eastAsiaTheme="minorEastAsia" w:hAnsi="Times New Roman" w:cs="Times New Roman"/>
          <w:sz w:val="21"/>
          <w:szCs w:val="21"/>
        </w:rPr>
      </w:pPr>
      <w:r w:rsidRPr="004C2E03">
        <w:rPr>
          <w:rFonts w:ascii="Times New Roman" w:eastAsiaTheme="minorEastAsia" w:hAnsi="Times New Roman" w:cs="Times New Roman"/>
          <w:sz w:val="21"/>
          <w:szCs w:val="21"/>
        </w:rPr>
        <w:br w:type="page"/>
      </w:r>
    </w:p>
    <w:sectPr w:rsidR="00C947A0" w:rsidRPr="004C2E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099D" w14:textId="77777777" w:rsidR="00DD389B" w:rsidRDefault="00DD389B" w:rsidP="00224E75">
      <w:pPr>
        <w:spacing w:line="240" w:lineRule="auto"/>
      </w:pPr>
      <w:r>
        <w:separator/>
      </w:r>
    </w:p>
  </w:endnote>
  <w:endnote w:type="continuationSeparator" w:id="0">
    <w:p w14:paraId="19887748" w14:textId="77777777" w:rsidR="00DD389B" w:rsidRDefault="00DD389B" w:rsidP="00224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DA29" w14:textId="77777777" w:rsidR="00DD389B" w:rsidRDefault="00DD389B" w:rsidP="00224E75">
      <w:pPr>
        <w:spacing w:line="240" w:lineRule="auto"/>
      </w:pPr>
      <w:r>
        <w:separator/>
      </w:r>
    </w:p>
  </w:footnote>
  <w:footnote w:type="continuationSeparator" w:id="0">
    <w:p w14:paraId="639B075F" w14:textId="77777777" w:rsidR="00DD389B" w:rsidRDefault="00DD389B" w:rsidP="00224E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3D79"/>
    <w:multiLevelType w:val="multilevel"/>
    <w:tmpl w:val="3CA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96294"/>
    <w:multiLevelType w:val="multilevel"/>
    <w:tmpl w:val="4B00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D105AA"/>
    <w:multiLevelType w:val="multilevel"/>
    <w:tmpl w:val="E9BE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A31373"/>
    <w:multiLevelType w:val="multilevel"/>
    <w:tmpl w:val="CF86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634985">
    <w:abstractNumId w:val="3"/>
  </w:num>
  <w:num w:numId="2" w16cid:durableId="1958901927">
    <w:abstractNumId w:val="1"/>
  </w:num>
  <w:num w:numId="3" w16cid:durableId="1121073732">
    <w:abstractNumId w:val="0"/>
  </w:num>
  <w:num w:numId="4" w16cid:durableId="1772041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5B"/>
    <w:rsid w:val="0005256A"/>
    <w:rsid w:val="00060E0B"/>
    <w:rsid w:val="0006305B"/>
    <w:rsid w:val="000D721B"/>
    <w:rsid w:val="00211C27"/>
    <w:rsid w:val="00224E75"/>
    <w:rsid w:val="00312945"/>
    <w:rsid w:val="00312FD7"/>
    <w:rsid w:val="00375CCF"/>
    <w:rsid w:val="004011C6"/>
    <w:rsid w:val="0045280D"/>
    <w:rsid w:val="004C2E03"/>
    <w:rsid w:val="00563B4C"/>
    <w:rsid w:val="00592C53"/>
    <w:rsid w:val="005D1EDE"/>
    <w:rsid w:val="006A5D1F"/>
    <w:rsid w:val="006C636E"/>
    <w:rsid w:val="00750651"/>
    <w:rsid w:val="0078184A"/>
    <w:rsid w:val="00797DDA"/>
    <w:rsid w:val="007C1A5B"/>
    <w:rsid w:val="007D43F2"/>
    <w:rsid w:val="008A3558"/>
    <w:rsid w:val="009E798D"/>
    <w:rsid w:val="00A04B05"/>
    <w:rsid w:val="00A74C24"/>
    <w:rsid w:val="00AA40D4"/>
    <w:rsid w:val="00B23D54"/>
    <w:rsid w:val="00C340D0"/>
    <w:rsid w:val="00C73330"/>
    <w:rsid w:val="00C947A0"/>
    <w:rsid w:val="00CE106F"/>
    <w:rsid w:val="00D91CFF"/>
    <w:rsid w:val="00DA21A0"/>
    <w:rsid w:val="00DC2E93"/>
    <w:rsid w:val="00DD389B"/>
    <w:rsid w:val="00E1731A"/>
    <w:rsid w:val="00E336CC"/>
    <w:rsid w:val="00E83DEB"/>
    <w:rsid w:val="00EA17FC"/>
    <w:rsid w:val="00FE561D"/>
    <w:rsid w:val="00FF7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8FC3D"/>
  <w15:chartTrackingRefBased/>
  <w15:docId w15:val="{D6C3AC0D-0A09-4F77-86C2-5B9A076C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7FC"/>
    <w:pPr>
      <w:widowControl w:val="0"/>
      <w:spacing w:line="360" w:lineRule="auto"/>
      <w:jc w:val="both"/>
    </w:pPr>
    <w:rPr>
      <w:rFonts w:eastAsia="Times New Roman"/>
      <w:sz w:val="24"/>
    </w:rPr>
  </w:style>
  <w:style w:type="paragraph" w:styleId="1">
    <w:name w:val="heading 1"/>
    <w:basedOn w:val="a"/>
    <w:next w:val="a"/>
    <w:link w:val="10"/>
    <w:uiPriority w:val="9"/>
    <w:qFormat/>
    <w:rsid w:val="0006305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6305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aliases w:val="Abstract"/>
    <w:basedOn w:val="a"/>
    <w:next w:val="a"/>
    <w:link w:val="30"/>
    <w:uiPriority w:val="9"/>
    <w:unhideWhenUsed/>
    <w:qFormat/>
    <w:rsid w:val="00FE561D"/>
    <w:pPr>
      <w:keepNext/>
      <w:keepLines/>
      <w:spacing w:before="260" w:after="260" w:line="400" w:lineRule="exact"/>
      <w:jc w:val="center"/>
      <w:outlineLvl w:val="2"/>
    </w:pPr>
    <w:rPr>
      <w:b/>
      <w:bCs/>
      <w:sz w:val="32"/>
      <w:szCs w:val="32"/>
    </w:rPr>
  </w:style>
  <w:style w:type="paragraph" w:styleId="4">
    <w:name w:val="heading 4"/>
    <w:aliases w:val="Key words"/>
    <w:basedOn w:val="a"/>
    <w:next w:val="a"/>
    <w:link w:val="40"/>
    <w:uiPriority w:val="9"/>
    <w:unhideWhenUsed/>
    <w:qFormat/>
    <w:rsid w:val="00FE561D"/>
    <w:pPr>
      <w:keepNext/>
      <w:keepLines/>
      <w:spacing w:before="280" w:after="290" w:line="376" w:lineRule="auto"/>
      <w:outlineLvl w:val="3"/>
    </w:pPr>
    <w:rPr>
      <w:rFonts w:asciiTheme="majorHAnsi" w:hAnsiTheme="majorHAnsi" w:cstheme="majorBidi"/>
      <w:b/>
      <w:bCs/>
      <w:sz w:val="28"/>
      <w:szCs w:val="28"/>
    </w:rPr>
  </w:style>
  <w:style w:type="paragraph" w:styleId="5">
    <w:name w:val="heading 5"/>
    <w:basedOn w:val="a"/>
    <w:next w:val="a"/>
    <w:link w:val="50"/>
    <w:uiPriority w:val="9"/>
    <w:semiHidden/>
    <w:unhideWhenUsed/>
    <w:qFormat/>
    <w:rsid w:val="0006305B"/>
    <w:pPr>
      <w:keepNext/>
      <w:keepLines/>
      <w:spacing w:before="80" w:after="40"/>
      <w:outlineLvl w:val="4"/>
    </w:pPr>
    <w:rPr>
      <w:rFonts w:eastAsiaTheme="minorEastAsia" w:cstheme="majorBidi"/>
      <w:color w:val="2F5496" w:themeColor="accent1" w:themeShade="BF"/>
      <w:szCs w:val="24"/>
    </w:rPr>
  </w:style>
  <w:style w:type="paragraph" w:styleId="6">
    <w:name w:val="heading 6"/>
    <w:basedOn w:val="a"/>
    <w:next w:val="a"/>
    <w:link w:val="60"/>
    <w:uiPriority w:val="9"/>
    <w:semiHidden/>
    <w:unhideWhenUsed/>
    <w:qFormat/>
    <w:rsid w:val="0006305B"/>
    <w:pPr>
      <w:keepNext/>
      <w:keepLines/>
      <w:spacing w:before="40"/>
      <w:outlineLvl w:val="5"/>
    </w:pPr>
    <w:rPr>
      <w:rFonts w:eastAsiaTheme="minorEastAsia" w:cstheme="majorBidi"/>
      <w:b/>
      <w:bCs/>
      <w:color w:val="2F5496" w:themeColor="accent1" w:themeShade="BF"/>
    </w:rPr>
  </w:style>
  <w:style w:type="paragraph" w:styleId="7">
    <w:name w:val="heading 7"/>
    <w:basedOn w:val="a"/>
    <w:next w:val="a"/>
    <w:link w:val="70"/>
    <w:uiPriority w:val="9"/>
    <w:semiHidden/>
    <w:unhideWhenUsed/>
    <w:qFormat/>
    <w:rsid w:val="0006305B"/>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06305B"/>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06305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aliases w:val="Abstract 字符"/>
    <w:basedOn w:val="a0"/>
    <w:link w:val="3"/>
    <w:uiPriority w:val="9"/>
    <w:rsid w:val="00FE561D"/>
    <w:rPr>
      <w:rFonts w:eastAsia="Times New Roman"/>
      <w:b/>
      <w:bCs/>
      <w:sz w:val="32"/>
      <w:szCs w:val="32"/>
    </w:rPr>
  </w:style>
  <w:style w:type="character" w:customStyle="1" w:styleId="40">
    <w:name w:val="标题 4 字符"/>
    <w:aliases w:val="Key words 字符"/>
    <w:basedOn w:val="a0"/>
    <w:link w:val="4"/>
    <w:uiPriority w:val="9"/>
    <w:rsid w:val="00FE561D"/>
    <w:rPr>
      <w:rFonts w:asciiTheme="majorHAnsi" w:eastAsia="Times New Roman" w:hAnsiTheme="majorHAnsi" w:cstheme="majorBidi"/>
      <w:b/>
      <w:bCs/>
      <w:sz w:val="28"/>
      <w:szCs w:val="28"/>
    </w:rPr>
  </w:style>
  <w:style w:type="character" w:customStyle="1" w:styleId="10">
    <w:name w:val="标题 1 字符"/>
    <w:basedOn w:val="a0"/>
    <w:link w:val="1"/>
    <w:uiPriority w:val="9"/>
    <w:rsid w:val="0006305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6305B"/>
    <w:rPr>
      <w:rFonts w:asciiTheme="majorHAnsi" w:eastAsiaTheme="majorEastAsia" w:hAnsiTheme="majorHAnsi" w:cstheme="majorBidi"/>
      <w:color w:val="2F5496" w:themeColor="accent1" w:themeShade="BF"/>
      <w:sz w:val="40"/>
      <w:szCs w:val="40"/>
    </w:rPr>
  </w:style>
  <w:style w:type="character" w:customStyle="1" w:styleId="50">
    <w:name w:val="标题 5 字符"/>
    <w:basedOn w:val="a0"/>
    <w:link w:val="5"/>
    <w:uiPriority w:val="9"/>
    <w:semiHidden/>
    <w:rsid w:val="0006305B"/>
    <w:rPr>
      <w:rFonts w:cstheme="majorBidi"/>
      <w:color w:val="2F5496" w:themeColor="accent1" w:themeShade="BF"/>
      <w:sz w:val="24"/>
      <w:szCs w:val="24"/>
    </w:rPr>
  </w:style>
  <w:style w:type="character" w:customStyle="1" w:styleId="60">
    <w:name w:val="标题 6 字符"/>
    <w:basedOn w:val="a0"/>
    <w:link w:val="6"/>
    <w:uiPriority w:val="9"/>
    <w:semiHidden/>
    <w:rsid w:val="0006305B"/>
    <w:rPr>
      <w:rFonts w:cstheme="majorBidi"/>
      <w:b/>
      <w:bCs/>
      <w:color w:val="2F5496" w:themeColor="accent1" w:themeShade="BF"/>
      <w:sz w:val="24"/>
    </w:rPr>
  </w:style>
  <w:style w:type="character" w:customStyle="1" w:styleId="70">
    <w:name w:val="标题 7 字符"/>
    <w:basedOn w:val="a0"/>
    <w:link w:val="7"/>
    <w:uiPriority w:val="9"/>
    <w:semiHidden/>
    <w:rsid w:val="0006305B"/>
    <w:rPr>
      <w:rFonts w:cstheme="majorBidi"/>
      <w:b/>
      <w:bCs/>
      <w:color w:val="595959" w:themeColor="text1" w:themeTint="A6"/>
      <w:sz w:val="24"/>
    </w:rPr>
  </w:style>
  <w:style w:type="character" w:customStyle="1" w:styleId="80">
    <w:name w:val="标题 8 字符"/>
    <w:basedOn w:val="a0"/>
    <w:link w:val="8"/>
    <w:uiPriority w:val="9"/>
    <w:semiHidden/>
    <w:rsid w:val="0006305B"/>
    <w:rPr>
      <w:rFonts w:cstheme="majorBidi"/>
      <w:color w:val="595959" w:themeColor="text1" w:themeTint="A6"/>
      <w:sz w:val="24"/>
    </w:rPr>
  </w:style>
  <w:style w:type="character" w:customStyle="1" w:styleId="90">
    <w:name w:val="标题 9 字符"/>
    <w:basedOn w:val="a0"/>
    <w:link w:val="9"/>
    <w:uiPriority w:val="9"/>
    <w:semiHidden/>
    <w:rsid w:val="0006305B"/>
    <w:rPr>
      <w:rFonts w:eastAsiaTheme="majorEastAsia" w:cstheme="majorBidi"/>
      <w:color w:val="595959" w:themeColor="text1" w:themeTint="A6"/>
      <w:sz w:val="24"/>
    </w:rPr>
  </w:style>
  <w:style w:type="paragraph" w:styleId="a3">
    <w:name w:val="Title"/>
    <w:basedOn w:val="a"/>
    <w:next w:val="a"/>
    <w:link w:val="a4"/>
    <w:uiPriority w:val="10"/>
    <w:qFormat/>
    <w:rsid w:val="000630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630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30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630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305B"/>
    <w:pPr>
      <w:spacing w:before="160" w:after="160"/>
      <w:jc w:val="center"/>
    </w:pPr>
    <w:rPr>
      <w:i/>
      <w:iCs/>
      <w:color w:val="404040" w:themeColor="text1" w:themeTint="BF"/>
    </w:rPr>
  </w:style>
  <w:style w:type="character" w:customStyle="1" w:styleId="a8">
    <w:name w:val="引用 字符"/>
    <w:basedOn w:val="a0"/>
    <w:link w:val="a7"/>
    <w:uiPriority w:val="29"/>
    <w:rsid w:val="0006305B"/>
    <w:rPr>
      <w:rFonts w:eastAsia="Times New Roman"/>
      <w:i/>
      <w:iCs/>
      <w:color w:val="404040" w:themeColor="text1" w:themeTint="BF"/>
      <w:sz w:val="24"/>
    </w:rPr>
  </w:style>
  <w:style w:type="paragraph" w:styleId="a9">
    <w:name w:val="List Paragraph"/>
    <w:basedOn w:val="a"/>
    <w:uiPriority w:val="34"/>
    <w:qFormat/>
    <w:rsid w:val="0006305B"/>
    <w:pPr>
      <w:ind w:left="720"/>
      <w:contextualSpacing/>
    </w:pPr>
  </w:style>
  <w:style w:type="character" w:styleId="aa">
    <w:name w:val="Intense Emphasis"/>
    <w:basedOn w:val="a0"/>
    <w:uiPriority w:val="21"/>
    <w:qFormat/>
    <w:rsid w:val="0006305B"/>
    <w:rPr>
      <w:i/>
      <w:iCs/>
      <w:color w:val="2F5496" w:themeColor="accent1" w:themeShade="BF"/>
    </w:rPr>
  </w:style>
  <w:style w:type="paragraph" w:styleId="ab">
    <w:name w:val="Intense Quote"/>
    <w:basedOn w:val="a"/>
    <w:next w:val="a"/>
    <w:link w:val="ac"/>
    <w:uiPriority w:val="30"/>
    <w:qFormat/>
    <w:rsid w:val="000630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6305B"/>
    <w:rPr>
      <w:rFonts w:eastAsia="Times New Roman"/>
      <w:i/>
      <w:iCs/>
      <w:color w:val="2F5496" w:themeColor="accent1" w:themeShade="BF"/>
      <w:sz w:val="24"/>
    </w:rPr>
  </w:style>
  <w:style w:type="character" w:styleId="ad">
    <w:name w:val="Intense Reference"/>
    <w:basedOn w:val="a0"/>
    <w:uiPriority w:val="32"/>
    <w:qFormat/>
    <w:rsid w:val="0006305B"/>
    <w:rPr>
      <w:b/>
      <w:bCs/>
      <w:smallCaps/>
      <w:color w:val="2F5496" w:themeColor="accent1" w:themeShade="BF"/>
      <w:spacing w:val="5"/>
    </w:rPr>
  </w:style>
  <w:style w:type="paragraph" w:styleId="ae">
    <w:name w:val="header"/>
    <w:basedOn w:val="a"/>
    <w:link w:val="af"/>
    <w:uiPriority w:val="99"/>
    <w:unhideWhenUsed/>
    <w:rsid w:val="00224E7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224E75"/>
    <w:rPr>
      <w:rFonts w:eastAsia="Times New Roman"/>
      <w:sz w:val="18"/>
      <w:szCs w:val="18"/>
    </w:rPr>
  </w:style>
  <w:style w:type="paragraph" w:styleId="af0">
    <w:name w:val="footer"/>
    <w:basedOn w:val="a"/>
    <w:link w:val="af1"/>
    <w:uiPriority w:val="99"/>
    <w:unhideWhenUsed/>
    <w:rsid w:val="00224E75"/>
    <w:pPr>
      <w:tabs>
        <w:tab w:val="center" w:pos="4153"/>
        <w:tab w:val="right" w:pos="8306"/>
      </w:tabs>
      <w:snapToGrid w:val="0"/>
      <w:spacing w:line="240" w:lineRule="auto"/>
      <w:jc w:val="left"/>
    </w:pPr>
    <w:rPr>
      <w:sz w:val="18"/>
      <w:szCs w:val="18"/>
    </w:rPr>
  </w:style>
  <w:style w:type="character" w:customStyle="1" w:styleId="af1">
    <w:name w:val="页脚 字符"/>
    <w:basedOn w:val="a0"/>
    <w:link w:val="af0"/>
    <w:uiPriority w:val="99"/>
    <w:rsid w:val="00224E75"/>
    <w:rPr>
      <w:rFonts w:eastAsia="Times New Roman"/>
      <w:sz w:val="18"/>
      <w:szCs w:val="18"/>
    </w:rPr>
  </w:style>
  <w:style w:type="paragraph" w:styleId="af2">
    <w:name w:val="Normal (Web)"/>
    <w:basedOn w:val="a"/>
    <w:uiPriority w:val="99"/>
    <w:semiHidden/>
    <w:unhideWhenUsed/>
    <w:rsid w:val="00592C53"/>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8</Pages>
  <Words>803</Words>
  <Characters>4579</Characters>
  <Application>Microsoft Office Word</Application>
  <DocSecurity>0</DocSecurity>
  <Lines>38</Lines>
  <Paragraphs>10</Paragraphs>
  <ScaleCrop>false</ScaleCrop>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chenxi Wang</dc:creator>
  <cp:keywords/>
  <dc:description/>
  <cp:lastModifiedBy>chenxi Wang</cp:lastModifiedBy>
  <cp:revision>13</cp:revision>
  <dcterms:created xsi:type="dcterms:W3CDTF">2026-04-19T04:52:00Z</dcterms:created>
  <dcterms:modified xsi:type="dcterms:W3CDTF">2026-04-20T14:25:00Z</dcterms:modified>
</cp:coreProperties>
</file>