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AD21C9B">
      <w:pPr>
        <w:keepNext w:val="0"/>
        <w:keepLines w:val="0"/>
        <w:pageBreakBefore w:val="0"/>
        <w:kinsoku/>
        <w:wordWrap/>
        <w:overflowPunct/>
        <w:topLinePunct w:val="0"/>
        <w:autoSpaceDE/>
        <w:autoSpaceDN/>
        <w:bidi w:val="0"/>
        <w:adjustRightInd/>
        <w:snapToGrid/>
        <w:spacing w:line="480" w:lineRule="auto"/>
        <w:textAlignment w:val="auto"/>
        <w:rPr>
          <w:rStyle w:val="8"/>
          <w:rFonts w:hint="default" w:ascii="Times New Roman" w:hAnsi="Times New Roman" w:eastAsia="Segoe UI" w:cs="Times New Roman"/>
          <w:b/>
          <w:bCs/>
          <w:i w:val="0"/>
          <w:iCs w:val="0"/>
          <w:caps w:val="0"/>
          <w:color w:val="0F1115"/>
          <w:spacing w:val="0"/>
          <w:sz w:val="20"/>
          <w:szCs w:val="20"/>
          <w:shd w:val="clear" w:fill="FFFFFF"/>
        </w:rPr>
      </w:pPr>
      <w:r>
        <w:rPr>
          <w:rStyle w:val="8"/>
          <w:rFonts w:hint="default" w:ascii="Times New Roman" w:hAnsi="Times New Roman" w:eastAsia="Segoe UI" w:cs="Times New Roman"/>
          <w:b/>
          <w:bCs/>
          <w:i w:val="0"/>
          <w:iCs w:val="0"/>
          <w:caps w:val="0"/>
          <w:color w:val="0F1115"/>
          <w:spacing w:val="0"/>
          <w:sz w:val="20"/>
          <w:szCs w:val="20"/>
          <w:shd w:val="clear" w:fill="FFFFFF"/>
        </w:rPr>
        <w:t>Clinical Nutrition Support Protocol for Pediatric Cancer Patients Undergoing Chemotherapy – Expert Consultation Questionnaire (First Round)</w:t>
      </w:r>
    </w:p>
    <w:p w14:paraId="0ACB5C0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 xml:space="preserve">Dear </w:t>
      </w:r>
      <w:r>
        <w:rPr>
          <w:rFonts w:hint="default" w:ascii="Times New Roman" w:hAnsi="Times New Roman" w:eastAsia="宋体" w:cs="Times New Roman"/>
          <w:i w:val="0"/>
          <w:iCs w:val="0"/>
          <w:caps w:val="0"/>
          <w:color w:val="0F1115"/>
          <w:spacing w:val="0"/>
          <w:sz w:val="20"/>
          <w:szCs w:val="20"/>
          <w:shd w:val="clear" w:fill="FFFFFF"/>
          <w:lang w:val="en-US" w:eastAsia="zh-CN"/>
        </w:rPr>
        <w:t>P</w:t>
      </w:r>
      <w:r>
        <w:rPr>
          <w:rFonts w:hint="default" w:ascii="Times New Roman" w:hAnsi="Times New Roman" w:eastAsia="Segoe UI" w:cs="Times New Roman"/>
          <w:i w:val="0"/>
          <w:iCs w:val="0"/>
          <w:caps w:val="0"/>
          <w:color w:val="0F1115"/>
          <w:spacing w:val="0"/>
          <w:sz w:val="20"/>
          <w:szCs w:val="20"/>
          <w:shd w:val="clear" w:fill="FFFFFF"/>
        </w:rPr>
        <w:t>rofessor,</w:t>
      </w:r>
    </w:p>
    <w:p w14:paraId="1DD52DB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Thank you very much for your participation in this consultation.</w:t>
      </w:r>
    </w:p>
    <w:p w14:paraId="21499579">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To standardize the clinical nutrition management for pediatric cancer patients undergoing chemotherapy and to improve the quality of clinical care, our department has summarized the best evidence on nutrition management during chemotherapy for pediatric cancer patients based on evidence</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based methods. We have also conducted qualitative interviews with patients, their caregivers, and clinical healthcare providers to understand the current needs in clinical nutrition management. Combining the best evidence with the clinical context, we have developed a clinical nutrition support protocol for pediatric cancer patients undergoing chemotherapy. We sincerely invite you to evaluate the content of this protocol based on your profound expertise and extensive clinical experience in the relevant discipline and research area.</w:t>
      </w:r>
    </w:p>
    <w:p w14:paraId="0B865864">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This consultation questionnaire consists of three parts:</w:t>
      </w:r>
    </w:p>
    <w:p w14:paraId="774CBDE2">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Expert background information</w:t>
      </w:r>
    </w:p>
    <w:p w14:paraId="1C2D1B34">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Consultation form on the nutrition support protocol for pediatric cancer patients undergoing chemotherapy</w:t>
      </w:r>
    </w:p>
    <w:p w14:paraId="71682531">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80" w:lineRule="auto"/>
        <w:ind w:left="0" w:right="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Self</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assessment of the expert’s basis for judgment and familiarity with the content</w:t>
      </w:r>
    </w:p>
    <w:p w14:paraId="134691AA">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shd w:val="clear" w:fill="FFFFFF"/>
        </w:rPr>
      </w:pPr>
      <w:r>
        <w:rPr>
          <w:rFonts w:hint="default" w:ascii="Times New Roman" w:hAnsi="Times New Roman" w:eastAsia="Segoe UI" w:cs="Times New Roman"/>
          <w:i w:val="0"/>
          <w:iCs w:val="0"/>
          <w:caps w:val="0"/>
          <w:color w:val="0F1115"/>
          <w:spacing w:val="0"/>
          <w:sz w:val="20"/>
          <w:szCs w:val="20"/>
          <w:shd w:val="clear" w:fill="FFFFFF"/>
        </w:rPr>
        <w:t>We greatly appreciate your support and help. We would be very grateful if you could reply within two weeks. We sincerely look forward to your valuable comments and suggestions!</w:t>
      </w:r>
    </w:p>
    <w:p w14:paraId="070CF741">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Style w:val="8"/>
          <w:rFonts w:hint="default" w:ascii="Times New Roman" w:hAnsi="Times New Roman" w:eastAsia="Segoe UI" w:cs="Times New Roman"/>
          <w:b/>
          <w:bCs/>
          <w:i w:val="0"/>
          <w:iCs w:val="0"/>
          <w:caps w:val="0"/>
          <w:color w:val="0F1115"/>
          <w:spacing w:val="0"/>
          <w:sz w:val="20"/>
          <w:szCs w:val="20"/>
          <w:shd w:val="clear" w:fill="FFFFFF"/>
        </w:rPr>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pPr>
      <w:r>
        <w:rPr>
          <w:rStyle w:val="8"/>
          <w:rFonts w:hint="default" w:ascii="Times New Roman" w:hAnsi="Times New Roman" w:eastAsia="Segoe UI" w:cs="Times New Roman"/>
          <w:b/>
          <w:bCs/>
          <w:i w:val="0"/>
          <w:iCs w:val="0"/>
          <w:caps w:val="0"/>
          <w:color w:val="0F1115"/>
          <w:spacing w:val="0"/>
          <w:sz w:val="20"/>
          <w:szCs w:val="20"/>
          <w:shd w:val="clear" w:fill="FFFFFF"/>
        </w:rPr>
        <w:t>Pediatric Oncology Nursing Platform</w:t>
      </w:r>
      <w:r>
        <w:rPr>
          <w:rFonts w:hint="default" w:ascii="Times New Roman" w:hAnsi="Times New Roman" w:eastAsia="Segoe UI" w:cs="Times New Roman"/>
          <w:i w:val="0"/>
          <w:iCs w:val="0"/>
          <w:caps w:val="0"/>
          <w:color w:val="0F1115"/>
          <w:spacing w:val="0"/>
          <w:sz w:val="20"/>
          <w:szCs w:val="20"/>
          <w:shd w:val="clear" w:fill="FFFFFF"/>
        </w:rPr>
        <w:br w:type="textWrapping"/>
      </w:r>
      <w:r>
        <w:rPr>
          <w:rStyle w:val="8"/>
          <w:rFonts w:hint="default" w:ascii="Times New Roman" w:hAnsi="Times New Roman" w:eastAsia="Segoe UI" w:cs="Times New Roman"/>
          <w:b/>
          <w:bCs/>
          <w:i w:val="0"/>
          <w:iCs w:val="0"/>
          <w:caps w:val="0"/>
          <w:color w:val="0F1115"/>
          <w:spacing w:val="0"/>
          <w:sz w:val="20"/>
          <w:szCs w:val="20"/>
          <w:shd w:val="clear" w:fill="FFFFFF"/>
        </w:rPr>
        <w:t>Department of Pediatrics, The First Hospital of Jilin University</w:t>
      </w:r>
      <w:r>
        <w:rPr>
          <w:rFonts w:hint="default" w:ascii="Times New Roman" w:hAnsi="Times New Roman" w:eastAsia="Segoe UI" w:cs="Times New Roman"/>
          <w:i w:val="0"/>
          <w:iCs w:val="0"/>
          <w:caps w:val="0"/>
          <w:color w:val="0F1115"/>
          <w:spacing w:val="0"/>
          <w:sz w:val="20"/>
          <w:szCs w:val="20"/>
          <w:shd w:val="clear" w:fill="FFFFFF"/>
        </w:rPr>
        <w:br w:type="textWrapping"/>
      </w:r>
      <w:r>
        <w:rPr>
          <w:rStyle w:val="8"/>
          <w:rFonts w:hint="default" w:ascii="Times New Roman" w:hAnsi="Times New Roman" w:eastAsia="宋体" w:cs="Times New Roman"/>
          <w:b/>
          <w:bCs/>
          <w:i w:val="0"/>
          <w:iCs w:val="0"/>
          <w:caps w:val="0"/>
          <w:color w:val="0F1115"/>
          <w:spacing w:val="0"/>
          <w:sz w:val="20"/>
          <w:szCs w:val="20"/>
          <w:shd w:val="clear" w:fill="FFFFFF"/>
          <w:lang w:val="en-US" w:eastAsia="zh-CN"/>
        </w:rPr>
        <w:t>May</w:t>
      </w:r>
      <w:r>
        <w:rPr>
          <w:rStyle w:val="8"/>
          <w:rFonts w:hint="default" w:ascii="Times New Roman" w:hAnsi="Times New Roman" w:eastAsia="Segoe UI" w:cs="Times New Roman"/>
          <w:b/>
          <w:bCs/>
          <w:i w:val="0"/>
          <w:iCs w:val="0"/>
          <w:caps w:val="0"/>
          <w:color w:val="0F1115"/>
          <w:spacing w:val="0"/>
          <w:sz w:val="20"/>
          <w:szCs w:val="20"/>
          <w:shd w:val="clear" w:fill="FFFFFF"/>
        </w:rPr>
        <w:t xml:space="preserve"> 2025</w:t>
      </w:r>
    </w:p>
    <w:p w14:paraId="5809516C">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Part 1: Expert Background Information</w:t>
      </w:r>
    </w:p>
    <w:p w14:paraId="4A3E4BE3">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sz w:val="20"/>
          <w:szCs w:val="20"/>
          <w:shd w:val="clear" w:fill="FFFFFF"/>
        </w:rPr>
        <w:t>Instructions:</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Please fill in your personal information carefully or tick “√” in the corresponding boxes. Your information will be kept strictly confidential.</w:t>
      </w:r>
    </w:p>
    <w:p w14:paraId="1B760821">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Age: ________</w:t>
      </w:r>
    </w:p>
    <w:p w14:paraId="372B05EA">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Gender: □ Male □ Female</w:t>
      </w:r>
    </w:p>
    <w:p w14:paraId="7CFF9346">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Highest education: □ Doctorate □ Master’s degree □ Bachelor’s degree</w:t>
      </w:r>
    </w:p>
    <w:p w14:paraId="54813A76">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Workplace: ____________________</w:t>
      </w:r>
    </w:p>
    <w:p w14:paraId="67043D82">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Current position: ____________________</w:t>
      </w:r>
    </w:p>
    <w:p w14:paraId="0B59890F">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Professional title: □ Senior □ Associate senior □ Intermediate □ Other</w:t>
      </w:r>
    </w:p>
    <w:p w14:paraId="5F11967E">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Main work and research areas (multiple choices allowed):</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 Hematology/Oncology (medical) □ Pediatrics (medical) □ Hematology/Oncology (nursing) □ Pediatrics (nursing)</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 Clinical nutrition □ Nursing management □ Other ( )</w:t>
      </w:r>
    </w:p>
    <w:p w14:paraId="6958163B">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pPr>
      <w:r>
        <w:rPr>
          <w:rFonts w:hint="default" w:ascii="Times New Roman" w:hAnsi="Times New Roman" w:eastAsia="Segoe UI" w:cs="Times New Roman"/>
          <w:i w:val="0"/>
          <w:iCs w:val="0"/>
          <w:caps w:val="0"/>
          <w:color w:val="0F1115"/>
          <w:spacing w:val="0"/>
          <w:sz w:val="20"/>
          <w:szCs w:val="20"/>
          <w:shd w:val="clear" w:fill="FFFFFF"/>
        </w:rPr>
        <w:t>Years of work in oncology or nutrition</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related fields: □ &lt;10 years □ 10–20 years □ &gt;20 years</w:t>
      </w:r>
    </w:p>
    <w:p w14:paraId="60862F86">
      <w:pPr>
        <w:pStyle w:val="4"/>
        <w:keepNext w:val="0"/>
        <w:keepLines w:val="0"/>
        <w:pageBreakBefore w:val="0"/>
        <w:widowControl/>
        <w:numPr>
          <w:ilvl w:val="0"/>
          <w:numId w:val="1"/>
        </w:numPr>
        <w:suppressLineNumbers w:val="0"/>
        <w:kinsoku/>
        <w:wordWrap/>
        <w:overflowPunct/>
        <w:topLinePunct w:val="0"/>
        <w:autoSpaceDE/>
        <w:autoSpaceDN/>
        <w:bidi w:val="0"/>
        <w:adjustRightInd/>
        <w:snapToGrid/>
        <w:spacing w:before="0" w:beforeAutospacing="0" w:after="0" w:afterAutospacing="0" w:line="480" w:lineRule="auto"/>
        <w:ind w:left="425" w:leftChars="0" w:right="0" w:hanging="425" w:firstLineChars="0"/>
        <w:textAlignment w:val="auto"/>
        <w:rPr>
          <w:rFonts w:hint="default" w:ascii="Times New Roman" w:hAnsi="Times New Roman" w:cs="Times New Roman"/>
          <w:sz w:val="20"/>
          <w:szCs w:val="20"/>
        </w:rPr>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pPr>
      <w:r>
        <w:rPr>
          <w:rFonts w:hint="default" w:ascii="Times New Roman" w:hAnsi="Times New Roman" w:eastAsia="Segoe UI" w:cs="Times New Roman"/>
          <w:i w:val="0"/>
          <w:iCs w:val="0"/>
          <w:caps w:val="0"/>
          <w:color w:val="0F1115"/>
          <w:spacing w:val="0"/>
          <w:sz w:val="20"/>
          <w:szCs w:val="20"/>
          <w:shd w:val="clear" w:fill="FFFFFF"/>
        </w:rPr>
        <w:t>Contact phone number: ____________________</w:t>
      </w:r>
    </w:p>
    <w:p w14:paraId="67F51E64">
      <w:pPr>
        <w:pStyle w:val="2"/>
        <w:keepNext w:val="0"/>
        <w:keepLines w:val="0"/>
        <w:widowControl/>
        <w:suppressLineNumbers w:val="0"/>
        <w:shd w:val="clear" w:fill="FFFFFF"/>
        <w:spacing w:before="240" w:beforeAutospacing="0" w:after="120" w:afterAutospacing="0"/>
        <w:ind w:left="0" w:right="0" w:firstLine="0"/>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Part 2: Consultation Form on the Nutrition Support Protocol for Pediatric Cancer Patients Undergoing Chemotherapy</w:t>
      </w:r>
    </w:p>
    <w:p w14:paraId="286C2635">
      <w:pPr>
        <w:pStyle w:val="4"/>
        <w:keepNext w:val="0"/>
        <w:keepLines w:val="0"/>
        <w:widowControl/>
        <w:suppressLineNumbers w:val="0"/>
        <w:shd w:val="clear" w:fill="FFFFFF"/>
        <w:spacing w:before="120" w:beforeAutospacing="0" w:after="120" w:afterAutospacing="0"/>
        <w:ind w:left="0" w:right="0" w:firstLine="0"/>
        <w:rPr>
          <w:rFonts w:hint="default" w:ascii="Times New Roman" w:hAnsi="Times New Roman" w:eastAsia="Segoe UI" w:cs="Times New Roman"/>
          <w:i w:val="0"/>
          <w:iCs w:val="0"/>
          <w:caps w:val="0"/>
          <w:color w:val="0F1115"/>
          <w:spacing w:val="0"/>
          <w:sz w:val="20"/>
          <w:szCs w:val="20"/>
          <w:shd w:val="clear" w:fill="FFFFFF"/>
        </w:rPr>
      </w:pPr>
      <w:r>
        <w:rPr>
          <w:rFonts w:hint="default" w:ascii="Times New Roman" w:hAnsi="Times New Roman" w:eastAsia="Segoe UI" w:cs="Times New Roman"/>
          <w:i w:val="0"/>
          <w:iCs w:val="0"/>
          <w:caps w:val="0"/>
          <w:color w:val="0F1115"/>
          <w:spacing w:val="0"/>
          <w:sz w:val="20"/>
          <w:szCs w:val="20"/>
          <w:shd w:val="clear" w:fill="FFFFFF"/>
        </w:rPr>
        <w:t>We are consulting your opinion on the importance of the first</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level, second</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level, and third</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level items of the nutrition support protocol for pediatric cancer patients undergoing chemotherapy. A 5</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point Likert scale is used (1 = very unimportant, 5 = very important). </w:t>
      </w:r>
      <w:r>
        <w:rPr>
          <w:rStyle w:val="8"/>
          <w:rFonts w:hint="default" w:ascii="Times New Roman" w:hAnsi="Times New Roman" w:eastAsia="Segoe UI" w:cs="Times New Roman"/>
          <w:b/>
          <w:bCs/>
          <w:i w:val="0"/>
          <w:iCs w:val="0"/>
          <w:caps w:val="0"/>
          <w:color w:val="0F1115"/>
          <w:spacing w:val="0"/>
          <w:sz w:val="20"/>
          <w:szCs w:val="20"/>
          <w:shd w:val="clear" w:fill="FFFFFF"/>
        </w:rPr>
        <w:t>Please tick “√” in the corresponding score box.</w:t>
      </w:r>
      <w:r>
        <w:rPr>
          <w:rFonts w:hint="default" w:ascii="Times New Roman" w:hAnsi="Times New Roman" w:eastAsia="Segoe UI" w:cs="Times New Roman"/>
          <w:i w:val="0"/>
          <w:iCs w:val="0"/>
          <w:caps w:val="0"/>
          <w:color w:val="0F1115"/>
          <w:spacing w:val="0"/>
          <w:sz w:val="20"/>
          <w:szCs w:val="20"/>
          <w:shd w:val="clear" w:fill="FFFFFF"/>
        </w:rPr>
        <w:t> If you think an item is not accurately expressed, please write your revision suggestion in the “Revision suggestion” column. If you think some content should be added, please supplement in the “Items to be added” column. Any added items should also be rated for importance.</w:t>
      </w:r>
    </w:p>
    <w:p w14:paraId="0268F5A1">
      <w:pPr>
        <w:pStyle w:val="3"/>
        <w:keepNext w:val="0"/>
        <w:keepLines w:val="0"/>
        <w:widowControl/>
        <w:suppressLineNumbers w:val="0"/>
        <w:spacing w:before="240" w:beforeAutospacing="0" w:after="120" w:afterAutospacing="0"/>
        <w:ind w:left="0" w:right="0"/>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pPr>
      <w:r>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t>Table 1 – First</w:t>
      </w:r>
      <w:r>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noBreakHyphen/>
      </w:r>
      <w:r>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t>level items</w:t>
      </w:r>
    </w:p>
    <w:tbl>
      <w:tblPr>
        <w:tblStyle w:val="5"/>
        <w:tblW w:w="13910"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Layout w:type="fixed"/>
        <w:tblCellMar>
          <w:top w:w="15" w:type="dxa"/>
          <w:left w:w="15" w:type="dxa"/>
          <w:bottom w:w="15" w:type="dxa"/>
          <w:right w:w="15" w:type="dxa"/>
        </w:tblCellMar>
      </w:tblPr>
      <w:tblGrid>
        <w:gridCol w:w="3471"/>
        <w:gridCol w:w="7098"/>
        <w:gridCol w:w="3341"/>
      </w:tblGrid>
      <w:tr w14:paraId="6000A6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3471" w:type="dxa"/>
            <w:tcBorders>
              <w:bottom w:val="single" w:color="auto" w:sz="4" w:space="0"/>
            </w:tcBorders>
            <w:shd w:val="clear" w:color="auto" w:fill="auto"/>
            <w:tcMar>
              <w:top w:w="75" w:type="dxa"/>
              <w:left w:w="0" w:type="dxa"/>
              <w:bottom w:w="75" w:type="dxa"/>
              <w:right w:w="120" w:type="dxa"/>
            </w:tcMar>
            <w:vAlign w:val="center"/>
          </w:tcPr>
          <w:p w14:paraId="155C3CCA">
            <w:pPr>
              <w:keepNext w:val="0"/>
              <w:keepLines w:val="0"/>
              <w:widowControl/>
              <w:suppressLineNumbers w:val="0"/>
              <w:jc w:val="left"/>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First</w:t>
            </w:r>
            <w:r>
              <w:rPr>
                <w:rFonts w:hint="default" w:ascii="Times New Roman" w:hAnsi="Times New Roman" w:eastAsia="var(--dsw-font-markdown-table-h" w:cs="Times New Roman"/>
                <w:b/>
                <w:bCs/>
                <w:kern w:val="0"/>
                <w:sz w:val="20"/>
                <w:szCs w:val="20"/>
                <w:lang w:val="en-US" w:eastAsia="zh-CN" w:bidi="ar"/>
              </w:rPr>
              <w:noBreakHyphen/>
            </w:r>
            <w:r>
              <w:rPr>
                <w:rFonts w:hint="default" w:ascii="Times New Roman" w:hAnsi="Times New Roman" w:eastAsia="var(--dsw-font-markdown-table-h" w:cs="Times New Roman"/>
                <w:b/>
                <w:bCs/>
                <w:kern w:val="0"/>
                <w:sz w:val="20"/>
                <w:szCs w:val="20"/>
                <w:lang w:val="en-US" w:eastAsia="zh-CN" w:bidi="ar"/>
              </w:rPr>
              <w:t>level item</w:t>
            </w:r>
          </w:p>
        </w:tc>
        <w:tc>
          <w:tcPr>
            <w:tcW w:w="7098" w:type="dxa"/>
            <w:tcBorders>
              <w:bottom w:val="single" w:color="auto" w:sz="4" w:space="0"/>
            </w:tcBorders>
            <w:shd w:val="clear" w:color="auto" w:fill="auto"/>
            <w:tcMar>
              <w:top w:w="75" w:type="dxa"/>
              <w:left w:w="120" w:type="dxa"/>
              <w:bottom w:w="75" w:type="dxa"/>
              <w:right w:w="120" w:type="dxa"/>
            </w:tcMar>
            <w:vAlign w:val="center"/>
          </w:tcPr>
          <w:p w14:paraId="7958F2B7">
            <w:pPr>
              <w:keepNext w:val="0"/>
              <w:keepLines w:val="0"/>
              <w:widowControl/>
              <w:suppressLineNumbers w:val="0"/>
              <w:jc w:val="left"/>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Importance score (5=very important, 4=important, 3=moderately important, 2=unimportant, 1=very unimportant)</w:t>
            </w:r>
          </w:p>
        </w:tc>
        <w:tc>
          <w:tcPr>
            <w:tcW w:w="3341" w:type="dxa"/>
            <w:tcBorders>
              <w:bottom w:val="single" w:color="auto" w:sz="4" w:space="0"/>
            </w:tcBorders>
            <w:shd w:val="clear" w:color="auto" w:fill="auto"/>
            <w:tcMar>
              <w:top w:w="75" w:type="dxa"/>
              <w:left w:w="120" w:type="dxa"/>
              <w:bottom w:w="75" w:type="dxa"/>
              <w:right w:w="120" w:type="dxa"/>
            </w:tcMar>
            <w:vAlign w:val="center"/>
          </w:tcPr>
          <w:p w14:paraId="354C173D">
            <w:pPr>
              <w:keepNext w:val="0"/>
              <w:keepLines w:val="0"/>
              <w:widowControl/>
              <w:suppressLineNumbers w:val="0"/>
              <w:jc w:val="left"/>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Revision suggestion</w:t>
            </w:r>
          </w:p>
        </w:tc>
      </w:tr>
      <w:tr w14:paraId="4D58676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71" w:type="dxa"/>
            <w:tcBorders>
              <w:top w:val="single" w:color="auto" w:sz="4" w:space="0"/>
              <w:tl2br w:val="nil"/>
              <w:tr2bl w:val="nil"/>
            </w:tcBorders>
            <w:shd w:val="clear" w:color="auto" w:fill="auto"/>
            <w:tcMar>
              <w:top w:w="75" w:type="dxa"/>
              <w:left w:w="0" w:type="dxa"/>
              <w:bottom w:w="75" w:type="dxa"/>
              <w:right w:w="120" w:type="dxa"/>
            </w:tcMar>
            <w:vAlign w:val="center"/>
          </w:tcPr>
          <w:p w14:paraId="3CE0BAA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1. Organisational management</w:t>
            </w:r>
          </w:p>
        </w:tc>
        <w:tc>
          <w:tcPr>
            <w:tcW w:w="7098" w:type="dxa"/>
            <w:tcBorders>
              <w:top w:val="single" w:color="auto" w:sz="4" w:space="0"/>
              <w:tl2br w:val="nil"/>
              <w:tr2bl w:val="nil"/>
            </w:tcBorders>
            <w:shd w:val="clear" w:color="auto" w:fill="auto"/>
            <w:tcMar>
              <w:top w:w="75" w:type="dxa"/>
              <w:left w:w="120" w:type="dxa"/>
              <w:bottom w:w="75" w:type="dxa"/>
              <w:right w:w="120" w:type="dxa"/>
            </w:tcMar>
            <w:vAlign w:val="center"/>
          </w:tcPr>
          <w:p w14:paraId="643E566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3341" w:type="dxa"/>
            <w:tcBorders>
              <w:top w:val="single" w:color="auto" w:sz="4" w:space="0"/>
              <w:tl2br w:val="nil"/>
              <w:tr2bl w:val="nil"/>
            </w:tcBorders>
            <w:shd w:val="clear" w:color="auto" w:fill="auto"/>
            <w:tcMar>
              <w:top w:w="75" w:type="dxa"/>
              <w:left w:w="120" w:type="dxa"/>
              <w:bottom w:w="75" w:type="dxa"/>
              <w:right w:w="0" w:type="dxa"/>
            </w:tcMar>
            <w:vAlign w:val="center"/>
          </w:tcPr>
          <w:p w14:paraId="5F0F4547">
            <w:pPr>
              <w:rPr>
                <w:rFonts w:hint="default" w:ascii="Times New Roman" w:hAnsi="Times New Roman" w:eastAsia="var(--dsw-font-markdown-table)" w:cs="Times New Roman"/>
                <w:sz w:val="20"/>
                <w:szCs w:val="20"/>
              </w:rPr>
            </w:pPr>
          </w:p>
        </w:tc>
      </w:tr>
      <w:tr w14:paraId="4B5DB99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71" w:type="dxa"/>
            <w:tcBorders>
              <w:tl2br w:val="nil"/>
              <w:tr2bl w:val="nil"/>
            </w:tcBorders>
            <w:shd w:val="clear" w:color="auto" w:fill="auto"/>
            <w:tcMar>
              <w:top w:w="75" w:type="dxa"/>
              <w:left w:w="0" w:type="dxa"/>
              <w:bottom w:w="75" w:type="dxa"/>
              <w:right w:w="120" w:type="dxa"/>
            </w:tcMar>
            <w:vAlign w:val="center"/>
          </w:tcPr>
          <w:p w14:paraId="26E6460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2. Standardised screening and assessment</w:t>
            </w:r>
          </w:p>
        </w:tc>
        <w:tc>
          <w:tcPr>
            <w:tcW w:w="7098" w:type="dxa"/>
            <w:tcBorders>
              <w:tl2br w:val="nil"/>
              <w:tr2bl w:val="nil"/>
            </w:tcBorders>
            <w:shd w:val="clear" w:color="auto" w:fill="auto"/>
            <w:tcMar>
              <w:top w:w="75" w:type="dxa"/>
              <w:left w:w="120" w:type="dxa"/>
              <w:bottom w:w="75" w:type="dxa"/>
              <w:right w:w="120" w:type="dxa"/>
            </w:tcMar>
            <w:vAlign w:val="center"/>
          </w:tcPr>
          <w:p w14:paraId="1A9E8D3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3341" w:type="dxa"/>
            <w:tcBorders>
              <w:tl2br w:val="nil"/>
              <w:tr2bl w:val="nil"/>
            </w:tcBorders>
            <w:shd w:val="clear" w:color="auto" w:fill="auto"/>
            <w:tcMar>
              <w:top w:w="75" w:type="dxa"/>
              <w:left w:w="120" w:type="dxa"/>
              <w:bottom w:w="75" w:type="dxa"/>
              <w:right w:w="0" w:type="dxa"/>
            </w:tcMar>
            <w:vAlign w:val="center"/>
          </w:tcPr>
          <w:p w14:paraId="7D163DAF">
            <w:pPr>
              <w:rPr>
                <w:rFonts w:hint="default" w:ascii="Times New Roman" w:hAnsi="Times New Roman" w:eastAsia="var(--dsw-font-markdown-table)" w:cs="Times New Roman"/>
                <w:sz w:val="20"/>
                <w:szCs w:val="20"/>
              </w:rPr>
            </w:pPr>
          </w:p>
        </w:tc>
      </w:tr>
      <w:tr w14:paraId="7992A5F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71" w:type="dxa"/>
            <w:tcBorders>
              <w:tl2br w:val="nil"/>
              <w:tr2bl w:val="nil"/>
            </w:tcBorders>
            <w:shd w:val="clear" w:color="auto" w:fill="auto"/>
            <w:tcMar>
              <w:top w:w="75" w:type="dxa"/>
              <w:left w:w="0" w:type="dxa"/>
              <w:bottom w:w="75" w:type="dxa"/>
              <w:right w:w="120" w:type="dxa"/>
            </w:tcMar>
            <w:vAlign w:val="center"/>
          </w:tcPr>
          <w:p w14:paraId="43BA708C">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3. Nutrition intervention strategies</w:t>
            </w:r>
          </w:p>
        </w:tc>
        <w:tc>
          <w:tcPr>
            <w:tcW w:w="7098" w:type="dxa"/>
            <w:tcBorders>
              <w:tl2br w:val="nil"/>
              <w:tr2bl w:val="nil"/>
            </w:tcBorders>
            <w:shd w:val="clear" w:color="auto" w:fill="auto"/>
            <w:tcMar>
              <w:top w:w="75" w:type="dxa"/>
              <w:left w:w="120" w:type="dxa"/>
              <w:bottom w:w="75" w:type="dxa"/>
              <w:right w:w="120" w:type="dxa"/>
            </w:tcMar>
            <w:vAlign w:val="center"/>
          </w:tcPr>
          <w:p w14:paraId="6FAA5051">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3341" w:type="dxa"/>
            <w:tcBorders>
              <w:tl2br w:val="nil"/>
              <w:tr2bl w:val="nil"/>
            </w:tcBorders>
            <w:shd w:val="clear" w:color="auto" w:fill="auto"/>
            <w:tcMar>
              <w:top w:w="75" w:type="dxa"/>
              <w:left w:w="120" w:type="dxa"/>
              <w:bottom w:w="75" w:type="dxa"/>
              <w:right w:w="0" w:type="dxa"/>
            </w:tcMar>
            <w:vAlign w:val="center"/>
          </w:tcPr>
          <w:p w14:paraId="4B360638">
            <w:pPr>
              <w:rPr>
                <w:rFonts w:hint="default" w:ascii="Times New Roman" w:hAnsi="Times New Roman" w:eastAsia="var(--dsw-font-markdown-table)" w:cs="Times New Roman"/>
                <w:sz w:val="20"/>
                <w:szCs w:val="20"/>
              </w:rPr>
            </w:pPr>
          </w:p>
        </w:tc>
      </w:tr>
      <w:tr w14:paraId="19B2A1F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3471" w:type="dxa"/>
            <w:tcBorders>
              <w:tl2br w:val="nil"/>
              <w:tr2bl w:val="nil"/>
            </w:tcBorders>
            <w:shd w:val="clear" w:color="auto" w:fill="auto"/>
            <w:tcMar>
              <w:top w:w="75" w:type="dxa"/>
              <w:left w:w="0" w:type="dxa"/>
              <w:bottom w:w="75" w:type="dxa"/>
              <w:right w:w="120" w:type="dxa"/>
            </w:tcMar>
            <w:vAlign w:val="center"/>
          </w:tcPr>
          <w:p w14:paraId="66B6EF75">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4. Health education</w:t>
            </w:r>
          </w:p>
        </w:tc>
        <w:tc>
          <w:tcPr>
            <w:tcW w:w="7098" w:type="dxa"/>
            <w:tcBorders>
              <w:tl2br w:val="nil"/>
              <w:tr2bl w:val="nil"/>
            </w:tcBorders>
            <w:shd w:val="clear" w:color="auto" w:fill="auto"/>
            <w:tcMar>
              <w:top w:w="75" w:type="dxa"/>
              <w:left w:w="120" w:type="dxa"/>
              <w:bottom w:w="75" w:type="dxa"/>
              <w:right w:w="120" w:type="dxa"/>
            </w:tcMar>
            <w:vAlign w:val="center"/>
          </w:tcPr>
          <w:p w14:paraId="421B534A">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3341" w:type="dxa"/>
            <w:tcBorders>
              <w:tl2br w:val="nil"/>
              <w:tr2bl w:val="nil"/>
            </w:tcBorders>
            <w:shd w:val="clear" w:color="auto" w:fill="auto"/>
            <w:tcMar>
              <w:top w:w="75" w:type="dxa"/>
              <w:left w:w="120" w:type="dxa"/>
              <w:bottom w:w="75" w:type="dxa"/>
              <w:right w:w="0" w:type="dxa"/>
            </w:tcMar>
            <w:vAlign w:val="center"/>
          </w:tcPr>
          <w:p w14:paraId="060D31A5">
            <w:pPr>
              <w:rPr>
                <w:rFonts w:hint="default" w:ascii="Times New Roman" w:hAnsi="Times New Roman" w:eastAsia="var(--dsw-font-markdown-table)" w:cs="Times New Roman"/>
                <w:sz w:val="20"/>
                <w:szCs w:val="20"/>
              </w:rPr>
            </w:pPr>
          </w:p>
        </w:tc>
      </w:tr>
      <w:tr w14:paraId="1156F8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71" w:type="dxa"/>
            <w:tcBorders>
              <w:tl2br w:val="nil"/>
              <w:tr2bl w:val="nil"/>
            </w:tcBorders>
            <w:shd w:val="clear" w:color="auto" w:fill="auto"/>
            <w:tcMar>
              <w:top w:w="75" w:type="dxa"/>
              <w:left w:w="0" w:type="dxa"/>
              <w:bottom w:w="75" w:type="dxa"/>
              <w:right w:w="120" w:type="dxa"/>
            </w:tcMar>
            <w:vAlign w:val="center"/>
          </w:tcPr>
          <w:p w14:paraId="2FF8216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Continuity of care</w:t>
            </w:r>
          </w:p>
        </w:tc>
        <w:tc>
          <w:tcPr>
            <w:tcW w:w="7098" w:type="dxa"/>
            <w:tcBorders>
              <w:tl2br w:val="nil"/>
              <w:tr2bl w:val="nil"/>
            </w:tcBorders>
            <w:shd w:val="clear" w:color="auto" w:fill="auto"/>
            <w:tcMar>
              <w:top w:w="75" w:type="dxa"/>
              <w:left w:w="120" w:type="dxa"/>
              <w:bottom w:w="75" w:type="dxa"/>
              <w:right w:w="120" w:type="dxa"/>
            </w:tcMar>
            <w:vAlign w:val="center"/>
          </w:tcPr>
          <w:p w14:paraId="089FA399">
            <w:pPr>
              <w:keepNext w:val="0"/>
              <w:keepLines w:val="0"/>
              <w:widowControl/>
              <w:suppressLineNumbers w:val="0"/>
              <w:jc w:val="left"/>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□5         □4          □3          □2           □1</w:t>
            </w:r>
          </w:p>
        </w:tc>
        <w:tc>
          <w:tcPr>
            <w:tcW w:w="3341" w:type="dxa"/>
            <w:tcBorders>
              <w:tl2br w:val="nil"/>
              <w:tr2bl w:val="nil"/>
            </w:tcBorders>
            <w:shd w:val="clear" w:color="auto" w:fill="auto"/>
            <w:tcMar>
              <w:top w:w="75" w:type="dxa"/>
              <w:left w:w="120" w:type="dxa"/>
              <w:bottom w:w="75" w:type="dxa"/>
              <w:right w:w="0" w:type="dxa"/>
            </w:tcMar>
            <w:vAlign w:val="center"/>
          </w:tcPr>
          <w:p w14:paraId="27FB209F">
            <w:pPr>
              <w:rPr>
                <w:rFonts w:hint="default" w:ascii="Times New Roman" w:hAnsi="Times New Roman" w:eastAsia="var(--dsw-font-markdown-table)" w:cs="Times New Roman"/>
                <w:sz w:val="20"/>
                <w:szCs w:val="20"/>
              </w:rPr>
            </w:pPr>
          </w:p>
        </w:tc>
      </w:tr>
      <w:tr w14:paraId="72B3B2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3471" w:type="dxa"/>
            <w:tcBorders>
              <w:tl2br w:val="nil"/>
              <w:tr2bl w:val="nil"/>
            </w:tcBorders>
            <w:shd w:val="clear" w:color="auto" w:fill="FFFFFF"/>
            <w:tcMar>
              <w:top w:w="75" w:type="dxa"/>
              <w:left w:w="0" w:type="dxa"/>
              <w:bottom w:w="75" w:type="dxa"/>
              <w:right w:w="120" w:type="dxa"/>
            </w:tcMar>
            <w:vAlign w:val="center"/>
          </w:tcPr>
          <w:p w14:paraId="290BEB21">
            <w:pPr>
              <w:keepNext w:val="0"/>
              <w:keepLines w:val="0"/>
              <w:widowControl/>
              <w:suppressLineNumbers w:val="0"/>
              <w:ind w:left="0" w:firstLine="0"/>
              <w:jc w:val="left"/>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sz w:val="20"/>
                <w:szCs w:val="20"/>
              </w:rPr>
              <w:t>Items to be added:</w:t>
            </w:r>
            <w:r>
              <w:rPr>
                <w:rFonts w:hint="default" w:ascii="Times New Roman" w:hAnsi="Times New Roman" w:eastAsia="宋体" w:cs="Times New Roman"/>
                <w:kern w:val="0"/>
                <w:sz w:val="20"/>
                <w:szCs w:val="20"/>
                <w:lang w:val="en-US" w:eastAsia="zh-CN" w:bidi="ar"/>
              </w:rPr>
              <w:br w:type="textWrapping"/>
            </w:r>
          </w:p>
        </w:tc>
        <w:tc>
          <w:tcPr>
            <w:tcW w:w="7098" w:type="dxa"/>
            <w:tcBorders>
              <w:tl2br w:val="nil"/>
              <w:tr2bl w:val="nil"/>
            </w:tcBorders>
            <w:shd w:val="clear" w:color="auto" w:fill="auto"/>
            <w:vAlign w:val="center"/>
          </w:tcPr>
          <w:p w14:paraId="1F2AF5D9">
            <w:pPr>
              <w:rPr>
                <w:rFonts w:hint="default" w:ascii="Times New Roman" w:hAnsi="Times New Roman" w:cs="Times New Roman"/>
                <w:sz w:val="20"/>
                <w:szCs w:val="20"/>
              </w:rPr>
            </w:pPr>
          </w:p>
        </w:tc>
        <w:tc>
          <w:tcPr>
            <w:tcW w:w="3341" w:type="dxa"/>
            <w:tcBorders>
              <w:tl2br w:val="nil"/>
              <w:tr2bl w:val="nil"/>
            </w:tcBorders>
            <w:shd w:val="clear" w:color="auto" w:fill="auto"/>
            <w:vAlign w:val="center"/>
          </w:tcPr>
          <w:p w14:paraId="0B5A8C38">
            <w:pPr>
              <w:rPr>
                <w:rFonts w:hint="default" w:ascii="Times New Roman" w:hAnsi="Times New Roman" w:cs="Times New Roman"/>
                <w:sz w:val="20"/>
                <w:szCs w:val="20"/>
              </w:rPr>
            </w:pPr>
          </w:p>
        </w:tc>
      </w:tr>
    </w:tbl>
    <w:p w14:paraId="1C9BBE0E">
      <w:pPr>
        <w:pStyle w:val="4"/>
        <w:keepNext w:val="0"/>
        <w:keepLines w:val="0"/>
        <w:widowControl/>
        <w:suppressLineNumbers w:val="0"/>
        <w:shd w:val="clear" w:fill="FFFFFF"/>
        <w:spacing w:before="120" w:beforeAutospacing="0" w:after="120" w:afterAutospacing="0"/>
        <w:ind w:left="0" w:right="0" w:firstLine="0"/>
        <w:rPr>
          <w:rFonts w:hint="default" w:ascii="Times New Roman" w:hAnsi="Times New Roman" w:eastAsia="Segoe UI" w:cs="Times New Roman"/>
          <w:i w:val="0"/>
          <w:iCs w:val="0"/>
          <w:caps w:val="0"/>
          <w:color w:val="0F1115"/>
          <w:spacing w:val="0"/>
          <w:sz w:val="20"/>
          <w:szCs w:val="20"/>
          <w:shd w:val="clear" w:fill="FFFFFF"/>
        </w:rPr>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05DC13B7">
      <w:pPr>
        <w:pStyle w:val="3"/>
        <w:keepNext w:val="0"/>
        <w:keepLines w:val="0"/>
        <w:widowControl/>
        <w:suppressLineNumbers w:val="0"/>
        <w:spacing w:before="240" w:beforeAutospacing="0" w:after="120" w:afterAutospacing="0"/>
        <w:ind w:left="0" w:right="0"/>
        <w:jc w:val="left"/>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pPr>
      <w:r>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t>Table 2 – Second</w:t>
      </w:r>
      <w:r>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noBreakHyphen/>
      </w:r>
      <w:r>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t>level items</w:t>
      </w:r>
    </w:p>
    <w:p w14:paraId="72A29F69">
      <w:pPr>
        <w:pStyle w:val="3"/>
        <w:keepNext w:val="0"/>
        <w:keepLines w:val="0"/>
        <w:widowControl/>
        <w:suppressLineNumbers w:val="0"/>
        <w:spacing w:before="240" w:beforeAutospacing="0" w:after="120" w:afterAutospacing="0"/>
        <w:ind w:left="0" w:right="0"/>
        <w:jc w:val="left"/>
        <w:rPr>
          <w:rFonts w:hint="default" w:ascii="Times New Roman" w:hAnsi="Times New Roman" w:eastAsia="Segoe UI" w:cs="Times New Roman"/>
          <w:b/>
          <w:bCs/>
          <w:i w:val="0"/>
          <w:iCs w:val="0"/>
          <w:caps w:val="0"/>
          <w:color w:val="0F1115"/>
          <w:spacing w:val="0"/>
          <w:kern w:val="2"/>
          <w:sz w:val="20"/>
          <w:szCs w:val="20"/>
          <w:shd w:val="clear" w:fill="FFFFFF"/>
          <w:lang w:val="en-US" w:eastAsia="zh-CN" w:bidi="ar-SA"/>
        </w:rPr>
      </w:pPr>
    </w:p>
    <w:tbl>
      <w:tblPr>
        <w:tblStyle w:val="6"/>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3184"/>
        <w:gridCol w:w="4043"/>
        <w:gridCol w:w="4330"/>
        <w:gridCol w:w="2617"/>
      </w:tblGrid>
      <w:tr w14:paraId="59DC079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bottom w:val="single" w:color="auto" w:sz="4" w:space="0"/>
            </w:tcBorders>
            <w:vAlign w:val="center"/>
          </w:tcPr>
          <w:p w14:paraId="2B9A75B0">
            <w:pPr>
              <w:keepNext w:val="0"/>
              <w:keepLines w:val="0"/>
              <w:widowControl/>
              <w:suppressLineNumbers w:val="0"/>
              <w:jc w:val="left"/>
              <w:rPr>
                <w:rFonts w:hint="default" w:ascii="Times New Roman" w:hAnsi="Times New Roman" w:eastAsia="var(--dsw-font-markdown-table)" w:cs="Times New Roman"/>
                <w:b/>
                <w:bCs/>
                <w:kern w:val="0"/>
                <w:sz w:val="20"/>
                <w:szCs w:val="20"/>
                <w:lang w:val="en-US" w:eastAsia="zh-CN" w:bidi="ar"/>
              </w:rPr>
            </w:pPr>
            <w:r>
              <w:rPr>
                <w:rFonts w:hint="default" w:ascii="Times New Roman" w:hAnsi="Times New Roman" w:eastAsia="var(--dsw-font-markdown-table)" w:cs="Times New Roman"/>
                <w:b/>
                <w:bCs/>
                <w:kern w:val="0"/>
                <w:sz w:val="20"/>
                <w:szCs w:val="20"/>
                <w:lang w:val="en-US" w:eastAsia="zh-CN" w:bidi="ar"/>
              </w:rPr>
              <w:t>First</w:t>
            </w:r>
            <w:r>
              <w:rPr>
                <w:rFonts w:hint="default" w:ascii="Times New Roman" w:hAnsi="Times New Roman" w:eastAsia="var(--dsw-font-markdown-table)" w:cs="Times New Roman"/>
                <w:b/>
                <w:bCs/>
                <w:kern w:val="0"/>
                <w:sz w:val="20"/>
                <w:szCs w:val="20"/>
                <w:lang w:val="en-US" w:eastAsia="zh-CN" w:bidi="ar"/>
              </w:rPr>
              <w:noBreakHyphen/>
            </w:r>
            <w:r>
              <w:rPr>
                <w:rFonts w:hint="default" w:ascii="Times New Roman" w:hAnsi="Times New Roman" w:eastAsia="var(--dsw-font-markdown-table)" w:cs="Times New Roman"/>
                <w:b/>
                <w:bCs/>
                <w:kern w:val="0"/>
                <w:sz w:val="20"/>
                <w:szCs w:val="20"/>
                <w:lang w:val="en-US" w:eastAsia="zh-CN" w:bidi="ar"/>
              </w:rPr>
              <w:t>level item</w:t>
            </w:r>
          </w:p>
        </w:tc>
        <w:tc>
          <w:tcPr>
            <w:tcW w:w="4043" w:type="dxa"/>
            <w:tcBorders>
              <w:bottom w:val="single" w:color="auto" w:sz="4" w:space="0"/>
            </w:tcBorders>
            <w:vAlign w:val="center"/>
          </w:tcPr>
          <w:p w14:paraId="7D0A1CD2">
            <w:pPr>
              <w:keepNext w:val="0"/>
              <w:keepLines w:val="0"/>
              <w:widowControl/>
              <w:suppressLineNumbers w:val="0"/>
              <w:jc w:val="left"/>
              <w:rPr>
                <w:rFonts w:hint="default" w:ascii="Times New Roman" w:hAnsi="Times New Roman" w:eastAsia="var(--dsw-font-markdown-table)" w:cs="Times New Roman"/>
                <w:b/>
                <w:bCs/>
                <w:kern w:val="0"/>
                <w:sz w:val="20"/>
                <w:szCs w:val="20"/>
                <w:lang w:val="en-US" w:eastAsia="zh-CN" w:bidi="ar"/>
              </w:rPr>
            </w:pPr>
            <w:r>
              <w:rPr>
                <w:rFonts w:hint="default" w:ascii="Times New Roman" w:hAnsi="Times New Roman" w:eastAsia="var(--dsw-font-markdown-table)" w:cs="Times New Roman"/>
                <w:b/>
                <w:bCs/>
                <w:kern w:val="0"/>
                <w:sz w:val="20"/>
                <w:szCs w:val="20"/>
                <w:lang w:val="en-US" w:eastAsia="zh-CN" w:bidi="ar"/>
              </w:rPr>
              <w:t>Second</w:t>
            </w:r>
            <w:r>
              <w:rPr>
                <w:rFonts w:hint="default" w:ascii="Times New Roman" w:hAnsi="Times New Roman" w:eastAsia="var(--dsw-font-markdown-table)" w:cs="Times New Roman"/>
                <w:b/>
                <w:bCs/>
                <w:kern w:val="0"/>
                <w:sz w:val="20"/>
                <w:szCs w:val="20"/>
                <w:lang w:val="en-US" w:eastAsia="zh-CN" w:bidi="ar"/>
              </w:rPr>
              <w:noBreakHyphen/>
            </w:r>
            <w:r>
              <w:rPr>
                <w:rFonts w:hint="default" w:ascii="Times New Roman" w:hAnsi="Times New Roman" w:eastAsia="var(--dsw-font-markdown-table)" w:cs="Times New Roman"/>
                <w:b/>
                <w:bCs/>
                <w:kern w:val="0"/>
                <w:sz w:val="20"/>
                <w:szCs w:val="20"/>
                <w:lang w:val="en-US" w:eastAsia="zh-CN" w:bidi="ar"/>
              </w:rPr>
              <w:t>level item</w:t>
            </w:r>
          </w:p>
        </w:tc>
        <w:tc>
          <w:tcPr>
            <w:tcW w:w="4330" w:type="dxa"/>
            <w:tcBorders>
              <w:bottom w:val="single" w:color="auto" w:sz="4" w:space="0"/>
            </w:tcBorders>
            <w:vAlign w:val="center"/>
          </w:tcPr>
          <w:p w14:paraId="3750634C">
            <w:pPr>
              <w:keepNext w:val="0"/>
              <w:keepLines w:val="0"/>
              <w:widowControl/>
              <w:suppressLineNumbers w:val="0"/>
              <w:jc w:val="left"/>
              <w:rPr>
                <w:rFonts w:hint="default" w:ascii="Times New Roman" w:hAnsi="Times New Roman" w:eastAsia="var(--dsw-font-markdown-table)" w:cs="Times New Roman"/>
                <w:b/>
                <w:bCs/>
                <w:kern w:val="0"/>
                <w:sz w:val="20"/>
                <w:szCs w:val="20"/>
                <w:lang w:val="en-US" w:eastAsia="zh-CN" w:bidi="ar"/>
              </w:rPr>
            </w:pPr>
            <w:r>
              <w:rPr>
                <w:rFonts w:hint="default" w:ascii="Times New Roman" w:hAnsi="Times New Roman" w:eastAsia="var(--dsw-font-markdown-table)" w:cs="Times New Roman"/>
                <w:b/>
                <w:bCs/>
                <w:kern w:val="0"/>
                <w:sz w:val="20"/>
                <w:szCs w:val="20"/>
                <w:lang w:val="en-US" w:eastAsia="zh-CN" w:bidi="ar"/>
              </w:rPr>
              <w:t>Importance score (5=very important, 4=important, 3=moderately important, 2=unimportant, 1=very unimportant)</w:t>
            </w:r>
          </w:p>
        </w:tc>
        <w:tc>
          <w:tcPr>
            <w:tcW w:w="2617" w:type="dxa"/>
            <w:tcBorders>
              <w:bottom w:val="single" w:color="auto" w:sz="4" w:space="0"/>
            </w:tcBorders>
            <w:vAlign w:val="center"/>
          </w:tcPr>
          <w:p w14:paraId="1E93FA39">
            <w:pPr>
              <w:keepNext w:val="0"/>
              <w:keepLines w:val="0"/>
              <w:widowControl/>
              <w:suppressLineNumbers w:val="0"/>
              <w:jc w:val="left"/>
              <w:rPr>
                <w:rFonts w:hint="default" w:ascii="Times New Roman" w:hAnsi="Times New Roman" w:eastAsia="var(--dsw-font-markdown-table)" w:cs="Times New Roman"/>
                <w:b/>
                <w:bCs/>
                <w:kern w:val="0"/>
                <w:sz w:val="20"/>
                <w:szCs w:val="20"/>
                <w:lang w:val="en-US" w:eastAsia="zh-CN" w:bidi="ar"/>
              </w:rPr>
            </w:pPr>
            <w:r>
              <w:rPr>
                <w:rFonts w:hint="default" w:ascii="Times New Roman" w:hAnsi="Times New Roman" w:eastAsia="var(--dsw-font-markdown-table)" w:cs="Times New Roman"/>
                <w:b/>
                <w:bCs/>
                <w:kern w:val="0"/>
                <w:sz w:val="20"/>
                <w:szCs w:val="20"/>
                <w:lang w:val="en-US" w:eastAsia="zh-CN" w:bidi="ar"/>
              </w:rPr>
              <w:t>Revision suggestion</w:t>
            </w:r>
          </w:p>
        </w:tc>
      </w:tr>
      <w:tr w14:paraId="1091BCA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op w:val="single" w:color="auto" w:sz="4" w:space="0"/>
              <w:tl2br w:val="nil"/>
              <w:tr2bl w:val="nil"/>
            </w:tcBorders>
            <w:vAlign w:val="center"/>
          </w:tcPr>
          <w:p w14:paraId="7296A122">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1. Organisational management</w:t>
            </w:r>
          </w:p>
        </w:tc>
        <w:tc>
          <w:tcPr>
            <w:tcW w:w="4043" w:type="dxa"/>
            <w:tcBorders>
              <w:top w:val="single" w:color="auto" w:sz="4" w:space="0"/>
              <w:tl2br w:val="nil"/>
              <w:tr2bl w:val="nil"/>
            </w:tcBorders>
            <w:vAlign w:val="center"/>
          </w:tcPr>
          <w:p w14:paraId="45FFBF0C">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1.1 Establish a multidisciplinary nutrition support team</w:t>
            </w:r>
          </w:p>
        </w:tc>
        <w:tc>
          <w:tcPr>
            <w:tcW w:w="4330" w:type="dxa"/>
            <w:tcBorders>
              <w:top w:val="single" w:color="auto" w:sz="4" w:space="0"/>
              <w:tl2br w:val="nil"/>
              <w:tr2bl w:val="nil"/>
            </w:tcBorders>
            <w:vAlign w:val="center"/>
          </w:tcPr>
          <w:p w14:paraId="5A7B0A26">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op w:val="single" w:color="auto" w:sz="4" w:space="0"/>
              <w:tl2br w:val="nil"/>
              <w:tr2bl w:val="nil"/>
            </w:tcBorders>
          </w:tcPr>
          <w:p w14:paraId="4F492D27">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p>
        </w:tc>
      </w:tr>
      <w:tr w14:paraId="06E89A7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4CDCC918">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4563ED08">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1.2 Define roles and responsibilities</w:t>
            </w:r>
          </w:p>
        </w:tc>
        <w:tc>
          <w:tcPr>
            <w:tcW w:w="4330" w:type="dxa"/>
            <w:tcBorders>
              <w:tl2br w:val="nil"/>
              <w:tr2bl w:val="nil"/>
            </w:tcBorders>
            <w:vAlign w:val="center"/>
          </w:tcPr>
          <w:p w14:paraId="11B0304A">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724BA016">
            <w:pPr>
              <w:rPr>
                <w:rFonts w:hint="default" w:ascii="Times New Roman" w:hAnsi="Times New Roman" w:eastAsia="var(--dsw-font-markdown-table)" w:cs="Times New Roman"/>
                <w:kern w:val="0"/>
                <w:sz w:val="20"/>
                <w:szCs w:val="20"/>
                <w:lang w:val="en-US" w:eastAsia="zh-CN" w:bidi="ar"/>
              </w:rPr>
            </w:pPr>
          </w:p>
        </w:tc>
      </w:tr>
      <w:tr w14:paraId="1C96A83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05BA0E44">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165861BA">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1.3 Provide standardised training</w:t>
            </w:r>
          </w:p>
        </w:tc>
        <w:tc>
          <w:tcPr>
            <w:tcW w:w="4330" w:type="dxa"/>
            <w:tcBorders>
              <w:tl2br w:val="nil"/>
              <w:tr2bl w:val="nil"/>
            </w:tcBorders>
            <w:vAlign w:val="center"/>
          </w:tcPr>
          <w:p w14:paraId="6F2AAC16">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521F863D">
            <w:pPr>
              <w:rPr>
                <w:rFonts w:hint="default" w:ascii="Times New Roman" w:hAnsi="Times New Roman" w:eastAsia="var(--dsw-font-markdown-table)" w:cs="Times New Roman"/>
                <w:kern w:val="0"/>
                <w:sz w:val="20"/>
                <w:szCs w:val="20"/>
                <w:lang w:val="en-US" w:eastAsia="zh-CN" w:bidi="ar"/>
              </w:rPr>
            </w:pPr>
          </w:p>
        </w:tc>
      </w:tr>
      <w:tr w14:paraId="5C65C32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4421EEE7">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2. Standardised screening and assessment</w:t>
            </w:r>
          </w:p>
        </w:tc>
        <w:tc>
          <w:tcPr>
            <w:tcW w:w="4043" w:type="dxa"/>
            <w:tcBorders>
              <w:tl2br w:val="nil"/>
              <w:tr2bl w:val="nil"/>
            </w:tcBorders>
            <w:vAlign w:val="center"/>
          </w:tcPr>
          <w:p w14:paraId="50997E70">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2.1 Nutritional risk screening</w:t>
            </w:r>
          </w:p>
        </w:tc>
        <w:tc>
          <w:tcPr>
            <w:tcW w:w="4330" w:type="dxa"/>
            <w:tcBorders>
              <w:tl2br w:val="nil"/>
              <w:tr2bl w:val="nil"/>
            </w:tcBorders>
            <w:vAlign w:val="center"/>
          </w:tcPr>
          <w:p w14:paraId="30AA26C3">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324555E1">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p>
        </w:tc>
      </w:tr>
      <w:tr w14:paraId="0776508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452D9021">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2716A149">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2.2 Nutritional status assessment</w:t>
            </w:r>
          </w:p>
        </w:tc>
        <w:tc>
          <w:tcPr>
            <w:tcW w:w="4330" w:type="dxa"/>
            <w:tcBorders>
              <w:tl2br w:val="nil"/>
              <w:tr2bl w:val="nil"/>
            </w:tcBorders>
            <w:vAlign w:val="center"/>
          </w:tcPr>
          <w:p w14:paraId="2F5CE7DB">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3F33E352">
            <w:pPr>
              <w:rPr>
                <w:rFonts w:hint="default" w:ascii="Times New Roman" w:hAnsi="Times New Roman" w:eastAsia="var(--dsw-font-markdown-table)" w:cs="Times New Roman"/>
                <w:kern w:val="0"/>
                <w:sz w:val="20"/>
                <w:szCs w:val="20"/>
                <w:lang w:val="en-US" w:eastAsia="zh-CN" w:bidi="ar"/>
              </w:rPr>
            </w:pPr>
          </w:p>
        </w:tc>
      </w:tr>
      <w:tr w14:paraId="64D45AA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7BE79C76">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 Nutrition intervention strategies</w:t>
            </w:r>
          </w:p>
        </w:tc>
        <w:tc>
          <w:tcPr>
            <w:tcW w:w="4043" w:type="dxa"/>
            <w:tcBorders>
              <w:tl2br w:val="nil"/>
              <w:tr2bl w:val="nil"/>
            </w:tcBorders>
            <w:vAlign w:val="center"/>
          </w:tcPr>
          <w:p w14:paraId="12C0FB15">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3.1 Nutritional requirements</w:t>
            </w:r>
          </w:p>
        </w:tc>
        <w:tc>
          <w:tcPr>
            <w:tcW w:w="4330" w:type="dxa"/>
            <w:tcBorders>
              <w:tl2br w:val="nil"/>
              <w:tr2bl w:val="nil"/>
            </w:tcBorders>
            <w:vAlign w:val="center"/>
          </w:tcPr>
          <w:p w14:paraId="2C0EDB4B">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033C40F5">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p>
        </w:tc>
      </w:tr>
      <w:tr w14:paraId="4A3781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4EF7B65F">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727B84C4">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3.2 Timing and methods of nutrition intervention</w:t>
            </w:r>
          </w:p>
        </w:tc>
        <w:tc>
          <w:tcPr>
            <w:tcW w:w="4330" w:type="dxa"/>
            <w:tcBorders>
              <w:tl2br w:val="nil"/>
              <w:tr2bl w:val="nil"/>
            </w:tcBorders>
            <w:vAlign w:val="center"/>
          </w:tcPr>
          <w:p w14:paraId="3EE023BC">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505F2377">
            <w:pPr>
              <w:rPr>
                <w:rFonts w:hint="default" w:ascii="Times New Roman" w:hAnsi="Times New Roman" w:eastAsia="var(--dsw-font-markdown-table)" w:cs="Times New Roman"/>
                <w:kern w:val="0"/>
                <w:sz w:val="20"/>
                <w:szCs w:val="20"/>
                <w:lang w:val="en-US" w:eastAsia="zh-CN" w:bidi="ar"/>
              </w:rPr>
            </w:pPr>
          </w:p>
        </w:tc>
      </w:tr>
      <w:tr w14:paraId="09013C6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352C1172">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5228A844">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3.3 Oral nutritional supplements (ONS)</w:t>
            </w:r>
          </w:p>
        </w:tc>
        <w:tc>
          <w:tcPr>
            <w:tcW w:w="4330" w:type="dxa"/>
            <w:tcBorders>
              <w:tl2br w:val="nil"/>
              <w:tr2bl w:val="nil"/>
            </w:tcBorders>
            <w:vAlign w:val="center"/>
          </w:tcPr>
          <w:p w14:paraId="587051AA">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076D5599">
            <w:pPr>
              <w:rPr>
                <w:rFonts w:hint="default" w:ascii="Times New Roman" w:hAnsi="Times New Roman" w:eastAsia="var(--dsw-font-markdown-table)" w:cs="Times New Roman"/>
                <w:kern w:val="0"/>
                <w:sz w:val="20"/>
                <w:szCs w:val="20"/>
                <w:lang w:val="en-US" w:eastAsia="zh-CN" w:bidi="ar"/>
              </w:rPr>
            </w:pPr>
          </w:p>
        </w:tc>
      </w:tr>
      <w:tr w14:paraId="10379B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2147C0D7">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5F21D115">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3.4 Enteral nutrition (EN)</w:t>
            </w:r>
          </w:p>
        </w:tc>
        <w:tc>
          <w:tcPr>
            <w:tcW w:w="4330" w:type="dxa"/>
            <w:tcBorders>
              <w:tl2br w:val="nil"/>
              <w:tr2bl w:val="nil"/>
            </w:tcBorders>
            <w:vAlign w:val="center"/>
          </w:tcPr>
          <w:p w14:paraId="2BEBF2A4">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168E9011">
            <w:pPr>
              <w:rPr>
                <w:rFonts w:hint="default" w:ascii="Times New Roman" w:hAnsi="Times New Roman" w:eastAsia="var(--dsw-font-markdown-table)" w:cs="Times New Roman"/>
                <w:kern w:val="0"/>
                <w:sz w:val="20"/>
                <w:szCs w:val="20"/>
                <w:lang w:val="en-US" w:eastAsia="zh-CN" w:bidi="ar"/>
              </w:rPr>
            </w:pPr>
          </w:p>
        </w:tc>
      </w:tr>
      <w:tr w14:paraId="457EBA4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79DC7E0B">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2C324DBF">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3.5 Parenteral nutrition (PN)</w:t>
            </w:r>
          </w:p>
        </w:tc>
        <w:tc>
          <w:tcPr>
            <w:tcW w:w="4330" w:type="dxa"/>
            <w:tcBorders>
              <w:tl2br w:val="nil"/>
              <w:tr2bl w:val="nil"/>
            </w:tcBorders>
            <w:vAlign w:val="center"/>
          </w:tcPr>
          <w:p w14:paraId="2EBFF736">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4140EA27">
            <w:pPr>
              <w:rPr>
                <w:rFonts w:hint="default" w:ascii="Times New Roman" w:hAnsi="Times New Roman" w:eastAsia="var(--dsw-font-markdown-table)" w:cs="Times New Roman"/>
                <w:kern w:val="0"/>
                <w:sz w:val="20"/>
                <w:szCs w:val="20"/>
                <w:lang w:val="en-US" w:eastAsia="zh-CN" w:bidi="ar"/>
              </w:rPr>
            </w:pPr>
          </w:p>
        </w:tc>
      </w:tr>
      <w:tr w14:paraId="1B6E00A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3CCAD95C">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5BABE5A0">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3.6 Exercise intervention</w:t>
            </w:r>
          </w:p>
        </w:tc>
        <w:tc>
          <w:tcPr>
            <w:tcW w:w="4330" w:type="dxa"/>
            <w:tcBorders>
              <w:tl2br w:val="nil"/>
              <w:tr2bl w:val="nil"/>
            </w:tcBorders>
            <w:vAlign w:val="center"/>
          </w:tcPr>
          <w:p w14:paraId="0EA2B712">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54ACB2D5">
            <w:pPr>
              <w:rPr>
                <w:rFonts w:hint="default" w:ascii="Times New Roman" w:hAnsi="Times New Roman" w:eastAsia="var(--dsw-font-markdown-table)" w:cs="Times New Roman"/>
                <w:kern w:val="0"/>
                <w:sz w:val="20"/>
                <w:szCs w:val="20"/>
                <w:lang w:val="en-US" w:eastAsia="zh-CN" w:bidi="ar"/>
              </w:rPr>
            </w:pPr>
          </w:p>
        </w:tc>
      </w:tr>
      <w:tr w14:paraId="000D446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6AED3DA0">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609CD8A6">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3.7 Psychological care</w:t>
            </w:r>
          </w:p>
        </w:tc>
        <w:tc>
          <w:tcPr>
            <w:tcW w:w="4330" w:type="dxa"/>
            <w:tcBorders>
              <w:tl2br w:val="nil"/>
              <w:tr2bl w:val="nil"/>
            </w:tcBorders>
            <w:vAlign w:val="center"/>
          </w:tcPr>
          <w:p w14:paraId="640B2B90">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77747341">
            <w:pPr>
              <w:rPr>
                <w:rFonts w:hint="default" w:ascii="Times New Roman" w:hAnsi="Times New Roman" w:eastAsia="var(--dsw-font-markdown-table)" w:cs="Times New Roman"/>
                <w:kern w:val="0"/>
                <w:sz w:val="20"/>
                <w:szCs w:val="20"/>
                <w:lang w:val="en-US" w:eastAsia="zh-CN" w:bidi="ar"/>
              </w:rPr>
            </w:pPr>
          </w:p>
        </w:tc>
      </w:tr>
      <w:tr w14:paraId="6366FB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296541B4">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4. Health education</w:t>
            </w:r>
          </w:p>
        </w:tc>
        <w:tc>
          <w:tcPr>
            <w:tcW w:w="4043" w:type="dxa"/>
            <w:tcBorders>
              <w:tl2br w:val="nil"/>
              <w:tr2bl w:val="nil"/>
            </w:tcBorders>
            <w:vAlign w:val="center"/>
          </w:tcPr>
          <w:p w14:paraId="039F58E1">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4.1 Content of health education</w:t>
            </w:r>
          </w:p>
        </w:tc>
        <w:tc>
          <w:tcPr>
            <w:tcW w:w="4330" w:type="dxa"/>
            <w:tcBorders>
              <w:tl2br w:val="nil"/>
              <w:tr2bl w:val="nil"/>
            </w:tcBorders>
            <w:vAlign w:val="center"/>
          </w:tcPr>
          <w:p w14:paraId="01486C2A">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5EE8D493">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p>
        </w:tc>
      </w:tr>
      <w:tr w14:paraId="044A3D2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3DDDB9F2">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3551B565">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4.2 Format of health education</w:t>
            </w:r>
          </w:p>
        </w:tc>
        <w:tc>
          <w:tcPr>
            <w:tcW w:w="4330" w:type="dxa"/>
            <w:tcBorders>
              <w:tl2br w:val="nil"/>
              <w:tr2bl w:val="nil"/>
            </w:tcBorders>
            <w:vAlign w:val="center"/>
          </w:tcPr>
          <w:p w14:paraId="03D28295">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38658A56">
            <w:pPr>
              <w:rPr>
                <w:rFonts w:hint="default" w:ascii="Times New Roman" w:hAnsi="Times New Roman" w:eastAsia="var(--dsw-font-markdown-table)" w:cs="Times New Roman"/>
                <w:kern w:val="0"/>
                <w:sz w:val="20"/>
                <w:szCs w:val="20"/>
                <w:lang w:val="en-US" w:eastAsia="zh-CN" w:bidi="ar"/>
              </w:rPr>
            </w:pPr>
          </w:p>
        </w:tc>
      </w:tr>
      <w:tr w14:paraId="449F18F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7A13F3BD">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544A18D9">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4.3 Channels of health education</w:t>
            </w:r>
          </w:p>
        </w:tc>
        <w:tc>
          <w:tcPr>
            <w:tcW w:w="4330" w:type="dxa"/>
            <w:tcBorders>
              <w:tl2br w:val="nil"/>
              <w:tr2bl w:val="nil"/>
            </w:tcBorders>
            <w:vAlign w:val="center"/>
          </w:tcPr>
          <w:p w14:paraId="6941E888">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48542A05">
            <w:pPr>
              <w:rPr>
                <w:rFonts w:hint="default" w:ascii="Times New Roman" w:hAnsi="Times New Roman" w:eastAsia="var(--dsw-font-markdown-table)" w:cs="Times New Roman"/>
                <w:kern w:val="0"/>
                <w:sz w:val="20"/>
                <w:szCs w:val="20"/>
                <w:lang w:val="en-US" w:eastAsia="zh-CN" w:bidi="ar"/>
              </w:rPr>
            </w:pPr>
          </w:p>
        </w:tc>
      </w:tr>
      <w:tr w14:paraId="54425F8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1D182986">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Continuity of care</w:t>
            </w:r>
          </w:p>
        </w:tc>
        <w:tc>
          <w:tcPr>
            <w:tcW w:w="4043" w:type="dxa"/>
            <w:tcBorders>
              <w:tl2br w:val="nil"/>
              <w:tr2bl w:val="nil"/>
            </w:tcBorders>
            <w:vAlign w:val="center"/>
          </w:tcPr>
          <w:p w14:paraId="6729F2B2">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5.1 Timing of continuity of care</w:t>
            </w:r>
          </w:p>
        </w:tc>
        <w:tc>
          <w:tcPr>
            <w:tcW w:w="4330" w:type="dxa"/>
            <w:tcBorders>
              <w:tl2br w:val="nil"/>
              <w:tr2bl w:val="nil"/>
            </w:tcBorders>
            <w:vAlign w:val="center"/>
          </w:tcPr>
          <w:p w14:paraId="41803235">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00498578">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p>
        </w:tc>
      </w:tr>
      <w:tr w14:paraId="0577310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7B31D5ED">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44660393">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5.2 Format of continuity of care</w:t>
            </w:r>
          </w:p>
        </w:tc>
        <w:tc>
          <w:tcPr>
            <w:tcW w:w="4330" w:type="dxa"/>
            <w:tcBorders>
              <w:tl2br w:val="nil"/>
              <w:tr2bl w:val="nil"/>
            </w:tcBorders>
            <w:vAlign w:val="center"/>
          </w:tcPr>
          <w:p w14:paraId="126BFA31">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1BB8379E">
            <w:pPr>
              <w:rPr>
                <w:rFonts w:hint="default" w:ascii="Times New Roman" w:hAnsi="Times New Roman" w:eastAsia="var(--dsw-font-markdown-table)" w:cs="Times New Roman"/>
                <w:kern w:val="0"/>
                <w:sz w:val="20"/>
                <w:szCs w:val="20"/>
                <w:lang w:val="en-US" w:eastAsia="zh-CN" w:bidi="ar"/>
              </w:rPr>
            </w:pPr>
          </w:p>
        </w:tc>
      </w:tr>
      <w:tr w14:paraId="107A716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vAlign w:val="center"/>
          </w:tcPr>
          <w:p w14:paraId="2EA70A74">
            <w:pPr>
              <w:rPr>
                <w:rFonts w:hint="default" w:ascii="Times New Roman" w:hAnsi="Times New Roman" w:eastAsia="var(--dsw-font-markdown-table)" w:cs="Times New Roman"/>
                <w:kern w:val="0"/>
                <w:sz w:val="20"/>
                <w:szCs w:val="20"/>
                <w:lang w:val="en-US" w:eastAsia="zh-CN" w:bidi="ar"/>
              </w:rPr>
            </w:pPr>
          </w:p>
        </w:tc>
        <w:tc>
          <w:tcPr>
            <w:tcW w:w="4043" w:type="dxa"/>
            <w:tcBorders>
              <w:tl2br w:val="nil"/>
              <w:tr2bl w:val="nil"/>
            </w:tcBorders>
            <w:vAlign w:val="center"/>
          </w:tcPr>
          <w:p w14:paraId="004D8CD4">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5.3 Content of continuity of care</w:t>
            </w:r>
          </w:p>
        </w:tc>
        <w:tc>
          <w:tcPr>
            <w:tcW w:w="4330" w:type="dxa"/>
            <w:tcBorders>
              <w:tl2br w:val="nil"/>
              <w:tr2bl w:val="nil"/>
            </w:tcBorders>
            <w:vAlign w:val="center"/>
          </w:tcPr>
          <w:p w14:paraId="3F5E043C">
            <w:pPr>
              <w:keepNext w:val="0"/>
              <w:keepLines w:val="0"/>
              <w:widowControl/>
              <w:suppressLineNumbers w:val="0"/>
              <w:jc w:val="left"/>
              <w:rPr>
                <w:rFonts w:hint="default" w:ascii="Times New Roman" w:hAnsi="Times New Roman" w:eastAsia="var(--dsw-font-markdown-table)" w:cs="Times New Roman"/>
                <w:kern w:val="0"/>
                <w:sz w:val="20"/>
                <w:szCs w:val="20"/>
                <w:lang w:val="en-US" w:eastAsia="zh-CN" w:bidi="ar"/>
              </w:rPr>
            </w:pPr>
            <w:r>
              <w:rPr>
                <w:rFonts w:hint="default" w:ascii="Times New Roman" w:hAnsi="Times New Roman" w:eastAsia="var(--dsw-font-markdown-table)" w:cs="Times New Roman"/>
                <w:kern w:val="0"/>
                <w:sz w:val="20"/>
                <w:szCs w:val="20"/>
                <w:lang w:val="en-US" w:eastAsia="zh-CN" w:bidi="ar"/>
              </w:rPr>
              <w:t>□5     □4      □3      □2      □1</w:t>
            </w:r>
          </w:p>
        </w:tc>
        <w:tc>
          <w:tcPr>
            <w:tcW w:w="2617" w:type="dxa"/>
            <w:tcBorders>
              <w:tl2br w:val="nil"/>
              <w:tr2bl w:val="nil"/>
            </w:tcBorders>
          </w:tcPr>
          <w:p w14:paraId="040477F5">
            <w:pPr>
              <w:rPr>
                <w:rFonts w:hint="default" w:ascii="Times New Roman" w:hAnsi="Times New Roman" w:eastAsia="var(--dsw-font-markdown-table)" w:cs="Times New Roman"/>
                <w:kern w:val="0"/>
                <w:sz w:val="20"/>
                <w:szCs w:val="20"/>
                <w:lang w:val="en-US" w:eastAsia="zh-CN" w:bidi="ar"/>
              </w:rPr>
            </w:pPr>
          </w:p>
        </w:tc>
      </w:tr>
      <w:tr w14:paraId="5FF4D8B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3184" w:type="dxa"/>
            <w:tcBorders>
              <w:tl2br w:val="nil"/>
              <w:tr2bl w:val="nil"/>
            </w:tcBorders>
          </w:tcPr>
          <w:p w14:paraId="2B84E336">
            <w:pPr>
              <w:rPr>
                <w:rFonts w:hint="default" w:ascii="Times New Roman" w:hAnsi="Times New Roman" w:cs="Times New Roman"/>
                <w:sz w:val="20"/>
                <w:szCs w:val="20"/>
                <w:vertAlign w:val="baseline"/>
                <w:lang w:val="en-US" w:eastAsia="zh-CN"/>
              </w:rPr>
            </w:pPr>
            <w:r>
              <w:rPr>
                <w:rFonts w:hint="default" w:ascii="Times New Roman" w:hAnsi="Times New Roman" w:eastAsia="var(--dsw-font-markdown-table)" w:cs="Times New Roman"/>
                <w:kern w:val="0"/>
                <w:sz w:val="20"/>
                <w:szCs w:val="20"/>
                <w:lang w:val="en-US" w:eastAsia="zh-CN" w:bidi="ar"/>
              </w:rPr>
              <w:t>Items to be added:</w:t>
            </w:r>
          </w:p>
        </w:tc>
        <w:tc>
          <w:tcPr>
            <w:tcW w:w="4043" w:type="dxa"/>
            <w:tcBorders>
              <w:tl2br w:val="nil"/>
              <w:tr2bl w:val="nil"/>
            </w:tcBorders>
          </w:tcPr>
          <w:p w14:paraId="0BFBAF6E">
            <w:pPr>
              <w:rPr>
                <w:rFonts w:hint="default" w:ascii="Times New Roman" w:hAnsi="Times New Roman" w:cs="Times New Roman"/>
                <w:sz w:val="20"/>
                <w:szCs w:val="20"/>
                <w:vertAlign w:val="baseline"/>
                <w:lang w:val="en-US" w:eastAsia="zh-CN"/>
              </w:rPr>
            </w:pPr>
          </w:p>
        </w:tc>
        <w:tc>
          <w:tcPr>
            <w:tcW w:w="4330" w:type="dxa"/>
            <w:tcBorders>
              <w:tl2br w:val="nil"/>
              <w:tr2bl w:val="nil"/>
            </w:tcBorders>
          </w:tcPr>
          <w:p w14:paraId="50E8F0FC">
            <w:pPr>
              <w:rPr>
                <w:rFonts w:hint="default" w:ascii="Times New Roman" w:hAnsi="Times New Roman" w:cs="Times New Roman"/>
                <w:sz w:val="20"/>
                <w:szCs w:val="20"/>
                <w:vertAlign w:val="baseline"/>
                <w:lang w:val="en-US" w:eastAsia="zh-CN"/>
              </w:rPr>
            </w:pPr>
          </w:p>
        </w:tc>
        <w:tc>
          <w:tcPr>
            <w:tcW w:w="2617" w:type="dxa"/>
            <w:tcBorders>
              <w:tl2br w:val="nil"/>
              <w:tr2bl w:val="nil"/>
            </w:tcBorders>
          </w:tcPr>
          <w:p w14:paraId="7FAE0AEE">
            <w:pPr>
              <w:rPr>
                <w:rFonts w:hint="default" w:ascii="Times New Roman" w:hAnsi="Times New Roman" w:cs="Times New Roman"/>
                <w:sz w:val="20"/>
                <w:szCs w:val="20"/>
                <w:vertAlign w:val="baseline"/>
                <w:lang w:val="en-US" w:eastAsia="zh-CN"/>
              </w:rPr>
            </w:pPr>
          </w:p>
        </w:tc>
      </w:tr>
    </w:tbl>
    <w:p w14:paraId="1FC12BAB">
      <w:pPr>
        <w:rPr>
          <w:rFonts w:hint="default" w:ascii="Times New Roman" w:hAnsi="Times New Roman" w:cs="Times New Roman"/>
          <w:sz w:val="20"/>
          <w:szCs w:val="20"/>
          <w:lang w:val="en-US" w:eastAsia="zh-CN"/>
        </w:rPr>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63F270C6">
      <w:pPr>
        <w:pStyle w:val="3"/>
        <w:keepNext w:val="0"/>
        <w:keepLines w:val="0"/>
        <w:widowControl/>
        <w:suppressLineNumbers w:val="0"/>
        <w:shd w:val="clear" w:fill="FFFFFF"/>
        <w:spacing w:before="240" w:beforeAutospacing="0" w:after="120" w:afterAutospacing="0"/>
        <w:ind w:left="0" w:right="0" w:firstLine="0"/>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Table 3 – Third</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level items</w:t>
      </w:r>
    </w:p>
    <w:tbl>
      <w:tblPr>
        <w:tblStyle w:val="5"/>
        <w:tblpPr w:leftFromText="180" w:rightFromText="180" w:vertAnchor="text" w:horzAnchor="page" w:tblpX="1428" w:tblpY="1172"/>
        <w:tblOverlap w:val="never"/>
        <w:tblW w:w="14741" w:type="dxa"/>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1650"/>
        <w:gridCol w:w="2366"/>
        <w:gridCol w:w="6416"/>
        <w:gridCol w:w="3041"/>
        <w:gridCol w:w="1268"/>
      </w:tblGrid>
      <w:tr w14:paraId="2D3B4F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blHeader/>
        </w:trPr>
        <w:tc>
          <w:tcPr>
            <w:tcW w:w="1650" w:type="dxa"/>
            <w:tcBorders>
              <w:bottom w:val="single" w:color="auto" w:sz="4" w:space="0"/>
            </w:tcBorders>
            <w:shd w:val="clear" w:color="auto" w:fill="FFFFFF"/>
            <w:tcMar>
              <w:top w:w="75" w:type="dxa"/>
              <w:left w:w="0" w:type="dxa"/>
              <w:bottom w:w="75" w:type="dxa"/>
              <w:right w:w="120" w:type="dxa"/>
            </w:tcMar>
            <w:vAlign w:val="center"/>
          </w:tcPr>
          <w:p w14:paraId="45501579">
            <w:pPr>
              <w:keepNext w:val="0"/>
              <w:keepLines w:val="0"/>
              <w:widowControl/>
              <w:suppressLineNumbers w:val="0"/>
              <w:jc w:val="left"/>
              <w:rPr>
                <w:rFonts w:hint="default" w:ascii="Times New Roman" w:hAnsi="Times New Roman" w:eastAsia="var(--dsw-font-markdown-table-h" w:cs="Times New Roman"/>
                <w:b/>
                <w:bCs/>
                <w:i w:val="0"/>
                <w:iCs w:val="0"/>
                <w:caps w:val="0"/>
                <w:color w:val="0F1115"/>
                <w:spacing w:val="0"/>
                <w:sz w:val="20"/>
                <w:szCs w:val="20"/>
              </w:rPr>
            </w:pP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First</w:t>
            </w: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noBreakHyphen/>
            </w: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level item</w:t>
            </w:r>
          </w:p>
        </w:tc>
        <w:tc>
          <w:tcPr>
            <w:tcW w:w="2366" w:type="dxa"/>
            <w:tcBorders>
              <w:bottom w:val="single" w:color="auto" w:sz="4" w:space="0"/>
            </w:tcBorders>
            <w:shd w:val="clear" w:color="auto" w:fill="FFFFFF"/>
            <w:tcMar>
              <w:top w:w="75" w:type="dxa"/>
              <w:left w:w="120" w:type="dxa"/>
              <w:bottom w:w="75" w:type="dxa"/>
              <w:right w:w="120" w:type="dxa"/>
            </w:tcMar>
            <w:vAlign w:val="center"/>
          </w:tcPr>
          <w:p w14:paraId="550D49DD">
            <w:pPr>
              <w:keepNext w:val="0"/>
              <w:keepLines w:val="0"/>
              <w:widowControl/>
              <w:suppressLineNumbers w:val="0"/>
              <w:jc w:val="left"/>
              <w:rPr>
                <w:rFonts w:hint="default" w:ascii="Times New Roman" w:hAnsi="Times New Roman" w:eastAsia="var(--dsw-font-markdown-table-h" w:cs="Times New Roman"/>
                <w:b/>
                <w:bCs/>
                <w:i w:val="0"/>
                <w:iCs w:val="0"/>
                <w:caps w:val="0"/>
                <w:color w:val="0F1115"/>
                <w:spacing w:val="0"/>
                <w:sz w:val="20"/>
                <w:szCs w:val="20"/>
              </w:rPr>
            </w:pP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Second</w:t>
            </w: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noBreakHyphen/>
            </w: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level item</w:t>
            </w:r>
          </w:p>
        </w:tc>
        <w:tc>
          <w:tcPr>
            <w:tcW w:w="6416" w:type="dxa"/>
            <w:tcBorders>
              <w:bottom w:val="single" w:color="auto" w:sz="4" w:space="0"/>
            </w:tcBorders>
            <w:shd w:val="clear" w:color="auto" w:fill="FFFFFF"/>
            <w:tcMar>
              <w:top w:w="75" w:type="dxa"/>
              <w:left w:w="120" w:type="dxa"/>
              <w:bottom w:w="75" w:type="dxa"/>
              <w:right w:w="120" w:type="dxa"/>
            </w:tcMar>
            <w:vAlign w:val="center"/>
          </w:tcPr>
          <w:p w14:paraId="1DCA0134">
            <w:pPr>
              <w:keepNext w:val="0"/>
              <w:keepLines w:val="0"/>
              <w:widowControl/>
              <w:suppressLineNumbers w:val="0"/>
              <w:jc w:val="left"/>
              <w:rPr>
                <w:rFonts w:hint="default" w:ascii="Times New Roman" w:hAnsi="Times New Roman" w:eastAsia="var(--dsw-font-markdown-table-h" w:cs="Times New Roman"/>
                <w:b/>
                <w:bCs/>
                <w:i w:val="0"/>
                <w:iCs w:val="0"/>
                <w:caps w:val="0"/>
                <w:color w:val="0F1115"/>
                <w:spacing w:val="0"/>
                <w:sz w:val="20"/>
                <w:szCs w:val="20"/>
              </w:rPr>
            </w:pP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Third</w:t>
            </w: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noBreakHyphen/>
            </w: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level item</w:t>
            </w:r>
          </w:p>
        </w:tc>
        <w:tc>
          <w:tcPr>
            <w:tcW w:w="3041" w:type="dxa"/>
            <w:tcBorders>
              <w:bottom w:val="single" w:color="auto" w:sz="4" w:space="0"/>
            </w:tcBorders>
            <w:shd w:val="clear" w:color="auto" w:fill="FFFFFF"/>
            <w:tcMar>
              <w:top w:w="75" w:type="dxa"/>
              <w:left w:w="120" w:type="dxa"/>
              <w:bottom w:w="75" w:type="dxa"/>
              <w:right w:w="120" w:type="dxa"/>
            </w:tcMar>
            <w:vAlign w:val="center"/>
          </w:tcPr>
          <w:p w14:paraId="226CBDD6">
            <w:pPr>
              <w:keepNext w:val="0"/>
              <w:keepLines w:val="0"/>
              <w:widowControl/>
              <w:suppressLineNumbers w:val="0"/>
              <w:jc w:val="left"/>
              <w:rPr>
                <w:rFonts w:hint="default" w:ascii="Times New Roman" w:hAnsi="Times New Roman" w:eastAsia="var(--dsw-font-markdown-table-h" w:cs="Times New Roman"/>
                <w:b/>
                <w:bCs/>
                <w:i w:val="0"/>
                <w:iCs w:val="0"/>
                <w:caps w:val="0"/>
                <w:color w:val="0F1115"/>
                <w:spacing w:val="0"/>
                <w:sz w:val="20"/>
                <w:szCs w:val="20"/>
              </w:rPr>
            </w:pP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Importance score (5=very important, 4=important, 3=moderately important, 2=unimportant, 1=very unimportant)</w:t>
            </w:r>
          </w:p>
        </w:tc>
        <w:tc>
          <w:tcPr>
            <w:tcW w:w="1268" w:type="dxa"/>
            <w:tcBorders>
              <w:bottom w:val="single" w:color="auto" w:sz="4" w:space="0"/>
            </w:tcBorders>
            <w:shd w:val="clear" w:color="auto" w:fill="FFFFFF"/>
            <w:tcMar>
              <w:top w:w="75" w:type="dxa"/>
              <w:left w:w="120" w:type="dxa"/>
              <w:bottom w:w="75" w:type="dxa"/>
              <w:right w:w="120" w:type="dxa"/>
            </w:tcMar>
            <w:vAlign w:val="center"/>
          </w:tcPr>
          <w:p w14:paraId="1FB07B91">
            <w:pPr>
              <w:keepNext w:val="0"/>
              <w:keepLines w:val="0"/>
              <w:widowControl/>
              <w:suppressLineNumbers w:val="0"/>
              <w:jc w:val="left"/>
              <w:rPr>
                <w:rFonts w:hint="default" w:ascii="Times New Roman" w:hAnsi="Times New Roman" w:eastAsia="var(--dsw-font-markdown-table-h" w:cs="Times New Roman"/>
                <w:b/>
                <w:bCs/>
                <w:i w:val="0"/>
                <w:iCs w:val="0"/>
                <w:caps w:val="0"/>
                <w:color w:val="0F1115"/>
                <w:spacing w:val="0"/>
                <w:sz w:val="20"/>
                <w:szCs w:val="20"/>
              </w:rPr>
            </w:pPr>
            <w:r>
              <w:rPr>
                <w:rFonts w:hint="default" w:ascii="Times New Roman" w:hAnsi="Times New Roman" w:eastAsia="var(--dsw-font-markdown-table-h" w:cs="Times New Roman"/>
                <w:b/>
                <w:bCs/>
                <w:i w:val="0"/>
                <w:iCs w:val="0"/>
                <w:caps w:val="0"/>
                <w:color w:val="0F1115"/>
                <w:spacing w:val="0"/>
                <w:kern w:val="0"/>
                <w:sz w:val="20"/>
                <w:szCs w:val="20"/>
                <w:lang w:val="en-US" w:eastAsia="zh-CN" w:bidi="ar"/>
              </w:rPr>
              <w:t>Revision suggestion</w:t>
            </w:r>
          </w:p>
        </w:tc>
      </w:tr>
      <w:tr w14:paraId="28EC58F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op w:val="single" w:color="auto" w:sz="4" w:space="0"/>
              <w:tl2br w:val="nil"/>
              <w:tr2bl w:val="nil"/>
            </w:tcBorders>
            <w:shd w:val="clear" w:color="auto" w:fill="FFFFFF"/>
            <w:tcMar>
              <w:top w:w="75" w:type="dxa"/>
              <w:left w:w="0" w:type="dxa"/>
              <w:bottom w:w="75" w:type="dxa"/>
              <w:right w:w="120" w:type="dxa"/>
            </w:tcMar>
            <w:vAlign w:val="center"/>
          </w:tcPr>
          <w:p w14:paraId="7E1BF6B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bookmarkStart w:id="0" w:name="_GoBack" w:colFirst="3" w:colLast="3"/>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1. Organisational management</w:t>
            </w:r>
          </w:p>
        </w:tc>
        <w:tc>
          <w:tcPr>
            <w:tcW w:w="2366" w:type="dxa"/>
            <w:tcBorders>
              <w:top w:val="single" w:color="auto" w:sz="4" w:space="0"/>
              <w:tl2br w:val="nil"/>
              <w:tr2bl w:val="nil"/>
            </w:tcBorders>
            <w:shd w:val="clear" w:color="auto" w:fill="FFFFFF"/>
            <w:tcMar>
              <w:top w:w="75" w:type="dxa"/>
              <w:left w:w="120" w:type="dxa"/>
              <w:bottom w:w="75" w:type="dxa"/>
              <w:right w:w="120" w:type="dxa"/>
            </w:tcMar>
            <w:vAlign w:val="center"/>
          </w:tcPr>
          <w:p w14:paraId="4621E67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1.1 Establish a multidisciplinary nutrition support team</w:t>
            </w:r>
          </w:p>
        </w:tc>
        <w:tc>
          <w:tcPr>
            <w:tcW w:w="6416" w:type="dxa"/>
            <w:tcBorders>
              <w:top w:val="single" w:color="auto" w:sz="4" w:space="0"/>
              <w:tl2br w:val="nil"/>
              <w:tr2bl w:val="nil"/>
            </w:tcBorders>
            <w:shd w:val="clear" w:color="auto" w:fill="FFFFFF"/>
            <w:tcMar>
              <w:top w:w="75" w:type="dxa"/>
              <w:left w:w="120" w:type="dxa"/>
              <w:bottom w:w="75" w:type="dxa"/>
              <w:right w:w="120" w:type="dxa"/>
            </w:tcMar>
            <w:vAlign w:val="center"/>
          </w:tcPr>
          <w:p w14:paraId="3A6CA40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1.1.1 Team members include clinicians, nurses, dietitians, psychotherapists, and medical social workers.</w:t>
            </w:r>
          </w:p>
        </w:tc>
        <w:tc>
          <w:tcPr>
            <w:tcW w:w="3041" w:type="dxa"/>
            <w:tcBorders>
              <w:top w:val="single" w:color="auto" w:sz="4" w:space="0"/>
              <w:tl2br w:val="nil"/>
              <w:tr2bl w:val="nil"/>
            </w:tcBorders>
            <w:shd w:val="clear" w:color="auto" w:fill="FFFFFF"/>
            <w:tcMar>
              <w:top w:w="75" w:type="dxa"/>
              <w:left w:w="120" w:type="dxa"/>
              <w:bottom w:w="75" w:type="dxa"/>
              <w:right w:w="120" w:type="dxa"/>
            </w:tcMar>
            <w:vAlign w:val="center"/>
          </w:tcPr>
          <w:p w14:paraId="44C97A1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op w:val="single" w:color="auto" w:sz="4" w:space="0"/>
              <w:tl2br w:val="nil"/>
              <w:tr2bl w:val="nil"/>
            </w:tcBorders>
            <w:shd w:val="clear" w:color="auto" w:fill="FFFFFF"/>
            <w:tcMar>
              <w:top w:w="75" w:type="dxa"/>
              <w:left w:w="120" w:type="dxa"/>
              <w:bottom w:w="75" w:type="dxa"/>
              <w:right w:w="0" w:type="dxa"/>
            </w:tcMar>
            <w:vAlign w:val="center"/>
          </w:tcPr>
          <w:p w14:paraId="3BD6C5FB">
            <w:pPr>
              <w:rPr>
                <w:rFonts w:hint="default" w:ascii="Times New Roman" w:hAnsi="Times New Roman" w:eastAsia="var(--dsw-font-markdown-table)" w:cs="Times New Roman"/>
                <w:i w:val="0"/>
                <w:iCs w:val="0"/>
                <w:caps w:val="0"/>
                <w:color w:val="0F1115"/>
                <w:spacing w:val="0"/>
                <w:sz w:val="20"/>
                <w:szCs w:val="20"/>
              </w:rPr>
            </w:pPr>
          </w:p>
        </w:tc>
      </w:tr>
      <w:tr w14:paraId="0EB9156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FD31C13">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7A5A286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1.2 Define roles and responsibilities</w:t>
            </w:r>
          </w:p>
        </w:tc>
        <w:tc>
          <w:tcPr>
            <w:tcW w:w="6416" w:type="dxa"/>
            <w:tcBorders>
              <w:tl2br w:val="nil"/>
              <w:tr2bl w:val="nil"/>
            </w:tcBorders>
            <w:shd w:val="clear" w:color="auto" w:fill="FFFFFF"/>
            <w:tcMar>
              <w:top w:w="75" w:type="dxa"/>
              <w:left w:w="120" w:type="dxa"/>
              <w:bottom w:w="75" w:type="dxa"/>
              <w:right w:w="120" w:type="dxa"/>
            </w:tcMar>
            <w:vAlign w:val="center"/>
          </w:tcPr>
          <w:p w14:paraId="4828E81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1.2.1 Physicians are responsible for condition assessment, development and implementation of treatment plans, and health education.</w:t>
            </w:r>
          </w:p>
        </w:tc>
        <w:tc>
          <w:tcPr>
            <w:tcW w:w="3041" w:type="dxa"/>
            <w:tcBorders>
              <w:tl2br w:val="nil"/>
              <w:tr2bl w:val="nil"/>
            </w:tcBorders>
            <w:shd w:val="clear" w:color="auto" w:fill="FFFFFF"/>
            <w:tcMar>
              <w:top w:w="75" w:type="dxa"/>
              <w:left w:w="120" w:type="dxa"/>
              <w:bottom w:w="75" w:type="dxa"/>
              <w:right w:w="120" w:type="dxa"/>
            </w:tcMar>
            <w:vAlign w:val="center"/>
          </w:tcPr>
          <w:p w14:paraId="14C611CD">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0D5E413">
            <w:pPr>
              <w:rPr>
                <w:rFonts w:hint="default" w:ascii="Times New Roman" w:hAnsi="Times New Roman" w:eastAsia="var(--dsw-font-markdown-table)" w:cs="Times New Roman"/>
                <w:i w:val="0"/>
                <w:iCs w:val="0"/>
                <w:caps w:val="0"/>
                <w:color w:val="0F1115"/>
                <w:spacing w:val="0"/>
                <w:sz w:val="20"/>
                <w:szCs w:val="20"/>
              </w:rPr>
            </w:pPr>
          </w:p>
        </w:tc>
      </w:tr>
      <w:tr w14:paraId="438C4A6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517605B2">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789EA135">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19B5B76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1.2.2 Dietitians are responsible for nutritional screening, nutrition diagnosis and treatment, nutrition monitoring, and health education.</w:t>
            </w:r>
          </w:p>
        </w:tc>
        <w:tc>
          <w:tcPr>
            <w:tcW w:w="3041" w:type="dxa"/>
            <w:tcBorders>
              <w:tl2br w:val="nil"/>
              <w:tr2bl w:val="nil"/>
            </w:tcBorders>
            <w:shd w:val="clear" w:color="auto" w:fill="FFFFFF"/>
            <w:tcMar>
              <w:top w:w="75" w:type="dxa"/>
              <w:left w:w="120" w:type="dxa"/>
              <w:bottom w:w="75" w:type="dxa"/>
              <w:right w:w="120" w:type="dxa"/>
            </w:tcMar>
            <w:vAlign w:val="center"/>
          </w:tcPr>
          <w:p w14:paraId="1427705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5347AD59">
            <w:pPr>
              <w:rPr>
                <w:rFonts w:hint="default" w:ascii="Times New Roman" w:hAnsi="Times New Roman" w:eastAsia="var(--dsw-font-markdown-table)" w:cs="Times New Roman"/>
                <w:i w:val="0"/>
                <w:iCs w:val="0"/>
                <w:caps w:val="0"/>
                <w:color w:val="0F1115"/>
                <w:spacing w:val="0"/>
                <w:sz w:val="20"/>
                <w:szCs w:val="20"/>
              </w:rPr>
            </w:pPr>
          </w:p>
        </w:tc>
      </w:tr>
      <w:tr w14:paraId="3461564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5C04438">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6059BFC6">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5F124A21">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1.2.3 Nurses are responsible for full</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process guidance and consultation on daily nutrition work, coordination and communication of the multidisciplinary nutrition support team, establishment and maintenance of individualised nutrition management files for children, and continuous follow</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up to ensure continuity of clinical nutrition management.</w:t>
            </w:r>
          </w:p>
        </w:tc>
        <w:tc>
          <w:tcPr>
            <w:tcW w:w="3041" w:type="dxa"/>
            <w:tcBorders>
              <w:tl2br w:val="nil"/>
              <w:tr2bl w:val="nil"/>
            </w:tcBorders>
            <w:shd w:val="clear" w:color="auto" w:fill="FFFFFF"/>
            <w:tcMar>
              <w:top w:w="75" w:type="dxa"/>
              <w:left w:w="120" w:type="dxa"/>
              <w:bottom w:w="75" w:type="dxa"/>
              <w:right w:w="120" w:type="dxa"/>
            </w:tcMar>
            <w:vAlign w:val="center"/>
          </w:tcPr>
          <w:p w14:paraId="4757A4D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2BD7A4A0">
            <w:pPr>
              <w:rPr>
                <w:rFonts w:hint="default" w:ascii="Times New Roman" w:hAnsi="Times New Roman" w:eastAsia="var(--dsw-font-markdown-table)" w:cs="Times New Roman"/>
                <w:i w:val="0"/>
                <w:iCs w:val="0"/>
                <w:caps w:val="0"/>
                <w:color w:val="0F1115"/>
                <w:spacing w:val="0"/>
                <w:sz w:val="20"/>
                <w:szCs w:val="20"/>
              </w:rPr>
            </w:pPr>
          </w:p>
        </w:tc>
      </w:tr>
      <w:bookmarkEnd w:id="0"/>
      <w:tr w14:paraId="081FB13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PrEx>
        <w:tc>
          <w:tcPr>
            <w:tcW w:w="1650" w:type="dxa"/>
            <w:tcBorders>
              <w:tl2br w:val="nil"/>
              <w:tr2bl w:val="nil"/>
            </w:tcBorders>
            <w:shd w:val="clear" w:color="auto" w:fill="FFFFFF"/>
            <w:tcMar>
              <w:top w:w="75" w:type="dxa"/>
              <w:left w:w="0" w:type="dxa"/>
              <w:bottom w:w="75" w:type="dxa"/>
              <w:right w:w="120" w:type="dxa"/>
            </w:tcMar>
            <w:vAlign w:val="center"/>
          </w:tcPr>
          <w:p w14:paraId="1126DF35">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6FC05325">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288E816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1.2.4 Psychotherapists are responsible for providing psychological counselling to children and their caregivers.</w:t>
            </w:r>
          </w:p>
        </w:tc>
        <w:tc>
          <w:tcPr>
            <w:tcW w:w="3041" w:type="dxa"/>
            <w:tcBorders>
              <w:tl2br w:val="nil"/>
              <w:tr2bl w:val="nil"/>
            </w:tcBorders>
            <w:shd w:val="clear" w:color="auto" w:fill="FFFFFF"/>
            <w:tcMar>
              <w:top w:w="75" w:type="dxa"/>
              <w:left w:w="120" w:type="dxa"/>
              <w:bottom w:w="75" w:type="dxa"/>
              <w:right w:w="120" w:type="dxa"/>
            </w:tcMar>
            <w:vAlign w:val="center"/>
          </w:tcPr>
          <w:p w14:paraId="4E4CCC9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00EE389C">
            <w:pPr>
              <w:rPr>
                <w:rFonts w:hint="default" w:ascii="Times New Roman" w:hAnsi="Times New Roman" w:eastAsia="var(--dsw-font-markdown-table)" w:cs="Times New Roman"/>
                <w:i w:val="0"/>
                <w:iCs w:val="0"/>
                <w:caps w:val="0"/>
                <w:color w:val="0F1115"/>
                <w:spacing w:val="0"/>
                <w:sz w:val="20"/>
                <w:szCs w:val="20"/>
              </w:rPr>
            </w:pPr>
          </w:p>
        </w:tc>
      </w:tr>
      <w:tr w14:paraId="659B3B4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599273FF">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03878012">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4BA8D48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1.2.5 Medical social workers are responsible for providing medical play therapy and social support to children and caregivers.</w:t>
            </w:r>
          </w:p>
        </w:tc>
        <w:tc>
          <w:tcPr>
            <w:tcW w:w="3041" w:type="dxa"/>
            <w:tcBorders>
              <w:tl2br w:val="nil"/>
              <w:tr2bl w:val="nil"/>
            </w:tcBorders>
            <w:shd w:val="clear" w:color="auto" w:fill="FFFFFF"/>
            <w:tcMar>
              <w:top w:w="75" w:type="dxa"/>
              <w:left w:w="120" w:type="dxa"/>
              <w:bottom w:w="75" w:type="dxa"/>
              <w:right w:w="120" w:type="dxa"/>
            </w:tcMar>
            <w:vAlign w:val="center"/>
          </w:tcPr>
          <w:p w14:paraId="61A6CEA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713A0CBD">
            <w:pPr>
              <w:rPr>
                <w:rFonts w:hint="default" w:ascii="Times New Roman" w:hAnsi="Times New Roman" w:eastAsia="var(--dsw-font-markdown-table)" w:cs="Times New Roman"/>
                <w:i w:val="0"/>
                <w:iCs w:val="0"/>
                <w:caps w:val="0"/>
                <w:color w:val="0F1115"/>
                <w:spacing w:val="0"/>
                <w:sz w:val="20"/>
                <w:szCs w:val="20"/>
              </w:rPr>
            </w:pPr>
          </w:p>
        </w:tc>
      </w:tr>
      <w:tr w14:paraId="1FB3721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735CB33">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16C79AA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1.3 Provide standardised training</w:t>
            </w:r>
          </w:p>
        </w:tc>
        <w:tc>
          <w:tcPr>
            <w:tcW w:w="6416" w:type="dxa"/>
            <w:tcBorders>
              <w:tl2br w:val="nil"/>
              <w:tr2bl w:val="nil"/>
            </w:tcBorders>
            <w:shd w:val="clear" w:color="auto" w:fill="FFFFFF"/>
            <w:tcMar>
              <w:top w:w="75" w:type="dxa"/>
              <w:left w:w="120" w:type="dxa"/>
              <w:bottom w:w="75" w:type="dxa"/>
              <w:right w:w="120" w:type="dxa"/>
            </w:tcMar>
            <w:vAlign w:val="center"/>
          </w:tcPr>
          <w:p w14:paraId="0AE66770">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1.3.1 Regularly organise standardised professional nutrition training for team members.</w:t>
            </w:r>
          </w:p>
        </w:tc>
        <w:tc>
          <w:tcPr>
            <w:tcW w:w="3041" w:type="dxa"/>
            <w:tcBorders>
              <w:tl2br w:val="nil"/>
              <w:tr2bl w:val="nil"/>
            </w:tcBorders>
            <w:shd w:val="clear" w:color="auto" w:fill="FFFFFF"/>
            <w:tcMar>
              <w:top w:w="75" w:type="dxa"/>
              <w:left w:w="120" w:type="dxa"/>
              <w:bottom w:w="75" w:type="dxa"/>
              <w:right w:w="120" w:type="dxa"/>
            </w:tcMar>
            <w:vAlign w:val="center"/>
          </w:tcPr>
          <w:p w14:paraId="7DC0670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FC48CCE">
            <w:pPr>
              <w:rPr>
                <w:rFonts w:hint="default" w:ascii="Times New Roman" w:hAnsi="Times New Roman" w:eastAsia="var(--dsw-font-markdown-table)" w:cs="Times New Roman"/>
                <w:i w:val="0"/>
                <w:iCs w:val="0"/>
                <w:caps w:val="0"/>
                <w:color w:val="0F1115"/>
                <w:spacing w:val="0"/>
                <w:sz w:val="20"/>
                <w:szCs w:val="20"/>
              </w:rPr>
            </w:pPr>
          </w:p>
        </w:tc>
      </w:tr>
      <w:tr w14:paraId="454D489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748" w:hRule="atLeast"/>
        </w:trPr>
        <w:tc>
          <w:tcPr>
            <w:tcW w:w="1650" w:type="dxa"/>
            <w:tcBorders>
              <w:tl2br w:val="nil"/>
              <w:tr2bl w:val="nil"/>
            </w:tcBorders>
            <w:shd w:val="clear" w:color="auto" w:fill="FFFFFF"/>
            <w:tcMar>
              <w:top w:w="75" w:type="dxa"/>
              <w:left w:w="0" w:type="dxa"/>
              <w:bottom w:w="75" w:type="dxa"/>
              <w:right w:w="120" w:type="dxa"/>
            </w:tcMar>
            <w:vAlign w:val="center"/>
          </w:tcPr>
          <w:p w14:paraId="115A282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Items to be added</w:t>
            </w:r>
          </w:p>
        </w:tc>
        <w:tc>
          <w:tcPr>
            <w:tcW w:w="13091" w:type="dxa"/>
            <w:gridSpan w:val="4"/>
            <w:tcBorders>
              <w:tl2br w:val="nil"/>
              <w:tr2bl w:val="nil"/>
            </w:tcBorders>
            <w:shd w:val="clear" w:color="auto" w:fill="FFFFFF"/>
            <w:tcMar>
              <w:top w:w="75" w:type="dxa"/>
              <w:left w:w="120" w:type="dxa"/>
              <w:bottom w:w="75" w:type="dxa"/>
              <w:right w:w="120" w:type="dxa"/>
            </w:tcMar>
            <w:vAlign w:val="center"/>
          </w:tcPr>
          <w:p w14:paraId="1F2663D0">
            <w:pPr>
              <w:rPr>
                <w:rFonts w:hint="default" w:ascii="Times New Roman" w:hAnsi="Times New Roman" w:eastAsia="var(--dsw-font-markdown-table)" w:cs="Times New Roman"/>
                <w:i w:val="0"/>
                <w:iCs w:val="0"/>
                <w:caps w:val="0"/>
                <w:color w:val="0F1115"/>
                <w:spacing w:val="0"/>
                <w:sz w:val="20"/>
                <w:szCs w:val="20"/>
              </w:rPr>
            </w:pPr>
          </w:p>
        </w:tc>
      </w:tr>
      <w:tr w14:paraId="44803E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41D3101">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2. Standardised screening and assessment</w:t>
            </w:r>
          </w:p>
        </w:tc>
        <w:tc>
          <w:tcPr>
            <w:tcW w:w="2366" w:type="dxa"/>
            <w:tcBorders>
              <w:tl2br w:val="nil"/>
              <w:tr2bl w:val="nil"/>
            </w:tcBorders>
            <w:shd w:val="clear" w:color="auto" w:fill="FFFFFF"/>
            <w:tcMar>
              <w:top w:w="75" w:type="dxa"/>
              <w:left w:w="120" w:type="dxa"/>
              <w:bottom w:w="75" w:type="dxa"/>
              <w:right w:w="120" w:type="dxa"/>
            </w:tcMar>
            <w:vAlign w:val="center"/>
          </w:tcPr>
          <w:p w14:paraId="61AB272D">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2.1 Nutritional risk screening</w:t>
            </w:r>
          </w:p>
        </w:tc>
        <w:tc>
          <w:tcPr>
            <w:tcW w:w="6416" w:type="dxa"/>
            <w:tcBorders>
              <w:tl2br w:val="nil"/>
              <w:tr2bl w:val="nil"/>
            </w:tcBorders>
            <w:shd w:val="clear" w:color="auto" w:fill="FFFFFF"/>
            <w:tcMar>
              <w:top w:w="75" w:type="dxa"/>
              <w:left w:w="120" w:type="dxa"/>
              <w:bottom w:w="75" w:type="dxa"/>
              <w:right w:w="120" w:type="dxa"/>
            </w:tcMar>
            <w:vAlign w:val="center"/>
          </w:tcPr>
          <w:p w14:paraId="55F0B79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2.1.1 All children diagnosed with haematological malignancies should undergo nutritional risk screening using the STAMP tool.</w:t>
            </w:r>
          </w:p>
        </w:tc>
        <w:tc>
          <w:tcPr>
            <w:tcW w:w="3041" w:type="dxa"/>
            <w:tcBorders>
              <w:tl2br w:val="nil"/>
              <w:tr2bl w:val="nil"/>
            </w:tcBorders>
            <w:shd w:val="clear" w:color="auto" w:fill="FFFFFF"/>
            <w:tcMar>
              <w:top w:w="75" w:type="dxa"/>
              <w:left w:w="120" w:type="dxa"/>
              <w:bottom w:w="75" w:type="dxa"/>
              <w:right w:w="120" w:type="dxa"/>
            </w:tcMar>
            <w:vAlign w:val="center"/>
          </w:tcPr>
          <w:p w14:paraId="2510596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28AFE3A2">
            <w:pPr>
              <w:rPr>
                <w:rFonts w:hint="default" w:ascii="Times New Roman" w:hAnsi="Times New Roman" w:eastAsia="var(--dsw-font-markdown-table)" w:cs="Times New Roman"/>
                <w:i w:val="0"/>
                <w:iCs w:val="0"/>
                <w:caps w:val="0"/>
                <w:color w:val="0F1115"/>
                <w:spacing w:val="0"/>
                <w:sz w:val="20"/>
                <w:szCs w:val="20"/>
              </w:rPr>
            </w:pPr>
          </w:p>
        </w:tc>
      </w:tr>
      <w:tr w14:paraId="258018C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7E8ED93">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49673A6A">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56CACBF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2.1.2 Timing of screening: the first nutritional screening should be completed within 24 hours of admission, and re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screening should be performed weekly during hospitalisation. A STAMP score ≥4 indicates high nutritional risk, requiring further detailed nutritional assessment to establish a nutritional diagnosis.</w:t>
            </w:r>
          </w:p>
        </w:tc>
        <w:tc>
          <w:tcPr>
            <w:tcW w:w="3041" w:type="dxa"/>
            <w:tcBorders>
              <w:tl2br w:val="nil"/>
              <w:tr2bl w:val="nil"/>
            </w:tcBorders>
            <w:shd w:val="clear" w:color="auto" w:fill="FFFFFF"/>
            <w:tcMar>
              <w:top w:w="75" w:type="dxa"/>
              <w:left w:w="120" w:type="dxa"/>
              <w:bottom w:w="75" w:type="dxa"/>
              <w:right w:w="120" w:type="dxa"/>
            </w:tcMar>
            <w:vAlign w:val="center"/>
          </w:tcPr>
          <w:p w14:paraId="621F860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70036D1">
            <w:pPr>
              <w:rPr>
                <w:rFonts w:hint="default" w:ascii="Times New Roman" w:hAnsi="Times New Roman" w:eastAsia="var(--dsw-font-markdown-table)" w:cs="Times New Roman"/>
                <w:i w:val="0"/>
                <w:iCs w:val="0"/>
                <w:caps w:val="0"/>
                <w:color w:val="0F1115"/>
                <w:spacing w:val="0"/>
                <w:sz w:val="20"/>
                <w:szCs w:val="20"/>
              </w:rPr>
            </w:pPr>
          </w:p>
        </w:tc>
      </w:tr>
      <w:tr w14:paraId="5B8AA41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PrEx>
        <w:tc>
          <w:tcPr>
            <w:tcW w:w="1650" w:type="dxa"/>
            <w:tcBorders>
              <w:tl2br w:val="nil"/>
              <w:tr2bl w:val="nil"/>
            </w:tcBorders>
            <w:shd w:val="clear" w:color="auto" w:fill="FFFFFF"/>
            <w:tcMar>
              <w:top w:w="75" w:type="dxa"/>
              <w:left w:w="0" w:type="dxa"/>
              <w:bottom w:w="75" w:type="dxa"/>
              <w:right w:w="120" w:type="dxa"/>
            </w:tcMar>
            <w:vAlign w:val="center"/>
          </w:tcPr>
          <w:p w14:paraId="0A940D0E">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18E653AD">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2.2 Nutritional status assessment</w:t>
            </w:r>
          </w:p>
        </w:tc>
        <w:tc>
          <w:tcPr>
            <w:tcW w:w="6416" w:type="dxa"/>
            <w:tcBorders>
              <w:tl2br w:val="nil"/>
              <w:tr2bl w:val="nil"/>
            </w:tcBorders>
            <w:shd w:val="clear" w:color="auto" w:fill="FFFFFF"/>
            <w:tcMar>
              <w:top w:w="75" w:type="dxa"/>
              <w:left w:w="120" w:type="dxa"/>
              <w:bottom w:w="75" w:type="dxa"/>
              <w:right w:w="120" w:type="dxa"/>
            </w:tcMar>
            <w:vAlign w:val="center"/>
          </w:tcPr>
          <w:p w14:paraId="66D975D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2.2.1 Use the “ABCDEF” method for nutritional assessment, including: Anthropometry (A), Biochemical indices (B), Clinical assessment (C), Dietary assessment (D), Environment/Family information (E/F).</w:t>
            </w:r>
          </w:p>
        </w:tc>
        <w:tc>
          <w:tcPr>
            <w:tcW w:w="3041" w:type="dxa"/>
            <w:tcBorders>
              <w:tl2br w:val="nil"/>
              <w:tr2bl w:val="nil"/>
            </w:tcBorders>
            <w:shd w:val="clear" w:color="auto" w:fill="FFFFFF"/>
            <w:tcMar>
              <w:top w:w="75" w:type="dxa"/>
              <w:left w:w="120" w:type="dxa"/>
              <w:bottom w:w="75" w:type="dxa"/>
              <w:right w:w="120" w:type="dxa"/>
            </w:tcMar>
            <w:vAlign w:val="center"/>
          </w:tcPr>
          <w:p w14:paraId="2CCDC801">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5AD7857C">
            <w:pPr>
              <w:rPr>
                <w:rFonts w:hint="default" w:ascii="Times New Roman" w:hAnsi="Times New Roman" w:eastAsia="var(--dsw-font-markdown-table)" w:cs="Times New Roman"/>
                <w:i w:val="0"/>
                <w:iCs w:val="0"/>
                <w:caps w:val="0"/>
                <w:color w:val="0F1115"/>
                <w:spacing w:val="0"/>
                <w:sz w:val="20"/>
                <w:szCs w:val="20"/>
              </w:rPr>
            </w:pPr>
          </w:p>
        </w:tc>
      </w:tr>
      <w:tr w14:paraId="62FF7C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CB676EF">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1960B8A8">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0A7B6A5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2.2.2 Anthropometric measurements for nutritional screening should include weight, height, body mass index (BMI), and mid</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upper arm circumference. Results should be referenced against WHO standards.</w:t>
            </w:r>
          </w:p>
        </w:tc>
        <w:tc>
          <w:tcPr>
            <w:tcW w:w="3041" w:type="dxa"/>
            <w:tcBorders>
              <w:tl2br w:val="nil"/>
              <w:tr2bl w:val="nil"/>
            </w:tcBorders>
            <w:shd w:val="clear" w:color="auto" w:fill="FFFFFF"/>
            <w:tcMar>
              <w:top w:w="75" w:type="dxa"/>
              <w:left w:w="120" w:type="dxa"/>
              <w:bottom w:w="75" w:type="dxa"/>
              <w:right w:w="120" w:type="dxa"/>
            </w:tcMar>
            <w:vAlign w:val="center"/>
          </w:tcPr>
          <w:p w14:paraId="60221C15">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3F06409">
            <w:pPr>
              <w:rPr>
                <w:rFonts w:hint="default" w:ascii="Times New Roman" w:hAnsi="Times New Roman" w:eastAsia="var(--dsw-font-markdown-table)" w:cs="Times New Roman"/>
                <w:i w:val="0"/>
                <w:iCs w:val="0"/>
                <w:caps w:val="0"/>
                <w:color w:val="0F1115"/>
                <w:spacing w:val="0"/>
                <w:sz w:val="20"/>
                <w:szCs w:val="20"/>
              </w:rPr>
            </w:pPr>
          </w:p>
        </w:tc>
      </w:tr>
      <w:tr w14:paraId="36AE079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B015BBF">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41EA10D7">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2772FF8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2.2.3 Biochemical tests for nutritional screening should include serum albumin, prealbumin, anaemia status, inflammatory markers, and specific minerals and vitamins.</w:t>
            </w:r>
          </w:p>
        </w:tc>
        <w:tc>
          <w:tcPr>
            <w:tcW w:w="3041" w:type="dxa"/>
            <w:tcBorders>
              <w:tl2br w:val="nil"/>
              <w:tr2bl w:val="nil"/>
            </w:tcBorders>
            <w:shd w:val="clear" w:color="auto" w:fill="FFFFFF"/>
            <w:tcMar>
              <w:top w:w="75" w:type="dxa"/>
              <w:left w:w="120" w:type="dxa"/>
              <w:bottom w:w="75" w:type="dxa"/>
              <w:right w:w="120" w:type="dxa"/>
            </w:tcMar>
            <w:vAlign w:val="center"/>
          </w:tcPr>
          <w:p w14:paraId="2A61E41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042968D9">
            <w:pPr>
              <w:rPr>
                <w:rFonts w:hint="default" w:ascii="Times New Roman" w:hAnsi="Times New Roman" w:eastAsia="var(--dsw-font-markdown-table)" w:cs="Times New Roman"/>
                <w:i w:val="0"/>
                <w:iCs w:val="0"/>
                <w:caps w:val="0"/>
                <w:color w:val="0F1115"/>
                <w:spacing w:val="0"/>
                <w:sz w:val="20"/>
                <w:szCs w:val="20"/>
              </w:rPr>
            </w:pPr>
          </w:p>
        </w:tc>
      </w:tr>
      <w:tr w14:paraId="0EBE95D3">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5A17D919">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5ED0A0B9">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63A20CF5">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2.2.4 Clinical assessment includes dietary intake, muscle wasting, subcutaneous fat, oedema, condition of skin, mucous membranes, and hair.</w:t>
            </w:r>
          </w:p>
        </w:tc>
        <w:tc>
          <w:tcPr>
            <w:tcW w:w="3041" w:type="dxa"/>
            <w:tcBorders>
              <w:tl2br w:val="nil"/>
              <w:tr2bl w:val="nil"/>
            </w:tcBorders>
            <w:shd w:val="clear" w:color="auto" w:fill="FFFFFF"/>
            <w:tcMar>
              <w:top w:w="75" w:type="dxa"/>
              <w:left w:w="120" w:type="dxa"/>
              <w:bottom w:w="75" w:type="dxa"/>
              <w:right w:w="120" w:type="dxa"/>
            </w:tcMar>
            <w:vAlign w:val="center"/>
          </w:tcPr>
          <w:p w14:paraId="375DE7E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782FC7F1">
            <w:pPr>
              <w:rPr>
                <w:rFonts w:hint="default" w:ascii="Times New Roman" w:hAnsi="Times New Roman" w:eastAsia="var(--dsw-font-markdown-table)" w:cs="Times New Roman"/>
                <w:i w:val="0"/>
                <w:iCs w:val="0"/>
                <w:caps w:val="0"/>
                <w:color w:val="0F1115"/>
                <w:spacing w:val="0"/>
                <w:sz w:val="20"/>
                <w:szCs w:val="20"/>
              </w:rPr>
            </w:pPr>
          </w:p>
        </w:tc>
      </w:tr>
      <w:tr w14:paraId="1694DAE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B538EE8">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573F40E6">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6F14EB7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2.2.5 Use the Nutritional Risk Index (NRI) to assess nutritional status. Formula: NRI = 1.519 × serum albumin (g/L) + 0.417 × (current weight / previous weight) × 100. NRI &gt;97.5 = no malnutrition; 97.5 ≥ NRI ≥ 83.5 = moderate malnutrition; NRI &lt;83.5 = severe malnutrition. Based on NRI results combined with the “ABCDEF” assessment, develop an individualised nutrition treatment plan.</w:t>
            </w:r>
          </w:p>
        </w:tc>
        <w:tc>
          <w:tcPr>
            <w:tcW w:w="3041" w:type="dxa"/>
            <w:tcBorders>
              <w:tl2br w:val="nil"/>
              <w:tr2bl w:val="nil"/>
            </w:tcBorders>
            <w:shd w:val="clear" w:color="auto" w:fill="FFFFFF"/>
            <w:tcMar>
              <w:top w:w="75" w:type="dxa"/>
              <w:left w:w="120" w:type="dxa"/>
              <w:bottom w:w="75" w:type="dxa"/>
              <w:right w:w="120" w:type="dxa"/>
            </w:tcMar>
            <w:vAlign w:val="center"/>
          </w:tcPr>
          <w:p w14:paraId="3415DE8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75A3022E">
            <w:pPr>
              <w:rPr>
                <w:rFonts w:hint="default" w:ascii="Times New Roman" w:hAnsi="Times New Roman" w:eastAsia="var(--dsw-font-markdown-table)" w:cs="Times New Roman"/>
                <w:i w:val="0"/>
                <w:iCs w:val="0"/>
                <w:caps w:val="0"/>
                <w:color w:val="0F1115"/>
                <w:spacing w:val="0"/>
                <w:sz w:val="20"/>
                <w:szCs w:val="20"/>
              </w:rPr>
            </w:pPr>
          </w:p>
        </w:tc>
      </w:tr>
      <w:tr w14:paraId="1453B34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36A36DC">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11EFD11C">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22BBE58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2.2.6 Timing of nutritional assessment: first assessment should be completed within 72 hours of admission, re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assessment weekly. Frequency should be adjusted according to malnutrition grade and treatment plan.</w:t>
            </w:r>
          </w:p>
        </w:tc>
        <w:tc>
          <w:tcPr>
            <w:tcW w:w="3041" w:type="dxa"/>
            <w:tcBorders>
              <w:tl2br w:val="nil"/>
              <w:tr2bl w:val="nil"/>
            </w:tcBorders>
            <w:shd w:val="clear" w:color="auto" w:fill="FFFFFF"/>
            <w:tcMar>
              <w:top w:w="75" w:type="dxa"/>
              <w:left w:w="120" w:type="dxa"/>
              <w:bottom w:w="75" w:type="dxa"/>
              <w:right w:w="120" w:type="dxa"/>
            </w:tcMar>
            <w:vAlign w:val="center"/>
          </w:tcPr>
          <w:p w14:paraId="03C57F5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19C2B7F1">
            <w:pPr>
              <w:rPr>
                <w:rFonts w:hint="default" w:ascii="Times New Roman" w:hAnsi="Times New Roman" w:eastAsia="var(--dsw-font-markdown-table)" w:cs="Times New Roman"/>
                <w:i w:val="0"/>
                <w:iCs w:val="0"/>
                <w:caps w:val="0"/>
                <w:color w:val="0F1115"/>
                <w:spacing w:val="0"/>
                <w:sz w:val="20"/>
                <w:szCs w:val="20"/>
              </w:rPr>
            </w:pPr>
          </w:p>
        </w:tc>
      </w:tr>
      <w:tr w14:paraId="1A6978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856" w:hRule="atLeast"/>
        </w:trPr>
        <w:tc>
          <w:tcPr>
            <w:tcW w:w="1650" w:type="dxa"/>
            <w:tcBorders>
              <w:tl2br w:val="nil"/>
              <w:tr2bl w:val="nil"/>
            </w:tcBorders>
            <w:shd w:val="clear" w:color="auto" w:fill="FFFFFF"/>
            <w:tcMar>
              <w:top w:w="75" w:type="dxa"/>
              <w:left w:w="0" w:type="dxa"/>
              <w:bottom w:w="75" w:type="dxa"/>
              <w:right w:w="120" w:type="dxa"/>
            </w:tcMar>
            <w:vAlign w:val="center"/>
          </w:tcPr>
          <w:p w14:paraId="351A017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Items to be added</w:t>
            </w:r>
          </w:p>
        </w:tc>
        <w:tc>
          <w:tcPr>
            <w:tcW w:w="13091" w:type="dxa"/>
            <w:gridSpan w:val="4"/>
            <w:tcBorders>
              <w:tl2br w:val="nil"/>
              <w:tr2bl w:val="nil"/>
            </w:tcBorders>
            <w:shd w:val="clear" w:color="auto" w:fill="FFFFFF"/>
            <w:tcMar>
              <w:top w:w="75" w:type="dxa"/>
              <w:left w:w="120" w:type="dxa"/>
              <w:bottom w:w="75" w:type="dxa"/>
              <w:right w:w="120" w:type="dxa"/>
            </w:tcMar>
            <w:vAlign w:val="center"/>
          </w:tcPr>
          <w:p w14:paraId="48E67E42">
            <w:pPr>
              <w:rPr>
                <w:rFonts w:hint="default" w:ascii="Times New Roman" w:hAnsi="Times New Roman" w:eastAsia="var(--dsw-font-markdown-table)" w:cs="Times New Roman"/>
                <w:i w:val="0"/>
                <w:iCs w:val="0"/>
                <w:caps w:val="0"/>
                <w:color w:val="0F1115"/>
                <w:spacing w:val="0"/>
                <w:sz w:val="20"/>
                <w:szCs w:val="20"/>
              </w:rPr>
            </w:pPr>
          </w:p>
        </w:tc>
      </w:tr>
      <w:tr w14:paraId="6DD89DF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93ED89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3. Nutrition intervention strategies</w:t>
            </w:r>
          </w:p>
        </w:tc>
        <w:tc>
          <w:tcPr>
            <w:tcW w:w="2366" w:type="dxa"/>
            <w:tcBorders>
              <w:tl2br w:val="nil"/>
              <w:tr2bl w:val="nil"/>
            </w:tcBorders>
            <w:shd w:val="clear" w:color="auto" w:fill="FFFFFF"/>
            <w:tcMar>
              <w:top w:w="75" w:type="dxa"/>
              <w:left w:w="120" w:type="dxa"/>
              <w:bottom w:w="75" w:type="dxa"/>
              <w:right w:w="120" w:type="dxa"/>
            </w:tcMar>
            <w:vAlign w:val="center"/>
          </w:tcPr>
          <w:p w14:paraId="3D7936D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3.1 Nutritional requirements</w:t>
            </w:r>
          </w:p>
        </w:tc>
        <w:tc>
          <w:tcPr>
            <w:tcW w:w="6416" w:type="dxa"/>
            <w:tcBorders>
              <w:tl2br w:val="nil"/>
              <w:tr2bl w:val="nil"/>
            </w:tcBorders>
            <w:shd w:val="clear" w:color="auto" w:fill="FFFFFF"/>
            <w:tcMar>
              <w:top w:w="75" w:type="dxa"/>
              <w:left w:w="120" w:type="dxa"/>
              <w:bottom w:w="75" w:type="dxa"/>
              <w:right w:w="120" w:type="dxa"/>
            </w:tcMar>
            <w:vAlign w:val="center"/>
          </w:tcPr>
          <w:p w14:paraId="1E52363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3.1.1 For children in a stable condition, refer to the energy, protein, and micronutrient intakes recommended for normal children of the same age in the </w:t>
            </w:r>
            <w:r>
              <w:rPr>
                <w:rStyle w:val="9"/>
                <w:rFonts w:hint="default" w:ascii="Times New Roman" w:hAnsi="Times New Roman" w:eastAsia="var(--dsw-font-markdown-table)" w:cs="Times New Roman"/>
                <w:i w:val="0"/>
                <w:iCs w:val="0"/>
                <w:caps w:val="0"/>
                <w:color w:val="0F1115"/>
                <w:spacing w:val="0"/>
                <w:kern w:val="0"/>
                <w:sz w:val="20"/>
                <w:szCs w:val="20"/>
                <w:lang w:val="en-US" w:eastAsia="zh-CN" w:bidi="ar"/>
              </w:rPr>
              <w:t>Chinese Dietary Reference Intakes</w:t>
            </w:r>
            <w:r>
              <w:rPr>
                <w:rFonts w:hint="default" w:ascii="Times New Roman" w:hAnsi="Times New Roman" w:eastAsia="var(--dsw-font-markdown-table)" w:cs="Times New Roman"/>
                <w:i w:val="0"/>
                <w:iCs w:val="0"/>
                <w:caps w:val="0"/>
                <w:color w:val="0F1115"/>
                <w:spacing w:val="0"/>
                <w:kern w:val="0"/>
                <w:sz w:val="20"/>
                <w:szCs w:val="20"/>
                <w:lang w:val="en-US" w:eastAsia="zh-CN" w:bidi="ar"/>
              </w:rPr>
              <w:t> published by the Chinese Nutrition Society.</w:t>
            </w:r>
          </w:p>
        </w:tc>
        <w:tc>
          <w:tcPr>
            <w:tcW w:w="3041" w:type="dxa"/>
            <w:tcBorders>
              <w:tl2br w:val="nil"/>
              <w:tr2bl w:val="nil"/>
            </w:tcBorders>
            <w:shd w:val="clear" w:color="auto" w:fill="FFFFFF"/>
            <w:tcMar>
              <w:top w:w="75" w:type="dxa"/>
              <w:left w:w="120" w:type="dxa"/>
              <w:bottom w:w="75" w:type="dxa"/>
              <w:right w:w="120" w:type="dxa"/>
            </w:tcMar>
            <w:vAlign w:val="center"/>
          </w:tcPr>
          <w:p w14:paraId="7D08976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23340D80">
            <w:pPr>
              <w:rPr>
                <w:rFonts w:hint="default" w:ascii="Times New Roman" w:hAnsi="Times New Roman" w:eastAsia="var(--dsw-font-markdown-table)" w:cs="Times New Roman"/>
                <w:i w:val="0"/>
                <w:iCs w:val="0"/>
                <w:caps w:val="0"/>
                <w:color w:val="0F1115"/>
                <w:spacing w:val="0"/>
                <w:sz w:val="20"/>
                <w:szCs w:val="20"/>
              </w:rPr>
            </w:pPr>
          </w:p>
        </w:tc>
      </w:tr>
      <w:tr w14:paraId="471A6B7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302918F">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02C4164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3.2 Timing and methods of nutrition intervention</w:t>
            </w:r>
          </w:p>
        </w:tc>
        <w:tc>
          <w:tcPr>
            <w:tcW w:w="6416" w:type="dxa"/>
            <w:tcBorders>
              <w:tl2br w:val="nil"/>
              <w:tr2bl w:val="nil"/>
            </w:tcBorders>
            <w:shd w:val="clear" w:color="auto" w:fill="FFFFFF"/>
            <w:tcMar>
              <w:top w:w="75" w:type="dxa"/>
              <w:left w:w="120" w:type="dxa"/>
              <w:bottom w:w="75" w:type="dxa"/>
              <w:right w:w="120" w:type="dxa"/>
            </w:tcMar>
            <w:vAlign w:val="center"/>
          </w:tcPr>
          <w:p w14:paraId="526B1E2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3.2.1 Timing of nutrition intervention: when nutritional screening and assessment indicate high nutritional risk and/or malnutrition; when the growth curve trend shows a decline crossing two major percentile lines in a short period; when weight loss exceeds 5% in the near term.</w:t>
            </w:r>
          </w:p>
        </w:tc>
        <w:tc>
          <w:tcPr>
            <w:tcW w:w="3041" w:type="dxa"/>
            <w:tcBorders>
              <w:tl2br w:val="nil"/>
              <w:tr2bl w:val="nil"/>
            </w:tcBorders>
            <w:shd w:val="clear" w:color="auto" w:fill="FFFFFF"/>
            <w:tcMar>
              <w:top w:w="75" w:type="dxa"/>
              <w:left w:w="120" w:type="dxa"/>
              <w:bottom w:w="75" w:type="dxa"/>
              <w:right w:w="120" w:type="dxa"/>
            </w:tcMar>
            <w:vAlign w:val="center"/>
          </w:tcPr>
          <w:p w14:paraId="2D714ED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712D9698">
            <w:pPr>
              <w:rPr>
                <w:rFonts w:hint="default" w:ascii="Times New Roman" w:hAnsi="Times New Roman" w:eastAsia="var(--dsw-font-markdown-table)" w:cs="Times New Roman"/>
                <w:i w:val="0"/>
                <w:iCs w:val="0"/>
                <w:caps w:val="0"/>
                <w:color w:val="0F1115"/>
                <w:spacing w:val="0"/>
                <w:sz w:val="20"/>
                <w:szCs w:val="20"/>
              </w:rPr>
            </w:pPr>
          </w:p>
        </w:tc>
      </w:tr>
      <w:tr w14:paraId="5DCE73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44F19FC1">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287B8A1C">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7DF419F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3.2.2 Methods of nutrition intervention: follow the five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step treatment ladder for malnourished patients. Start from the bottom: first, oral diet plus nutrition education; then diet plus ONS; then EN; then partial EN plus partial PN; finally total PN. Move up to the next step when the lower step cannot meet 60% of target energy requirements for 3–5 days.</w:t>
            </w:r>
          </w:p>
        </w:tc>
        <w:tc>
          <w:tcPr>
            <w:tcW w:w="3041" w:type="dxa"/>
            <w:tcBorders>
              <w:tl2br w:val="nil"/>
              <w:tr2bl w:val="nil"/>
            </w:tcBorders>
            <w:shd w:val="clear" w:color="auto" w:fill="FFFFFF"/>
            <w:tcMar>
              <w:top w:w="75" w:type="dxa"/>
              <w:left w:w="120" w:type="dxa"/>
              <w:bottom w:w="75" w:type="dxa"/>
              <w:right w:w="120" w:type="dxa"/>
            </w:tcMar>
            <w:vAlign w:val="center"/>
          </w:tcPr>
          <w:p w14:paraId="06153EF9">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514FF8AE">
            <w:pPr>
              <w:rPr>
                <w:rFonts w:hint="default" w:ascii="Times New Roman" w:hAnsi="Times New Roman" w:eastAsia="var(--dsw-font-markdown-table)" w:cs="Times New Roman"/>
                <w:i w:val="0"/>
                <w:iCs w:val="0"/>
                <w:caps w:val="0"/>
                <w:color w:val="0F1115"/>
                <w:spacing w:val="0"/>
                <w:sz w:val="20"/>
                <w:szCs w:val="20"/>
              </w:rPr>
            </w:pPr>
          </w:p>
        </w:tc>
      </w:tr>
      <w:tr w14:paraId="0F758F2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7D643D2">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0EF3497F">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144EDD85">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3.2.3 Nutrition intervention should be individualised according to the patient’s specific needs, clinical condition, and gastrointestinal function.</w:t>
            </w:r>
          </w:p>
        </w:tc>
        <w:tc>
          <w:tcPr>
            <w:tcW w:w="3041" w:type="dxa"/>
            <w:tcBorders>
              <w:tl2br w:val="nil"/>
              <w:tr2bl w:val="nil"/>
            </w:tcBorders>
            <w:shd w:val="clear" w:color="auto" w:fill="FFFFFF"/>
            <w:tcMar>
              <w:top w:w="75" w:type="dxa"/>
              <w:left w:w="120" w:type="dxa"/>
              <w:bottom w:w="75" w:type="dxa"/>
              <w:right w:w="120" w:type="dxa"/>
            </w:tcMar>
            <w:vAlign w:val="center"/>
          </w:tcPr>
          <w:p w14:paraId="265AE63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0054B47">
            <w:pPr>
              <w:rPr>
                <w:rFonts w:hint="default" w:ascii="Times New Roman" w:hAnsi="Times New Roman" w:eastAsia="var(--dsw-font-markdown-table)" w:cs="Times New Roman"/>
                <w:i w:val="0"/>
                <w:iCs w:val="0"/>
                <w:caps w:val="0"/>
                <w:color w:val="0F1115"/>
                <w:spacing w:val="0"/>
                <w:sz w:val="20"/>
                <w:szCs w:val="20"/>
              </w:rPr>
            </w:pPr>
          </w:p>
        </w:tc>
      </w:tr>
      <w:tr w14:paraId="1B380A9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4504F0F">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0872F97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3.3 Oral nutritional supplements (ONS)</w:t>
            </w:r>
          </w:p>
        </w:tc>
        <w:tc>
          <w:tcPr>
            <w:tcW w:w="6416" w:type="dxa"/>
            <w:tcBorders>
              <w:tl2br w:val="nil"/>
              <w:tr2bl w:val="nil"/>
            </w:tcBorders>
            <w:shd w:val="clear" w:color="auto" w:fill="FFFFFF"/>
            <w:tcMar>
              <w:top w:w="75" w:type="dxa"/>
              <w:left w:w="120" w:type="dxa"/>
              <w:bottom w:w="75" w:type="dxa"/>
              <w:right w:w="120" w:type="dxa"/>
            </w:tcMar>
            <w:vAlign w:val="center"/>
          </w:tcPr>
          <w:p w14:paraId="5085221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3.3.1 If the child has a functional gastrointestinal tract, enteral nutrition is preferred. For children who can eat orally, nutrition support should begin with oral diet plus nutrition education.</w:t>
            </w:r>
          </w:p>
        </w:tc>
        <w:tc>
          <w:tcPr>
            <w:tcW w:w="3041" w:type="dxa"/>
            <w:tcBorders>
              <w:tl2br w:val="nil"/>
              <w:tr2bl w:val="nil"/>
            </w:tcBorders>
            <w:shd w:val="clear" w:color="auto" w:fill="FFFFFF"/>
            <w:tcMar>
              <w:top w:w="75" w:type="dxa"/>
              <w:left w:w="120" w:type="dxa"/>
              <w:bottom w:w="75" w:type="dxa"/>
              <w:right w:w="120" w:type="dxa"/>
            </w:tcMar>
            <w:vAlign w:val="center"/>
          </w:tcPr>
          <w:p w14:paraId="3E200A5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6868099D">
            <w:pPr>
              <w:rPr>
                <w:rFonts w:hint="default" w:ascii="Times New Roman" w:hAnsi="Times New Roman" w:eastAsia="var(--dsw-font-markdown-table)" w:cs="Times New Roman"/>
                <w:i w:val="0"/>
                <w:iCs w:val="0"/>
                <w:caps w:val="0"/>
                <w:color w:val="0F1115"/>
                <w:spacing w:val="0"/>
                <w:sz w:val="20"/>
                <w:szCs w:val="20"/>
              </w:rPr>
            </w:pPr>
          </w:p>
        </w:tc>
      </w:tr>
      <w:tr w14:paraId="09ED45D7">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30C2BDB">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71F171D5">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33993DF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3.3.2 When oral intake improves with nutrition education but still cannot meet the body’s nutritional needs, ONS should be given.</w:t>
            </w:r>
          </w:p>
        </w:tc>
        <w:tc>
          <w:tcPr>
            <w:tcW w:w="3041" w:type="dxa"/>
            <w:tcBorders>
              <w:tl2br w:val="nil"/>
              <w:tr2bl w:val="nil"/>
            </w:tcBorders>
            <w:shd w:val="clear" w:color="auto" w:fill="FFFFFF"/>
            <w:tcMar>
              <w:top w:w="75" w:type="dxa"/>
              <w:left w:w="120" w:type="dxa"/>
              <w:bottom w:w="75" w:type="dxa"/>
              <w:right w:w="120" w:type="dxa"/>
            </w:tcMar>
            <w:vAlign w:val="center"/>
          </w:tcPr>
          <w:p w14:paraId="4F3D1962">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89CAFAA">
            <w:pPr>
              <w:rPr>
                <w:rFonts w:hint="default" w:ascii="Times New Roman" w:hAnsi="Times New Roman" w:eastAsia="var(--dsw-font-markdown-table)" w:cs="Times New Roman"/>
                <w:i w:val="0"/>
                <w:iCs w:val="0"/>
                <w:caps w:val="0"/>
                <w:color w:val="0F1115"/>
                <w:spacing w:val="0"/>
                <w:sz w:val="20"/>
                <w:szCs w:val="20"/>
              </w:rPr>
            </w:pPr>
          </w:p>
        </w:tc>
      </w:tr>
      <w:tr w14:paraId="783AD7D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1CF97AFB">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5CA74F57">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7C40DEC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3.3.3 Most ONS can be standard whole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protein formulas. In case of severe intestinal dysfunction, an elemental formula may be chosen; in case of comorbid diabetes or glucose intolerance, a diabetes</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specific formula; in case of comorbid chronic renal insufficiency with severe electrolyte abnormalities, a special formula; when fluid restriction is needed, a high</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energy</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density ONS; for patients about to undergo major surgery, an immune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enhancing ONS.</w:t>
            </w:r>
          </w:p>
        </w:tc>
        <w:tc>
          <w:tcPr>
            <w:tcW w:w="3041" w:type="dxa"/>
            <w:tcBorders>
              <w:tl2br w:val="nil"/>
              <w:tr2bl w:val="nil"/>
            </w:tcBorders>
            <w:shd w:val="clear" w:color="auto" w:fill="FFFFFF"/>
            <w:tcMar>
              <w:top w:w="75" w:type="dxa"/>
              <w:left w:w="120" w:type="dxa"/>
              <w:bottom w:w="75" w:type="dxa"/>
              <w:right w:w="120" w:type="dxa"/>
            </w:tcMar>
            <w:vAlign w:val="center"/>
          </w:tcPr>
          <w:p w14:paraId="0F67E039">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0BE5A1E8">
            <w:pPr>
              <w:rPr>
                <w:rFonts w:hint="default" w:ascii="Times New Roman" w:hAnsi="Times New Roman" w:eastAsia="var(--dsw-font-markdown-table)" w:cs="Times New Roman"/>
                <w:i w:val="0"/>
                <w:iCs w:val="0"/>
                <w:caps w:val="0"/>
                <w:color w:val="0F1115"/>
                <w:spacing w:val="0"/>
                <w:sz w:val="20"/>
                <w:szCs w:val="20"/>
              </w:rPr>
            </w:pPr>
          </w:p>
        </w:tc>
      </w:tr>
      <w:tr w14:paraId="78D7BB1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BE24ACB">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1B9DDD34">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3A01627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3.3.4 Supplementation with whey protein</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fortified ONS is recommended to improve albumin and immunoglobulin levels in paediatric cancer patients undergoing chemotherapy.</w:t>
            </w:r>
          </w:p>
        </w:tc>
        <w:tc>
          <w:tcPr>
            <w:tcW w:w="3041" w:type="dxa"/>
            <w:tcBorders>
              <w:tl2br w:val="nil"/>
              <w:tr2bl w:val="nil"/>
            </w:tcBorders>
            <w:shd w:val="clear" w:color="auto" w:fill="FFFFFF"/>
            <w:tcMar>
              <w:top w:w="75" w:type="dxa"/>
              <w:left w:w="120" w:type="dxa"/>
              <w:bottom w:w="75" w:type="dxa"/>
              <w:right w:w="120" w:type="dxa"/>
            </w:tcMar>
            <w:vAlign w:val="center"/>
          </w:tcPr>
          <w:p w14:paraId="34407CD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0534B10">
            <w:pPr>
              <w:rPr>
                <w:rFonts w:hint="default" w:ascii="Times New Roman" w:hAnsi="Times New Roman" w:eastAsia="var(--dsw-font-markdown-table)" w:cs="Times New Roman"/>
                <w:i w:val="0"/>
                <w:iCs w:val="0"/>
                <w:caps w:val="0"/>
                <w:color w:val="0F1115"/>
                <w:spacing w:val="0"/>
                <w:sz w:val="20"/>
                <w:szCs w:val="20"/>
              </w:rPr>
            </w:pPr>
          </w:p>
        </w:tc>
      </w:tr>
      <w:tr w14:paraId="2BE6E1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DA73DC5">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4F463760">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4AC78CE4">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3.3.5 Supplementation with vitamin C, vitamin D, vitamin E, and selenium is recommended to improve nutritional status and reduce the incidence or severity of treatment</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related side effects.</w:t>
            </w:r>
          </w:p>
        </w:tc>
        <w:tc>
          <w:tcPr>
            <w:tcW w:w="3041" w:type="dxa"/>
            <w:tcBorders>
              <w:tl2br w:val="nil"/>
              <w:tr2bl w:val="nil"/>
            </w:tcBorders>
            <w:shd w:val="clear" w:color="auto" w:fill="FFFFFF"/>
            <w:tcMar>
              <w:top w:w="75" w:type="dxa"/>
              <w:left w:w="120" w:type="dxa"/>
              <w:bottom w:w="75" w:type="dxa"/>
              <w:right w:w="120" w:type="dxa"/>
            </w:tcMar>
            <w:vAlign w:val="center"/>
          </w:tcPr>
          <w:p w14:paraId="14BBA201">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1BF8F77">
            <w:pPr>
              <w:rPr>
                <w:rFonts w:hint="default" w:ascii="Times New Roman" w:hAnsi="Times New Roman" w:eastAsia="var(--dsw-font-markdown-table)" w:cs="Times New Roman"/>
                <w:i w:val="0"/>
                <w:iCs w:val="0"/>
                <w:caps w:val="0"/>
                <w:color w:val="0F1115"/>
                <w:spacing w:val="0"/>
                <w:sz w:val="20"/>
                <w:szCs w:val="20"/>
              </w:rPr>
            </w:pPr>
          </w:p>
        </w:tc>
      </w:tr>
      <w:tr w14:paraId="41E7BEB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778690E">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228CF05B">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353318C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3.3.6 Supplementation with soy protein is recommended to improve the nutritional status of children.</w:t>
            </w:r>
          </w:p>
        </w:tc>
        <w:tc>
          <w:tcPr>
            <w:tcW w:w="3041" w:type="dxa"/>
            <w:tcBorders>
              <w:tl2br w:val="nil"/>
              <w:tr2bl w:val="nil"/>
            </w:tcBorders>
            <w:shd w:val="clear" w:color="auto" w:fill="FFFFFF"/>
            <w:tcMar>
              <w:top w:w="75" w:type="dxa"/>
              <w:left w:w="120" w:type="dxa"/>
              <w:bottom w:w="75" w:type="dxa"/>
              <w:right w:w="120" w:type="dxa"/>
            </w:tcMar>
            <w:vAlign w:val="center"/>
          </w:tcPr>
          <w:p w14:paraId="7E11D605">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274F711F">
            <w:pPr>
              <w:rPr>
                <w:rFonts w:hint="default" w:ascii="Times New Roman" w:hAnsi="Times New Roman" w:eastAsia="var(--dsw-font-markdown-table)" w:cs="Times New Roman"/>
                <w:i w:val="0"/>
                <w:iCs w:val="0"/>
                <w:caps w:val="0"/>
                <w:color w:val="0F1115"/>
                <w:spacing w:val="0"/>
                <w:sz w:val="20"/>
                <w:szCs w:val="20"/>
              </w:rPr>
            </w:pPr>
          </w:p>
        </w:tc>
      </w:tr>
      <w:tr w14:paraId="56C8133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5C902CFB">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007A5D02">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3.4 Enteral nutrition (EN)</w:t>
            </w:r>
          </w:p>
        </w:tc>
        <w:tc>
          <w:tcPr>
            <w:tcW w:w="6416" w:type="dxa"/>
            <w:tcBorders>
              <w:tl2br w:val="nil"/>
              <w:tr2bl w:val="nil"/>
            </w:tcBorders>
            <w:shd w:val="clear" w:color="auto" w:fill="FFFFFF"/>
            <w:tcMar>
              <w:top w:w="75" w:type="dxa"/>
              <w:left w:w="120" w:type="dxa"/>
              <w:bottom w:w="75" w:type="dxa"/>
              <w:right w:w="120" w:type="dxa"/>
            </w:tcMar>
            <w:vAlign w:val="center"/>
          </w:tcPr>
          <w:p w14:paraId="668BF01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3.4.1 When oral intake is not possible or ONS cannot meet nutritional requirements, EN should be provided promptly.</w:t>
            </w:r>
          </w:p>
        </w:tc>
        <w:tc>
          <w:tcPr>
            <w:tcW w:w="3041" w:type="dxa"/>
            <w:tcBorders>
              <w:tl2br w:val="nil"/>
              <w:tr2bl w:val="nil"/>
            </w:tcBorders>
            <w:shd w:val="clear" w:color="auto" w:fill="FFFFFF"/>
            <w:tcMar>
              <w:top w:w="75" w:type="dxa"/>
              <w:left w:w="120" w:type="dxa"/>
              <w:bottom w:w="75" w:type="dxa"/>
              <w:right w:w="120" w:type="dxa"/>
            </w:tcMar>
            <w:vAlign w:val="center"/>
          </w:tcPr>
          <w:p w14:paraId="69C94C6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A9F1595">
            <w:pPr>
              <w:rPr>
                <w:rFonts w:hint="default" w:ascii="Times New Roman" w:hAnsi="Times New Roman" w:eastAsia="var(--dsw-font-markdown-table)" w:cs="Times New Roman"/>
                <w:i w:val="0"/>
                <w:iCs w:val="0"/>
                <w:caps w:val="0"/>
                <w:color w:val="0F1115"/>
                <w:spacing w:val="0"/>
                <w:sz w:val="20"/>
                <w:szCs w:val="20"/>
              </w:rPr>
            </w:pPr>
          </w:p>
        </w:tc>
      </w:tr>
      <w:tr w14:paraId="5B79DEA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6456B15">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1EC2520E">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138B65C3">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3.4.2 For short</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term EN (&lt;4 weeks), a nasogastric tube is preferred. For children intolerant to nasogastric tubes or at high risk of regurgitation/aspiration, a nasojejunal tube is used. For children after abdominal surgery, with persistent high gastric residual volume, or unable to tolerate full</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volume EN, a nasojejunal tube is preferred. For long</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term EN (&gt;4 weeks), PEG or PEJ is considered when conditions permit.</w:t>
            </w:r>
          </w:p>
        </w:tc>
        <w:tc>
          <w:tcPr>
            <w:tcW w:w="3041" w:type="dxa"/>
            <w:tcBorders>
              <w:tl2br w:val="nil"/>
              <w:tr2bl w:val="nil"/>
            </w:tcBorders>
            <w:shd w:val="clear" w:color="auto" w:fill="FFFFFF"/>
            <w:tcMar>
              <w:top w:w="75" w:type="dxa"/>
              <w:left w:w="120" w:type="dxa"/>
              <w:bottom w:w="75" w:type="dxa"/>
              <w:right w:w="120" w:type="dxa"/>
            </w:tcMar>
            <w:vAlign w:val="center"/>
          </w:tcPr>
          <w:p w14:paraId="085981A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11F0A0F2">
            <w:pPr>
              <w:rPr>
                <w:rFonts w:hint="default" w:ascii="Times New Roman" w:hAnsi="Times New Roman" w:eastAsia="var(--dsw-font-markdown-table)" w:cs="Times New Roman"/>
                <w:i w:val="0"/>
                <w:iCs w:val="0"/>
                <w:caps w:val="0"/>
                <w:color w:val="0F1115"/>
                <w:spacing w:val="0"/>
                <w:sz w:val="20"/>
                <w:szCs w:val="20"/>
              </w:rPr>
            </w:pPr>
          </w:p>
        </w:tc>
      </w:tr>
      <w:tr w14:paraId="7FF8C82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7CF09E6">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7E893DBB">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788D02E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3.4.3 EN formulas should be started at a low dose and low concentration, following a gradual increase principle.</w:t>
            </w:r>
          </w:p>
        </w:tc>
        <w:tc>
          <w:tcPr>
            <w:tcW w:w="3041" w:type="dxa"/>
            <w:tcBorders>
              <w:tl2br w:val="nil"/>
              <w:tr2bl w:val="nil"/>
            </w:tcBorders>
            <w:shd w:val="clear" w:color="auto" w:fill="FFFFFF"/>
            <w:tcMar>
              <w:top w:w="75" w:type="dxa"/>
              <w:left w:w="120" w:type="dxa"/>
              <w:bottom w:w="75" w:type="dxa"/>
              <w:right w:w="120" w:type="dxa"/>
            </w:tcMar>
            <w:vAlign w:val="center"/>
          </w:tcPr>
          <w:p w14:paraId="577F4C8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6E622F9E">
            <w:pPr>
              <w:rPr>
                <w:rFonts w:hint="default" w:ascii="Times New Roman" w:hAnsi="Times New Roman" w:eastAsia="var(--dsw-font-markdown-table)" w:cs="Times New Roman"/>
                <w:i w:val="0"/>
                <w:iCs w:val="0"/>
                <w:caps w:val="0"/>
                <w:color w:val="0F1115"/>
                <w:spacing w:val="0"/>
                <w:sz w:val="20"/>
                <w:szCs w:val="20"/>
              </w:rPr>
            </w:pPr>
          </w:p>
        </w:tc>
      </w:tr>
      <w:tr w14:paraId="7247C8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A112273">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231E43E0">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54DACBE4">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3.4.4 EN formulas should be warmed to 37–40 °C using a thermostat; the osmolality of the formula should be &lt;330 mmol/L to reduce diarrhoea. Use a feeding pump for continuous infusion, elevate the head of the bed by 30–45°, and maintain a semi</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recumbent position for 30 minutes after infusion.</w:t>
            </w:r>
          </w:p>
        </w:tc>
        <w:tc>
          <w:tcPr>
            <w:tcW w:w="3041" w:type="dxa"/>
            <w:tcBorders>
              <w:tl2br w:val="nil"/>
              <w:tr2bl w:val="nil"/>
            </w:tcBorders>
            <w:shd w:val="clear" w:color="auto" w:fill="FFFFFF"/>
            <w:tcMar>
              <w:top w:w="75" w:type="dxa"/>
              <w:left w:w="120" w:type="dxa"/>
              <w:bottom w:w="75" w:type="dxa"/>
              <w:right w:w="120" w:type="dxa"/>
            </w:tcMar>
            <w:vAlign w:val="center"/>
          </w:tcPr>
          <w:p w14:paraId="2589BA19">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770E1884">
            <w:pPr>
              <w:rPr>
                <w:rFonts w:hint="default" w:ascii="Times New Roman" w:hAnsi="Times New Roman" w:eastAsia="var(--dsw-font-markdown-table)" w:cs="Times New Roman"/>
                <w:i w:val="0"/>
                <w:iCs w:val="0"/>
                <w:caps w:val="0"/>
                <w:color w:val="0F1115"/>
                <w:spacing w:val="0"/>
                <w:sz w:val="20"/>
                <w:szCs w:val="20"/>
              </w:rPr>
            </w:pPr>
          </w:p>
        </w:tc>
      </w:tr>
      <w:tr w14:paraId="356D67D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23700107">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3698A742">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09AA1E9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lang w:val="en-US"/>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3.4.5 EN monitoring:</w:t>
            </w:r>
            <w:r>
              <w:rPr>
                <w:rFonts w:hint="eastAsia" w:ascii="Times New Roman" w:hAnsi="Times New Roman" w:eastAsia="var(--dsw-font-markdown-table)" w:cs="Times New Roman"/>
                <w:i w:val="0"/>
                <w:iCs w:val="0"/>
                <w:caps w:val="0"/>
                <w:color w:val="0F1115"/>
                <w:spacing w:val="0"/>
                <w:kern w:val="0"/>
                <w:sz w:val="20"/>
                <w:szCs w:val="20"/>
                <w:lang w:val="en-US" w:eastAsia="zh-CN" w:bidi="ar"/>
              </w:rPr>
              <w:t xml:space="preserve"> </w:t>
            </w:r>
            <w:r>
              <w:rPr>
                <w:rFonts w:hint="default" w:ascii="Times New Roman" w:hAnsi="Times New Roman" w:eastAsia="var(--dsw-font-markdown-table)" w:cs="Times New Roman"/>
                <w:i w:val="0"/>
                <w:iCs w:val="0"/>
                <w:caps w:val="0"/>
                <w:color w:val="0F1115"/>
                <w:spacing w:val="0"/>
                <w:kern w:val="0"/>
                <w:sz w:val="20"/>
                <w:szCs w:val="20"/>
                <w:lang w:val="en-US" w:eastAsia="zh-CN" w:bidi="ar"/>
              </w:rPr>
              <w:t>① Monitor gastrointestinal symptoms: vomiting, abdominal pain, bloating, diarrhoea, etc. If vomiting or bloating occurs, measure gastric residual volume before each feeding.</w:t>
            </w:r>
            <w:r>
              <w:rPr>
                <w:rFonts w:hint="eastAsia" w:ascii="Times New Roman" w:hAnsi="Times New Roman" w:eastAsia="var(--dsw-font-markdown-table)" w:cs="Times New Roman"/>
                <w:i w:val="0"/>
                <w:iCs w:val="0"/>
                <w:caps w:val="0"/>
                <w:color w:val="0F1115"/>
                <w:spacing w:val="0"/>
                <w:kern w:val="0"/>
                <w:sz w:val="20"/>
                <w:szCs w:val="20"/>
                <w:lang w:val="en-US" w:eastAsia="zh-CN" w:bidi="ar"/>
              </w:rPr>
              <w:t xml:space="preserve"> </w:t>
            </w:r>
            <w:r>
              <w:rPr>
                <w:rFonts w:hint="default" w:ascii="Times New Roman" w:hAnsi="Times New Roman" w:eastAsia="var(--dsw-font-markdown-table)" w:cs="Times New Roman"/>
                <w:i w:val="0"/>
                <w:iCs w:val="0"/>
                <w:caps w:val="0"/>
                <w:color w:val="0F1115"/>
                <w:spacing w:val="0"/>
                <w:kern w:val="0"/>
                <w:sz w:val="20"/>
                <w:szCs w:val="20"/>
                <w:lang w:val="en-US" w:eastAsia="zh-CN" w:bidi="ar"/>
              </w:rPr>
              <w:t>② Monitor fluid intake and output: record daily fluid intake and output, evaluate whether the child’s requirements and balance are met.</w:t>
            </w:r>
            <w:r>
              <w:rPr>
                <w:rFonts w:hint="eastAsia" w:ascii="Times New Roman" w:hAnsi="Times New Roman" w:eastAsia="var(--dsw-font-markdown-table)" w:cs="Times New Roman"/>
                <w:i w:val="0"/>
                <w:iCs w:val="0"/>
                <w:caps w:val="0"/>
                <w:color w:val="0F1115"/>
                <w:spacing w:val="0"/>
                <w:kern w:val="0"/>
                <w:sz w:val="20"/>
                <w:szCs w:val="20"/>
                <w:lang w:val="en-US" w:eastAsia="zh-CN" w:bidi="ar"/>
              </w:rPr>
              <w:t xml:space="preserve"> </w:t>
            </w:r>
            <w:r>
              <w:rPr>
                <w:rFonts w:hint="default" w:ascii="Times New Roman" w:hAnsi="Times New Roman" w:eastAsia="var(--dsw-font-markdown-table)" w:cs="Times New Roman"/>
                <w:i w:val="0"/>
                <w:iCs w:val="0"/>
                <w:caps w:val="0"/>
                <w:color w:val="0F1115"/>
                <w:spacing w:val="0"/>
                <w:kern w:val="0"/>
                <w:sz w:val="20"/>
                <w:szCs w:val="20"/>
                <w:lang w:val="en-US" w:eastAsia="zh-CN" w:bidi="ar"/>
              </w:rPr>
              <w:t> ③ Assess nutrition delivery: based on intake, calculate the percentage of actual daily intake relative to nutritional requirements, and analyse the timing and reasons for EN discontinuation.</w:t>
            </w:r>
            <w:r>
              <w:rPr>
                <w:rFonts w:hint="eastAsia" w:ascii="Times New Roman" w:hAnsi="Times New Roman" w:eastAsia="var(--dsw-font-markdown-table)" w:cs="Times New Roman"/>
                <w:i w:val="0"/>
                <w:iCs w:val="0"/>
                <w:caps w:val="0"/>
                <w:color w:val="0F1115"/>
                <w:spacing w:val="0"/>
                <w:kern w:val="0"/>
                <w:sz w:val="20"/>
                <w:szCs w:val="20"/>
                <w:lang w:val="en-US" w:eastAsia="zh-CN" w:bidi="ar"/>
              </w:rPr>
              <w:t xml:space="preserve"> </w:t>
            </w:r>
            <w:r>
              <w:rPr>
                <w:rFonts w:hint="default" w:ascii="Times New Roman" w:hAnsi="Times New Roman" w:eastAsia="var(--dsw-font-markdown-table)" w:cs="Times New Roman"/>
                <w:i w:val="0"/>
                <w:iCs w:val="0"/>
                <w:caps w:val="0"/>
                <w:color w:val="0F1115"/>
                <w:spacing w:val="0"/>
                <w:kern w:val="0"/>
                <w:sz w:val="20"/>
                <w:szCs w:val="20"/>
                <w:lang w:val="en-US" w:eastAsia="zh-CN" w:bidi="ar"/>
              </w:rPr>
              <w:t>④ Monitor laboratory parameters: during the first week of feeding, measure complete blood count and biochemistry every 1–2 days; after stabilisation, every 1–2 weeks.</w:t>
            </w:r>
          </w:p>
        </w:tc>
        <w:tc>
          <w:tcPr>
            <w:tcW w:w="3041" w:type="dxa"/>
            <w:tcBorders>
              <w:tl2br w:val="nil"/>
              <w:tr2bl w:val="nil"/>
            </w:tcBorders>
            <w:shd w:val="clear" w:color="auto" w:fill="FFFFFF"/>
            <w:tcMar>
              <w:top w:w="75" w:type="dxa"/>
              <w:left w:w="120" w:type="dxa"/>
              <w:bottom w:w="75" w:type="dxa"/>
              <w:right w:w="120" w:type="dxa"/>
            </w:tcMar>
            <w:vAlign w:val="center"/>
          </w:tcPr>
          <w:p w14:paraId="60C09530">
            <w:pPr>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976D9CA">
            <w:pPr>
              <w:rPr>
                <w:rFonts w:hint="default" w:ascii="Times New Roman" w:hAnsi="Times New Roman" w:eastAsia="var(--dsw-font-markdown-table)" w:cs="Times New Roman"/>
                <w:i w:val="0"/>
                <w:iCs w:val="0"/>
                <w:caps w:val="0"/>
                <w:color w:val="0F1115"/>
                <w:spacing w:val="0"/>
                <w:sz w:val="20"/>
                <w:szCs w:val="20"/>
              </w:rPr>
            </w:pPr>
          </w:p>
        </w:tc>
      </w:tr>
      <w:tr w14:paraId="355C0C5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4DEDA95B">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6DA96A11">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3.5 Parenteral nutrition (PN)</w:t>
            </w:r>
          </w:p>
        </w:tc>
        <w:tc>
          <w:tcPr>
            <w:tcW w:w="6416" w:type="dxa"/>
            <w:tcBorders>
              <w:tl2br w:val="nil"/>
              <w:tr2bl w:val="nil"/>
            </w:tcBorders>
            <w:shd w:val="clear" w:color="auto" w:fill="FFFFFF"/>
            <w:tcMar>
              <w:top w:w="75" w:type="dxa"/>
              <w:left w:w="120" w:type="dxa"/>
              <w:bottom w:w="75" w:type="dxa"/>
              <w:right w:w="120" w:type="dxa"/>
            </w:tcMar>
            <w:vAlign w:val="center"/>
          </w:tcPr>
          <w:p w14:paraId="1B2229A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3.5.1 EN is the first choice for nutrition therapy in paediatric cancer patients. For critically ill or children receiving high</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dose chemotherapy with high risk, when oral and gastrointestinal supplements cannot meet nutritional needs, PN is recommended, but should be discontinued as soon as gastrointestinal function recovers.</w:t>
            </w:r>
          </w:p>
        </w:tc>
        <w:tc>
          <w:tcPr>
            <w:tcW w:w="3041" w:type="dxa"/>
            <w:tcBorders>
              <w:tl2br w:val="nil"/>
              <w:tr2bl w:val="nil"/>
            </w:tcBorders>
            <w:shd w:val="clear" w:color="auto" w:fill="FFFFFF"/>
            <w:tcMar>
              <w:top w:w="75" w:type="dxa"/>
              <w:left w:w="120" w:type="dxa"/>
              <w:bottom w:w="75" w:type="dxa"/>
              <w:right w:w="120" w:type="dxa"/>
            </w:tcMar>
            <w:vAlign w:val="center"/>
          </w:tcPr>
          <w:p w14:paraId="70DB7CF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76F17AF">
            <w:pPr>
              <w:rPr>
                <w:rFonts w:hint="default" w:ascii="Times New Roman" w:hAnsi="Times New Roman" w:eastAsia="var(--dsw-font-markdown-table)" w:cs="Times New Roman"/>
                <w:i w:val="0"/>
                <w:iCs w:val="0"/>
                <w:caps w:val="0"/>
                <w:color w:val="0F1115"/>
                <w:spacing w:val="0"/>
                <w:sz w:val="20"/>
                <w:szCs w:val="20"/>
              </w:rPr>
            </w:pPr>
          </w:p>
        </w:tc>
      </w:tr>
      <w:tr w14:paraId="69D7E10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416A519">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46F93247">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16901A8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3.5.2 Timing of PN: when EN is contraindicated or EN cannot meet ≥60% of target energy requirements for 3–5 days, PN should be considered according to ESPEN guidelines and the five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step ladder principle.</w:t>
            </w:r>
          </w:p>
        </w:tc>
        <w:tc>
          <w:tcPr>
            <w:tcW w:w="3041" w:type="dxa"/>
            <w:tcBorders>
              <w:tl2br w:val="nil"/>
              <w:tr2bl w:val="nil"/>
            </w:tcBorders>
            <w:shd w:val="clear" w:color="auto" w:fill="FFFFFF"/>
            <w:tcMar>
              <w:top w:w="75" w:type="dxa"/>
              <w:left w:w="120" w:type="dxa"/>
              <w:bottom w:w="75" w:type="dxa"/>
              <w:right w:w="120" w:type="dxa"/>
            </w:tcMar>
            <w:vAlign w:val="center"/>
          </w:tcPr>
          <w:p w14:paraId="7F6C3FB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8BD8B43">
            <w:pPr>
              <w:rPr>
                <w:rFonts w:hint="default" w:ascii="Times New Roman" w:hAnsi="Times New Roman" w:eastAsia="var(--dsw-font-markdown-table)" w:cs="Times New Roman"/>
                <w:i w:val="0"/>
                <w:iCs w:val="0"/>
                <w:caps w:val="0"/>
                <w:color w:val="0F1115"/>
                <w:spacing w:val="0"/>
                <w:sz w:val="20"/>
                <w:szCs w:val="20"/>
              </w:rPr>
            </w:pPr>
          </w:p>
        </w:tc>
      </w:tr>
      <w:tr w14:paraId="0FBE0486">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A470E0B">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5E2C3270">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40A06174">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3.5.3 Monitor PN</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related complications: mechanical or device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related complications, infections, metabolic complications, electrolyte and acid</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base imbalances, drug interactions, intestinal failure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associated liver disease, and refeeding syndrome.</w:t>
            </w:r>
          </w:p>
        </w:tc>
        <w:tc>
          <w:tcPr>
            <w:tcW w:w="3041" w:type="dxa"/>
            <w:tcBorders>
              <w:tl2br w:val="nil"/>
              <w:tr2bl w:val="nil"/>
            </w:tcBorders>
            <w:shd w:val="clear" w:color="auto" w:fill="FFFFFF"/>
            <w:tcMar>
              <w:top w:w="75" w:type="dxa"/>
              <w:left w:w="120" w:type="dxa"/>
              <w:bottom w:w="75" w:type="dxa"/>
              <w:right w:w="120" w:type="dxa"/>
            </w:tcMar>
            <w:vAlign w:val="center"/>
          </w:tcPr>
          <w:p w14:paraId="2F4D4654">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7690A6B0">
            <w:pPr>
              <w:rPr>
                <w:rFonts w:hint="default" w:ascii="Times New Roman" w:hAnsi="Times New Roman" w:eastAsia="var(--dsw-font-markdown-table)" w:cs="Times New Roman"/>
                <w:i w:val="0"/>
                <w:iCs w:val="0"/>
                <w:caps w:val="0"/>
                <w:color w:val="0F1115"/>
                <w:spacing w:val="0"/>
                <w:sz w:val="20"/>
                <w:szCs w:val="20"/>
              </w:rPr>
            </w:pPr>
          </w:p>
        </w:tc>
      </w:tr>
      <w:tr w14:paraId="71960A3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6442572F">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5C79D264">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3.6 Exercise intervention</w:t>
            </w:r>
          </w:p>
        </w:tc>
        <w:tc>
          <w:tcPr>
            <w:tcW w:w="6416" w:type="dxa"/>
            <w:tcBorders>
              <w:tl2br w:val="nil"/>
              <w:tr2bl w:val="nil"/>
            </w:tcBorders>
            <w:shd w:val="clear" w:color="auto" w:fill="FFFFFF"/>
            <w:tcMar>
              <w:top w:w="75" w:type="dxa"/>
              <w:left w:w="120" w:type="dxa"/>
              <w:bottom w:w="75" w:type="dxa"/>
              <w:right w:w="120" w:type="dxa"/>
            </w:tcMar>
            <w:vAlign w:val="center"/>
          </w:tcPr>
          <w:p w14:paraId="458F9451">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3.6.1 Type of exercise: combine resistance training with aerobic exercise.</w:t>
            </w:r>
          </w:p>
        </w:tc>
        <w:tc>
          <w:tcPr>
            <w:tcW w:w="3041" w:type="dxa"/>
            <w:tcBorders>
              <w:tl2br w:val="nil"/>
              <w:tr2bl w:val="nil"/>
            </w:tcBorders>
            <w:shd w:val="clear" w:color="auto" w:fill="FFFFFF"/>
            <w:tcMar>
              <w:top w:w="75" w:type="dxa"/>
              <w:left w:w="120" w:type="dxa"/>
              <w:bottom w:w="75" w:type="dxa"/>
              <w:right w:w="120" w:type="dxa"/>
            </w:tcMar>
            <w:vAlign w:val="center"/>
          </w:tcPr>
          <w:p w14:paraId="7A17E385">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62E6BF96">
            <w:pPr>
              <w:rPr>
                <w:rFonts w:hint="default" w:ascii="Times New Roman" w:hAnsi="Times New Roman" w:eastAsia="var(--dsw-font-markdown-table)" w:cs="Times New Roman"/>
                <w:i w:val="0"/>
                <w:iCs w:val="0"/>
                <w:caps w:val="0"/>
                <w:color w:val="0F1115"/>
                <w:spacing w:val="0"/>
                <w:sz w:val="20"/>
                <w:szCs w:val="20"/>
              </w:rPr>
            </w:pPr>
          </w:p>
        </w:tc>
      </w:tr>
      <w:tr w14:paraId="75D0FC5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385582B5">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563D5361">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5C053A5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3.6.2 Exercise intensity: under supervision of a caregiver, low</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to</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moderate intensity training is recommended, with intensity adjusted according to health status and physical function, based on the child’s tolerance.</w:t>
            </w:r>
          </w:p>
        </w:tc>
        <w:tc>
          <w:tcPr>
            <w:tcW w:w="3041" w:type="dxa"/>
            <w:tcBorders>
              <w:tl2br w:val="nil"/>
              <w:tr2bl w:val="nil"/>
            </w:tcBorders>
            <w:shd w:val="clear" w:color="auto" w:fill="FFFFFF"/>
            <w:tcMar>
              <w:top w:w="75" w:type="dxa"/>
              <w:left w:w="120" w:type="dxa"/>
              <w:bottom w:w="75" w:type="dxa"/>
              <w:right w:w="120" w:type="dxa"/>
            </w:tcMar>
            <w:vAlign w:val="center"/>
          </w:tcPr>
          <w:p w14:paraId="6AA99EC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E9DF229">
            <w:pPr>
              <w:rPr>
                <w:rFonts w:hint="default" w:ascii="Times New Roman" w:hAnsi="Times New Roman" w:eastAsia="var(--dsw-font-markdown-table)" w:cs="Times New Roman"/>
                <w:i w:val="0"/>
                <w:iCs w:val="0"/>
                <w:caps w:val="0"/>
                <w:color w:val="0F1115"/>
                <w:spacing w:val="0"/>
                <w:sz w:val="20"/>
                <w:szCs w:val="20"/>
              </w:rPr>
            </w:pPr>
          </w:p>
        </w:tc>
      </w:tr>
      <w:tr w14:paraId="14DC0FF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69D4F828">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71FE085F">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05D526E2">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3.6.3 Frequency and duration: 3 times per week, 10–30 minutes each session.</w:t>
            </w:r>
          </w:p>
        </w:tc>
        <w:tc>
          <w:tcPr>
            <w:tcW w:w="3041" w:type="dxa"/>
            <w:tcBorders>
              <w:tl2br w:val="nil"/>
              <w:tr2bl w:val="nil"/>
            </w:tcBorders>
            <w:shd w:val="clear" w:color="auto" w:fill="FFFFFF"/>
            <w:tcMar>
              <w:top w:w="75" w:type="dxa"/>
              <w:left w:w="120" w:type="dxa"/>
              <w:bottom w:w="75" w:type="dxa"/>
              <w:right w:w="120" w:type="dxa"/>
            </w:tcMar>
            <w:vAlign w:val="center"/>
          </w:tcPr>
          <w:p w14:paraId="0011B31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5B47471C">
            <w:pPr>
              <w:rPr>
                <w:rFonts w:hint="default" w:ascii="Times New Roman" w:hAnsi="Times New Roman" w:eastAsia="var(--dsw-font-markdown-table)" w:cs="Times New Roman"/>
                <w:i w:val="0"/>
                <w:iCs w:val="0"/>
                <w:caps w:val="0"/>
                <w:color w:val="0F1115"/>
                <w:spacing w:val="0"/>
                <w:sz w:val="20"/>
                <w:szCs w:val="20"/>
              </w:rPr>
            </w:pPr>
          </w:p>
        </w:tc>
      </w:tr>
      <w:tr w14:paraId="75A4523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69154202">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6B048C6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3.7 Psychological care</w:t>
            </w:r>
          </w:p>
        </w:tc>
        <w:tc>
          <w:tcPr>
            <w:tcW w:w="6416" w:type="dxa"/>
            <w:tcBorders>
              <w:tl2br w:val="nil"/>
              <w:tr2bl w:val="nil"/>
            </w:tcBorders>
            <w:shd w:val="clear" w:color="auto" w:fill="FFFFFF"/>
            <w:tcMar>
              <w:top w:w="75" w:type="dxa"/>
              <w:left w:w="120" w:type="dxa"/>
              <w:bottom w:w="75" w:type="dxa"/>
              <w:right w:w="120" w:type="dxa"/>
            </w:tcMar>
            <w:vAlign w:val="center"/>
          </w:tcPr>
          <w:p w14:paraId="1A2918CD">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3.7.1 Throughout treatment, continuously monitor emotional changes in children and their caregivers, especially during the initial diagnosis period. Provide psychological support to help them build confidence in overcoming the disease and establish realistic psychological expectations.</w:t>
            </w:r>
          </w:p>
        </w:tc>
        <w:tc>
          <w:tcPr>
            <w:tcW w:w="3041" w:type="dxa"/>
            <w:tcBorders>
              <w:tl2br w:val="nil"/>
              <w:tr2bl w:val="nil"/>
            </w:tcBorders>
            <w:shd w:val="clear" w:color="auto" w:fill="FFFFFF"/>
            <w:tcMar>
              <w:top w:w="75" w:type="dxa"/>
              <w:left w:w="120" w:type="dxa"/>
              <w:bottom w:w="75" w:type="dxa"/>
              <w:right w:w="120" w:type="dxa"/>
            </w:tcMar>
            <w:vAlign w:val="center"/>
          </w:tcPr>
          <w:p w14:paraId="4CF04F75">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9639B82">
            <w:pPr>
              <w:rPr>
                <w:rFonts w:hint="default" w:ascii="Times New Roman" w:hAnsi="Times New Roman" w:eastAsia="var(--dsw-font-markdown-table)" w:cs="Times New Roman"/>
                <w:i w:val="0"/>
                <w:iCs w:val="0"/>
                <w:caps w:val="0"/>
                <w:color w:val="0F1115"/>
                <w:spacing w:val="0"/>
                <w:sz w:val="20"/>
                <w:szCs w:val="20"/>
              </w:rPr>
            </w:pPr>
          </w:p>
        </w:tc>
      </w:tr>
      <w:tr w14:paraId="2294709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EBFC3B5">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78AB5F07">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13DDB747">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3.7.2 A psychotherapist should organise monthly psychological support lectures and counselling activities.</w:t>
            </w:r>
          </w:p>
        </w:tc>
        <w:tc>
          <w:tcPr>
            <w:tcW w:w="3041" w:type="dxa"/>
            <w:tcBorders>
              <w:tl2br w:val="nil"/>
              <w:tr2bl w:val="nil"/>
            </w:tcBorders>
            <w:shd w:val="clear" w:color="auto" w:fill="FFFFFF"/>
            <w:tcMar>
              <w:top w:w="75" w:type="dxa"/>
              <w:left w:w="120" w:type="dxa"/>
              <w:bottom w:w="75" w:type="dxa"/>
              <w:right w:w="120" w:type="dxa"/>
            </w:tcMar>
            <w:vAlign w:val="center"/>
          </w:tcPr>
          <w:p w14:paraId="00B47FA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E4E5CC3">
            <w:pPr>
              <w:rPr>
                <w:rFonts w:hint="default" w:ascii="Times New Roman" w:hAnsi="Times New Roman" w:eastAsia="var(--dsw-font-markdown-table)" w:cs="Times New Roman"/>
                <w:i w:val="0"/>
                <w:iCs w:val="0"/>
                <w:caps w:val="0"/>
                <w:color w:val="0F1115"/>
                <w:spacing w:val="0"/>
                <w:sz w:val="20"/>
                <w:szCs w:val="20"/>
              </w:rPr>
            </w:pPr>
          </w:p>
        </w:tc>
      </w:tr>
      <w:tr w14:paraId="140B500B">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5DD51BF4">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4EAF1933">
            <w:pPr>
              <w:rPr>
                <w:rFonts w:hint="default" w:ascii="Times New Roman" w:hAnsi="Times New Roman" w:eastAsia="var(--dsw-font-markdown-table)" w:cs="Times New Roman"/>
                <w:i w:val="0"/>
                <w:iCs w:val="0"/>
                <w:caps w:val="0"/>
                <w:color w:val="0F1115"/>
                <w:spacing w:val="0"/>
                <w:sz w:val="20"/>
                <w:szCs w:val="20"/>
              </w:rPr>
            </w:pPr>
          </w:p>
        </w:tc>
        <w:tc>
          <w:tcPr>
            <w:tcW w:w="6416" w:type="dxa"/>
            <w:tcBorders>
              <w:tl2br w:val="nil"/>
              <w:tr2bl w:val="nil"/>
            </w:tcBorders>
            <w:shd w:val="clear" w:color="auto" w:fill="FFFFFF"/>
            <w:tcMar>
              <w:top w:w="75" w:type="dxa"/>
              <w:left w:w="120" w:type="dxa"/>
              <w:bottom w:w="75" w:type="dxa"/>
              <w:right w:w="120" w:type="dxa"/>
            </w:tcMar>
            <w:vAlign w:val="center"/>
          </w:tcPr>
          <w:p w14:paraId="4760A4F9">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3.7.3 A medical social worker should organise weekly medical play therapy sessions and relaxing activities such as flower arranging, handicrafts, and picture</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book reading.</w:t>
            </w:r>
          </w:p>
        </w:tc>
        <w:tc>
          <w:tcPr>
            <w:tcW w:w="3041" w:type="dxa"/>
            <w:tcBorders>
              <w:tl2br w:val="nil"/>
              <w:tr2bl w:val="nil"/>
            </w:tcBorders>
            <w:shd w:val="clear" w:color="auto" w:fill="FFFFFF"/>
            <w:tcMar>
              <w:top w:w="75" w:type="dxa"/>
              <w:left w:w="120" w:type="dxa"/>
              <w:bottom w:w="75" w:type="dxa"/>
              <w:right w:w="120" w:type="dxa"/>
            </w:tcMar>
            <w:vAlign w:val="center"/>
          </w:tcPr>
          <w:p w14:paraId="485A1020">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6BC5828D">
            <w:pPr>
              <w:rPr>
                <w:rFonts w:hint="default" w:ascii="Times New Roman" w:hAnsi="Times New Roman" w:eastAsia="var(--dsw-font-markdown-table)" w:cs="Times New Roman"/>
                <w:i w:val="0"/>
                <w:iCs w:val="0"/>
                <w:caps w:val="0"/>
                <w:color w:val="0F1115"/>
                <w:spacing w:val="0"/>
                <w:sz w:val="20"/>
                <w:szCs w:val="20"/>
              </w:rPr>
            </w:pPr>
          </w:p>
        </w:tc>
      </w:tr>
      <w:tr w14:paraId="3AD78B4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864" w:hRule="atLeast"/>
        </w:trPr>
        <w:tc>
          <w:tcPr>
            <w:tcW w:w="1650" w:type="dxa"/>
            <w:tcBorders>
              <w:tl2br w:val="nil"/>
              <w:tr2bl w:val="nil"/>
            </w:tcBorders>
            <w:shd w:val="clear" w:color="auto" w:fill="FFFFFF"/>
            <w:tcMar>
              <w:top w:w="75" w:type="dxa"/>
              <w:left w:w="0" w:type="dxa"/>
              <w:bottom w:w="75" w:type="dxa"/>
              <w:right w:w="120" w:type="dxa"/>
            </w:tcMar>
            <w:vAlign w:val="center"/>
          </w:tcPr>
          <w:p w14:paraId="3AE8155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Items to be added</w:t>
            </w:r>
          </w:p>
        </w:tc>
        <w:tc>
          <w:tcPr>
            <w:tcW w:w="13091" w:type="dxa"/>
            <w:gridSpan w:val="4"/>
            <w:tcBorders>
              <w:tl2br w:val="nil"/>
              <w:tr2bl w:val="nil"/>
            </w:tcBorders>
            <w:shd w:val="clear" w:color="auto" w:fill="FFFFFF"/>
            <w:tcMar>
              <w:top w:w="75" w:type="dxa"/>
              <w:left w:w="120" w:type="dxa"/>
              <w:bottom w:w="75" w:type="dxa"/>
              <w:right w:w="120" w:type="dxa"/>
            </w:tcMar>
            <w:vAlign w:val="center"/>
          </w:tcPr>
          <w:p w14:paraId="38F94A6F">
            <w:pPr>
              <w:rPr>
                <w:rFonts w:hint="default" w:ascii="Times New Roman" w:hAnsi="Times New Roman" w:eastAsia="var(--dsw-font-markdown-table)" w:cs="Times New Roman"/>
                <w:i w:val="0"/>
                <w:iCs w:val="0"/>
                <w:caps w:val="0"/>
                <w:color w:val="0F1115"/>
                <w:spacing w:val="0"/>
                <w:sz w:val="20"/>
                <w:szCs w:val="20"/>
              </w:rPr>
            </w:pPr>
          </w:p>
        </w:tc>
      </w:tr>
      <w:tr w14:paraId="1E10C3C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1EE955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4. Health education</w:t>
            </w:r>
          </w:p>
        </w:tc>
        <w:tc>
          <w:tcPr>
            <w:tcW w:w="2366" w:type="dxa"/>
            <w:tcBorders>
              <w:tl2br w:val="nil"/>
              <w:tr2bl w:val="nil"/>
            </w:tcBorders>
            <w:shd w:val="clear" w:color="auto" w:fill="FFFFFF"/>
            <w:tcMar>
              <w:top w:w="75" w:type="dxa"/>
              <w:left w:w="120" w:type="dxa"/>
              <w:bottom w:w="75" w:type="dxa"/>
              <w:right w:w="120" w:type="dxa"/>
            </w:tcMar>
            <w:vAlign w:val="center"/>
          </w:tcPr>
          <w:p w14:paraId="6F1A98D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4.1 Content of health education</w:t>
            </w:r>
          </w:p>
        </w:tc>
        <w:tc>
          <w:tcPr>
            <w:tcW w:w="6416" w:type="dxa"/>
            <w:tcBorders>
              <w:tl2br w:val="nil"/>
              <w:tr2bl w:val="nil"/>
            </w:tcBorders>
            <w:shd w:val="clear" w:color="auto" w:fill="FFFFFF"/>
            <w:tcMar>
              <w:top w:w="75" w:type="dxa"/>
              <w:left w:w="120" w:type="dxa"/>
              <w:bottom w:w="75" w:type="dxa"/>
              <w:right w:w="120" w:type="dxa"/>
            </w:tcMar>
            <w:vAlign w:val="center"/>
          </w:tcPr>
          <w:p w14:paraId="1977154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4.1.1 Provide detailed guidance covering the entire nutrition management process, focusing on both daily diet and therapeutic diet, ensuring specific and practical health education content for children and caregivers.</w:t>
            </w:r>
          </w:p>
        </w:tc>
        <w:tc>
          <w:tcPr>
            <w:tcW w:w="3041" w:type="dxa"/>
            <w:tcBorders>
              <w:tl2br w:val="nil"/>
              <w:tr2bl w:val="nil"/>
            </w:tcBorders>
            <w:shd w:val="clear" w:color="auto" w:fill="FFFFFF"/>
            <w:tcMar>
              <w:top w:w="75" w:type="dxa"/>
              <w:left w:w="120" w:type="dxa"/>
              <w:bottom w:w="75" w:type="dxa"/>
              <w:right w:w="120" w:type="dxa"/>
            </w:tcMar>
            <w:vAlign w:val="center"/>
          </w:tcPr>
          <w:p w14:paraId="3516EF0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42B53BBB">
            <w:pPr>
              <w:rPr>
                <w:rFonts w:hint="default" w:ascii="Times New Roman" w:hAnsi="Times New Roman" w:eastAsia="var(--dsw-font-markdown-table)" w:cs="Times New Roman"/>
                <w:i w:val="0"/>
                <w:iCs w:val="0"/>
                <w:caps w:val="0"/>
                <w:color w:val="0F1115"/>
                <w:spacing w:val="0"/>
                <w:sz w:val="20"/>
                <w:szCs w:val="20"/>
              </w:rPr>
            </w:pPr>
          </w:p>
        </w:tc>
      </w:tr>
      <w:tr w14:paraId="6F55D684">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B4957EC">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726B8662">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4.2 Format of health education</w:t>
            </w:r>
          </w:p>
        </w:tc>
        <w:tc>
          <w:tcPr>
            <w:tcW w:w="6416" w:type="dxa"/>
            <w:tcBorders>
              <w:tl2br w:val="nil"/>
              <w:tr2bl w:val="nil"/>
            </w:tcBorders>
            <w:shd w:val="clear" w:color="auto" w:fill="FFFFFF"/>
            <w:tcMar>
              <w:top w:w="75" w:type="dxa"/>
              <w:left w:w="120" w:type="dxa"/>
              <w:bottom w:w="75" w:type="dxa"/>
              <w:right w:w="120" w:type="dxa"/>
            </w:tcMar>
            <w:vAlign w:val="center"/>
          </w:tcPr>
          <w:p w14:paraId="4AD6BBA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4.2.1 Use diverse formats such as health lectures, patient</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doctor exchange meetings, parent classes, peer education, distribution of nutrition education videos and infographics to strengthen nutrition management awareness among children and caregivers and improve adherence.</w:t>
            </w:r>
          </w:p>
        </w:tc>
        <w:tc>
          <w:tcPr>
            <w:tcW w:w="3041" w:type="dxa"/>
            <w:tcBorders>
              <w:tl2br w:val="nil"/>
              <w:tr2bl w:val="nil"/>
            </w:tcBorders>
            <w:shd w:val="clear" w:color="auto" w:fill="FFFFFF"/>
            <w:tcMar>
              <w:top w:w="75" w:type="dxa"/>
              <w:left w:w="120" w:type="dxa"/>
              <w:bottom w:w="75" w:type="dxa"/>
              <w:right w:w="120" w:type="dxa"/>
            </w:tcMar>
            <w:vAlign w:val="center"/>
          </w:tcPr>
          <w:p w14:paraId="46F1889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08800873">
            <w:pPr>
              <w:rPr>
                <w:rFonts w:hint="default" w:ascii="Times New Roman" w:hAnsi="Times New Roman" w:eastAsia="var(--dsw-font-markdown-table)" w:cs="Times New Roman"/>
                <w:i w:val="0"/>
                <w:iCs w:val="0"/>
                <w:caps w:val="0"/>
                <w:color w:val="0F1115"/>
                <w:spacing w:val="0"/>
                <w:sz w:val="20"/>
                <w:szCs w:val="20"/>
              </w:rPr>
            </w:pPr>
          </w:p>
        </w:tc>
      </w:tr>
      <w:tr w14:paraId="614B961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F6ECAAB">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3F9E9F8A">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4.3 Channels of health education</w:t>
            </w:r>
          </w:p>
        </w:tc>
        <w:tc>
          <w:tcPr>
            <w:tcW w:w="6416" w:type="dxa"/>
            <w:tcBorders>
              <w:tl2br w:val="nil"/>
              <w:tr2bl w:val="nil"/>
            </w:tcBorders>
            <w:shd w:val="clear" w:color="auto" w:fill="FFFFFF"/>
            <w:tcMar>
              <w:top w:w="75" w:type="dxa"/>
              <w:left w:w="120" w:type="dxa"/>
              <w:bottom w:w="75" w:type="dxa"/>
              <w:right w:w="120" w:type="dxa"/>
            </w:tcMar>
            <w:vAlign w:val="center"/>
          </w:tcPr>
          <w:p w14:paraId="10102D9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4.3.1 Establish a professional nutrition knowledge dissemination system and provide information platforms with professional channels. Use a dual</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track system (online platforms + offline hospital</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outpatient</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community) to deliver diversified nutrition guidance and education through regular push notifications, online Q&amp;A, etc.</w:t>
            </w:r>
          </w:p>
        </w:tc>
        <w:tc>
          <w:tcPr>
            <w:tcW w:w="3041" w:type="dxa"/>
            <w:tcBorders>
              <w:tl2br w:val="nil"/>
              <w:tr2bl w:val="nil"/>
            </w:tcBorders>
            <w:shd w:val="clear" w:color="auto" w:fill="FFFFFF"/>
            <w:tcMar>
              <w:top w:w="75" w:type="dxa"/>
              <w:left w:w="120" w:type="dxa"/>
              <w:bottom w:w="75" w:type="dxa"/>
              <w:right w:w="120" w:type="dxa"/>
            </w:tcMar>
            <w:vAlign w:val="center"/>
          </w:tcPr>
          <w:p w14:paraId="2FE917E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51A61D94">
            <w:pPr>
              <w:rPr>
                <w:rFonts w:hint="default" w:ascii="Times New Roman" w:hAnsi="Times New Roman" w:eastAsia="var(--dsw-font-markdown-table)" w:cs="Times New Roman"/>
                <w:i w:val="0"/>
                <w:iCs w:val="0"/>
                <w:caps w:val="0"/>
                <w:color w:val="0F1115"/>
                <w:spacing w:val="0"/>
                <w:sz w:val="20"/>
                <w:szCs w:val="20"/>
              </w:rPr>
            </w:pPr>
          </w:p>
        </w:tc>
      </w:tr>
      <w:tr w14:paraId="1A7DB03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844" w:hRule="atLeast"/>
        </w:trPr>
        <w:tc>
          <w:tcPr>
            <w:tcW w:w="1650" w:type="dxa"/>
            <w:tcBorders>
              <w:tl2br w:val="nil"/>
              <w:tr2bl w:val="nil"/>
            </w:tcBorders>
            <w:shd w:val="clear" w:color="auto" w:fill="FFFFFF"/>
            <w:tcMar>
              <w:top w:w="75" w:type="dxa"/>
              <w:left w:w="0" w:type="dxa"/>
              <w:bottom w:w="75" w:type="dxa"/>
              <w:right w:w="120" w:type="dxa"/>
            </w:tcMar>
            <w:vAlign w:val="center"/>
          </w:tcPr>
          <w:p w14:paraId="1C7876B0">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Items to be added</w:t>
            </w:r>
          </w:p>
        </w:tc>
        <w:tc>
          <w:tcPr>
            <w:tcW w:w="13091" w:type="dxa"/>
            <w:gridSpan w:val="4"/>
            <w:tcBorders>
              <w:tl2br w:val="nil"/>
              <w:tr2bl w:val="nil"/>
            </w:tcBorders>
            <w:shd w:val="clear" w:color="auto" w:fill="FFFFFF"/>
            <w:tcMar>
              <w:top w:w="75" w:type="dxa"/>
              <w:left w:w="120" w:type="dxa"/>
              <w:bottom w:w="75" w:type="dxa"/>
              <w:right w:w="120" w:type="dxa"/>
            </w:tcMar>
            <w:vAlign w:val="center"/>
          </w:tcPr>
          <w:p w14:paraId="1BEFB9CE">
            <w:pPr>
              <w:rPr>
                <w:rFonts w:hint="default" w:ascii="Times New Roman" w:hAnsi="Times New Roman" w:eastAsia="var(--dsw-font-markdown-table)" w:cs="Times New Roman"/>
                <w:i w:val="0"/>
                <w:iCs w:val="0"/>
                <w:caps w:val="0"/>
                <w:color w:val="0F1115"/>
                <w:spacing w:val="0"/>
                <w:sz w:val="20"/>
                <w:szCs w:val="20"/>
              </w:rPr>
            </w:pPr>
          </w:p>
        </w:tc>
      </w:tr>
      <w:tr w14:paraId="13C04CDE">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7F36C14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5. Continuity of care</w:t>
            </w:r>
          </w:p>
        </w:tc>
        <w:tc>
          <w:tcPr>
            <w:tcW w:w="2366" w:type="dxa"/>
            <w:tcBorders>
              <w:tl2br w:val="nil"/>
              <w:tr2bl w:val="nil"/>
            </w:tcBorders>
            <w:shd w:val="clear" w:color="auto" w:fill="FFFFFF"/>
            <w:tcMar>
              <w:top w:w="75" w:type="dxa"/>
              <w:left w:w="120" w:type="dxa"/>
              <w:bottom w:w="75" w:type="dxa"/>
              <w:right w:w="120" w:type="dxa"/>
            </w:tcMar>
            <w:vAlign w:val="center"/>
          </w:tcPr>
          <w:p w14:paraId="2BABB409">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5.1 Timing of continuity of care</w:t>
            </w:r>
          </w:p>
        </w:tc>
        <w:tc>
          <w:tcPr>
            <w:tcW w:w="6416" w:type="dxa"/>
            <w:tcBorders>
              <w:tl2br w:val="nil"/>
              <w:tr2bl w:val="nil"/>
            </w:tcBorders>
            <w:shd w:val="clear" w:color="auto" w:fill="FFFFFF"/>
            <w:tcMar>
              <w:top w:w="75" w:type="dxa"/>
              <w:left w:w="120" w:type="dxa"/>
              <w:bottom w:w="75" w:type="dxa"/>
              <w:right w:w="120" w:type="dxa"/>
            </w:tcMar>
            <w:vAlign w:val="center"/>
          </w:tcPr>
          <w:p w14:paraId="7FEF0D6B">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5.1.1 Initiate continuity of care interventions 1 week after discharge. Communicate with caregivers about the frequency of follow</w:t>
            </w:r>
            <w:r>
              <w:rPr>
                <w:rFonts w:hint="default" w:ascii="Times New Roman" w:hAnsi="Times New Roman" w:eastAsia="var(--dsw-font-markdown-table)" w:cs="Times New Roman"/>
                <w:i w:val="0"/>
                <w:iCs w:val="0"/>
                <w:caps w:val="0"/>
                <w:color w:val="0F1115"/>
                <w:spacing w:val="0"/>
                <w:kern w:val="0"/>
                <w:sz w:val="20"/>
                <w:szCs w:val="20"/>
                <w:lang w:val="en-US" w:eastAsia="zh-CN" w:bidi="ar"/>
              </w:rPr>
              <w:noBreakHyphen/>
            </w:r>
            <w:r>
              <w:rPr>
                <w:rFonts w:hint="default" w:ascii="Times New Roman" w:hAnsi="Times New Roman" w:eastAsia="var(--dsw-font-markdown-table)" w:cs="Times New Roman"/>
                <w:i w:val="0"/>
                <w:iCs w:val="0"/>
                <w:caps w:val="0"/>
                <w:color w:val="0F1115"/>
                <w:spacing w:val="0"/>
                <w:kern w:val="0"/>
                <w:sz w:val="20"/>
                <w:szCs w:val="20"/>
                <w:lang w:val="en-US" w:eastAsia="zh-CN" w:bidi="ar"/>
              </w:rPr>
              <w:t>up based on the child’s nutritional status and treatment plan.</w:t>
            </w:r>
          </w:p>
        </w:tc>
        <w:tc>
          <w:tcPr>
            <w:tcW w:w="3041" w:type="dxa"/>
            <w:tcBorders>
              <w:tl2br w:val="nil"/>
              <w:tr2bl w:val="nil"/>
            </w:tcBorders>
            <w:shd w:val="clear" w:color="auto" w:fill="FFFFFF"/>
            <w:tcMar>
              <w:top w:w="75" w:type="dxa"/>
              <w:left w:w="120" w:type="dxa"/>
              <w:bottom w:w="75" w:type="dxa"/>
              <w:right w:w="120" w:type="dxa"/>
            </w:tcMar>
            <w:vAlign w:val="center"/>
          </w:tcPr>
          <w:p w14:paraId="3832E56F">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3BC0DA42">
            <w:pPr>
              <w:rPr>
                <w:rFonts w:hint="default" w:ascii="Times New Roman" w:hAnsi="Times New Roman" w:eastAsia="var(--dsw-font-markdown-table)" w:cs="Times New Roman"/>
                <w:i w:val="0"/>
                <w:iCs w:val="0"/>
                <w:caps w:val="0"/>
                <w:color w:val="0F1115"/>
                <w:spacing w:val="0"/>
                <w:sz w:val="20"/>
                <w:szCs w:val="20"/>
              </w:rPr>
            </w:pPr>
          </w:p>
        </w:tc>
      </w:tr>
      <w:tr w14:paraId="22D2547A">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0880BE32">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4916BFD2">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5.2 Format of continuity of care</w:t>
            </w:r>
          </w:p>
        </w:tc>
        <w:tc>
          <w:tcPr>
            <w:tcW w:w="6416" w:type="dxa"/>
            <w:tcBorders>
              <w:tl2br w:val="nil"/>
              <w:tr2bl w:val="nil"/>
            </w:tcBorders>
            <w:shd w:val="clear" w:color="auto" w:fill="FFFFFF"/>
            <w:tcMar>
              <w:top w:w="75" w:type="dxa"/>
              <w:left w:w="120" w:type="dxa"/>
              <w:bottom w:w="75" w:type="dxa"/>
              <w:right w:w="120" w:type="dxa"/>
            </w:tcMar>
            <w:vAlign w:val="center"/>
          </w:tcPr>
          <w:p w14:paraId="54337DAC">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5.2.1 Telephone or WeChat.</w:t>
            </w:r>
          </w:p>
        </w:tc>
        <w:tc>
          <w:tcPr>
            <w:tcW w:w="3041" w:type="dxa"/>
            <w:tcBorders>
              <w:tl2br w:val="nil"/>
              <w:tr2bl w:val="nil"/>
            </w:tcBorders>
            <w:shd w:val="clear" w:color="auto" w:fill="FFFFFF"/>
            <w:tcMar>
              <w:top w:w="75" w:type="dxa"/>
              <w:left w:w="120" w:type="dxa"/>
              <w:bottom w:w="75" w:type="dxa"/>
              <w:right w:w="120" w:type="dxa"/>
            </w:tcMar>
            <w:vAlign w:val="center"/>
          </w:tcPr>
          <w:p w14:paraId="476ABEA6">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tcMar>
              <w:top w:w="75" w:type="dxa"/>
              <w:left w:w="120" w:type="dxa"/>
              <w:bottom w:w="75" w:type="dxa"/>
              <w:right w:w="0" w:type="dxa"/>
            </w:tcMar>
            <w:vAlign w:val="center"/>
          </w:tcPr>
          <w:p w14:paraId="7BF437EE">
            <w:pPr>
              <w:rPr>
                <w:rFonts w:hint="default" w:ascii="Times New Roman" w:hAnsi="Times New Roman" w:eastAsia="var(--dsw-font-markdown-table)" w:cs="Times New Roman"/>
                <w:i w:val="0"/>
                <w:iCs w:val="0"/>
                <w:caps w:val="0"/>
                <w:color w:val="0F1115"/>
                <w:spacing w:val="0"/>
                <w:sz w:val="20"/>
                <w:szCs w:val="20"/>
              </w:rPr>
            </w:pPr>
          </w:p>
        </w:tc>
      </w:tr>
      <w:tr w14:paraId="140B329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c>
          <w:tcPr>
            <w:tcW w:w="1650" w:type="dxa"/>
            <w:tcBorders>
              <w:tl2br w:val="nil"/>
              <w:tr2bl w:val="nil"/>
            </w:tcBorders>
            <w:shd w:val="clear" w:color="auto" w:fill="FFFFFF"/>
            <w:tcMar>
              <w:top w:w="75" w:type="dxa"/>
              <w:left w:w="0" w:type="dxa"/>
              <w:bottom w:w="75" w:type="dxa"/>
              <w:right w:w="120" w:type="dxa"/>
            </w:tcMar>
            <w:vAlign w:val="center"/>
          </w:tcPr>
          <w:p w14:paraId="596008B2">
            <w:pPr>
              <w:rPr>
                <w:rFonts w:hint="default" w:ascii="Times New Roman" w:hAnsi="Times New Roman" w:eastAsia="var(--dsw-font-markdown-table)" w:cs="Times New Roman"/>
                <w:i w:val="0"/>
                <w:iCs w:val="0"/>
                <w:caps w:val="0"/>
                <w:color w:val="0F1115"/>
                <w:spacing w:val="0"/>
                <w:sz w:val="20"/>
                <w:szCs w:val="20"/>
              </w:rPr>
            </w:pPr>
          </w:p>
        </w:tc>
        <w:tc>
          <w:tcPr>
            <w:tcW w:w="2366" w:type="dxa"/>
            <w:tcBorders>
              <w:tl2br w:val="nil"/>
              <w:tr2bl w:val="nil"/>
            </w:tcBorders>
            <w:shd w:val="clear" w:color="auto" w:fill="FFFFFF"/>
            <w:tcMar>
              <w:top w:w="75" w:type="dxa"/>
              <w:left w:w="120" w:type="dxa"/>
              <w:bottom w:w="75" w:type="dxa"/>
              <w:right w:w="120" w:type="dxa"/>
            </w:tcMar>
            <w:vAlign w:val="center"/>
          </w:tcPr>
          <w:p w14:paraId="45106EE8">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5.3 Content of continuity of care</w:t>
            </w:r>
          </w:p>
        </w:tc>
        <w:tc>
          <w:tcPr>
            <w:tcW w:w="6416" w:type="dxa"/>
            <w:tcBorders>
              <w:tl2br w:val="nil"/>
              <w:tr2bl w:val="nil"/>
            </w:tcBorders>
            <w:shd w:val="clear" w:color="auto" w:fill="FFFFFF"/>
            <w:tcMar>
              <w:top w:w="75" w:type="dxa"/>
              <w:left w:w="120" w:type="dxa"/>
              <w:bottom w:w="75" w:type="dxa"/>
              <w:right w:w="120" w:type="dxa"/>
            </w:tcMar>
            <w:vAlign w:val="center"/>
          </w:tcPr>
          <w:p w14:paraId="13CB91D5">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5.3.1 Inquire about and record the child’s diet and weight changes at home, assess current care status and needs, and answer questions and concerns about nutritional care.</w:t>
            </w:r>
          </w:p>
        </w:tc>
        <w:tc>
          <w:tcPr>
            <w:tcW w:w="3041" w:type="dxa"/>
            <w:tcBorders>
              <w:tl2br w:val="nil"/>
              <w:tr2bl w:val="nil"/>
            </w:tcBorders>
            <w:shd w:val="clear" w:color="auto" w:fill="FFFFFF"/>
            <w:tcMar>
              <w:top w:w="75" w:type="dxa"/>
              <w:left w:w="120" w:type="dxa"/>
              <w:bottom w:w="75" w:type="dxa"/>
              <w:right w:w="120" w:type="dxa"/>
            </w:tcMar>
            <w:vAlign w:val="center"/>
          </w:tcPr>
          <w:p w14:paraId="79D0E762">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Fonts w:hint="default" w:ascii="Times New Roman" w:hAnsi="Times New Roman" w:eastAsia="var(--dsw-font-markdown-table)" w:cs="Times New Roman"/>
                <w:i w:val="0"/>
                <w:iCs w:val="0"/>
                <w:caps w:val="0"/>
                <w:color w:val="0F1115"/>
                <w:spacing w:val="0"/>
                <w:kern w:val="0"/>
                <w:sz w:val="20"/>
                <w:szCs w:val="20"/>
                <w:lang w:val="en-US" w:eastAsia="zh-CN" w:bidi="ar"/>
              </w:rPr>
              <w:t>□5 □4 □3 □2 □1</w:t>
            </w:r>
          </w:p>
        </w:tc>
        <w:tc>
          <w:tcPr>
            <w:tcW w:w="1268" w:type="dxa"/>
            <w:tcBorders>
              <w:tl2br w:val="nil"/>
              <w:tr2bl w:val="nil"/>
            </w:tcBorders>
            <w:shd w:val="clear" w:color="auto" w:fill="FFFFFF"/>
            <w:vAlign w:val="center"/>
          </w:tcPr>
          <w:p w14:paraId="65E35278">
            <w:pPr>
              <w:rPr>
                <w:rFonts w:hint="default" w:ascii="Times New Roman" w:hAnsi="Times New Roman" w:eastAsia="Segoe UI" w:cs="Times New Roman"/>
                <w:i w:val="0"/>
                <w:iCs w:val="0"/>
                <w:caps w:val="0"/>
                <w:color w:val="0F1115"/>
                <w:spacing w:val="0"/>
                <w:sz w:val="20"/>
                <w:szCs w:val="20"/>
              </w:rPr>
            </w:pPr>
          </w:p>
        </w:tc>
      </w:tr>
      <w:tr w14:paraId="73854451">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shd w:val="clear" w:color="auto" w:fill="FFFFFF"/>
        </w:tblPrEx>
        <w:trPr>
          <w:trHeight w:val="933" w:hRule="atLeast"/>
        </w:trPr>
        <w:tc>
          <w:tcPr>
            <w:tcW w:w="1650" w:type="dxa"/>
            <w:tcBorders>
              <w:tl2br w:val="nil"/>
              <w:tr2bl w:val="nil"/>
            </w:tcBorders>
            <w:shd w:val="clear" w:color="auto" w:fill="FFFFFF"/>
            <w:tcMar>
              <w:top w:w="75" w:type="dxa"/>
              <w:left w:w="0" w:type="dxa"/>
              <w:bottom w:w="75" w:type="dxa"/>
              <w:right w:w="120" w:type="dxa"/>
            </w:tcMar>
            <w:vAlign w:val="center"/>
          </w:tcPr>
          <w:p w14:paraId="3E7A734E">
            <w:pPr>
              <w:keepNext w:val="0"/>
              <w:keepLines w:val="0"/>
              <w:widowControl/>
              <w:suppressLineNumbers w:val="0"/>
              <w:jc w:val="left"/>
              <w:rPr>
                <w:rFonts w:hint="default" w:ascii="Times New Roman" w:hAnsi="Times New Roman" w:eastAsia="var(--dsw-font-markdown-table)" w:cs="Times New Roman"/>
                <w:i w:val="0"/>
                <w:iCs w:val="0"/>
                <w:caps w:val="0"/>
                <w:color w:val="0F1115"/>
                <w:spacing w:val="0"/>
                <w:sz w:val="20"/>
                <w:szCs w:val="20"/>
              </w:rPr>
            </w:pPr>
            <w:r>
              <w:rPr>
                <w:rStyle w:val="8"/>
                <w:rFonts w:hint="default" w:ascii="Times New Roman" w:hAnsi="Times New Roman" w:eastAsia="var(--dsw-font-markdown-table)" w:cs="Times New Roman"/>
                <w:b/>
                <w:bCs/>
                <w:i w:val="0"/>
                <w:iCs w:val="0"/>
                <w:caps w:val="0"/>
                <w:color w:val="0F1115"/>
                <w:spacing w:val="0"/>
                <w:kern w:val="0"/>
                <w:sz w:val="20"/>
                <w:szCs w:val="20"/>
                <w:lang w:val="en-US" w:eastAsia="zh-CN" w:bidi="ar"/>
              </w:rPr>
              <w:t>Items to be added</w:t>
            </w:r>
          </w:p>
        </w:tc>
        <w:tc>
          <w:tcPr>
            <w:tcW w:w="13091" w:type="dxa"/>
            <w:gridSpan w:val="4"/>
            <w:tcBorders>
              <w:tl2br w:val="nil"/>
              <w:tr2bl w:val="nil"/>
            </w:tcBorders>
            <w:shd w:val="clear" w:color="auto" w:fill="FFFFFF"/>
            <w:tcMar>
              <w:top w:w="75" w:type="dxa"/>
              <w:left w:w="120" w:type="dxa"/>
              <w:bottom w:w="75" w:type="dxa"/>
              <w:right w:w="120" w:type="dxa"/>
            </w:tcMar>
            <w:vAlign w:val="center"/>
          </w:tcPr>
          <w:p w14:paraId="678D96DD">
            <w:pPr>
              <w:rPr>
                <w:rFonts w:hint="default" w:ascii="Times New Roman" w:hAnsi="Times New Roman" w:eastAsia="Segoe UI" w:cs="Times New Roman"/>
                <w:i w:val="0"/>
                <w:iCs w:val="0"/>
                <w:caps w:val="0"/>
                <w:color w:val="0F1115"/>
                <w:spacing w:val="0"/>
                <w:sz w:val="20"/>
                <w:szCs w:val="20"/>
              </w:rPr>
            </w:pPr>
          </w:p>
        </w:tc>
      </w:tr>
    </w:tbl>
    <w:p w14:paraId="7E26B981">
      <w:pPr>
        <w:pStyle w:val="4"/>
        <w:keepNext w:val="0"/>
        <w:keepLines w:val="0"/>
        <w:widowControl/>
        <w:suppressLineNumbers w:val="0"/>
        <w:shd w:val="clear" w:fill="FFFFFF"/>
        <w:spacing w:before="120" w:beforeAutospacing="0" w:after="120" w:afterAutospacing="0"/>
        <w:ind w:left="0" w:right="0" w:firstLine="0"/>
        <w:rPr>
          <w:rFonts w:hint="default" w:ascii="Times New Roman" w:hAnsi="Times New Roman" w:eastAsia="Segoe UI" w:cs="Times New Roman"/>
          <w:i w:val="0"/>
          <w:iCs w:val="0"/>
          <w:caps w:val="0"/>
          <w:color w:val="0F1115"/>
          <w:spacing w:val="0"/>
          <w:sz w:val="20"/>
          <w:szCs w:val="20"/>
          <w:shd w:val="clear" w:fill="FFFFFF"/>
        </w:rPr>
        <w:sectPr>
          <w:pgSz w:w="16838" w:h="11906" w:orient="landscape"/>
          <w:pgMar w:top="1800" w:right="1440" w:bottom="1800" w:left="1440" w:header="851" w:footer="992" w:gutter="0"/>
          <w:pgBorders w:offsetFrom="page">
            <w:top w:val="none" w:sz="0" w:space="0"/>
            <w:left w:val="none" w:sz="0" w:space="0"/>
            <w:bottom w:val="none" w:sz="0" w:space="0"/>
            <w:right w:val="none" w:sz="0" w:space="0"/>
          </w:pgBorders>
          <w:cols w:space="425" w:num="1"/>
          <w:docGrid w:type="lines" w:linePitch="312" w:charSpace="0"/>
        </w:sectPr>
      </w:pPr>
    </w:p>
    <w:p w14:paraId="1E01475E">
      <w:pPr>
        <w:pStyle w:val="2"/>
        <w:keepNext w:val="0"/>
        <w:keepLines w:val="0"/>
        <w:pageBreakBefore w:val="0"/>
        <w:widowControl/>
        <w:suppressLineNumbers w:val="0"/>
        <w:shd w:val="clear" w:fill="FFFFFF"/>
        <w:kinsoku/>
        <w:wordWrap/>
        <w:overflowPunct/>
        <w:topLinePunct w:val="0"/>
        <w:autoSpaceDE/>
        <w:autoSpaceDN/>
        <w:bidi w:val="0"/>
        <w:adjustRightInd/>
        <w:snapToGrid/>
        <w:spacing w:before="24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Fonts w:hint="default" w:ascii="Times New Roman" w:hAnsi="Times New Roman" w:eastAsia="Segoe UI" w:cs="Times New Roman"/>
          <w:i w:val="0"/>
          <w:iCs w:val="0"/>
          <w:caps w:val="0"/>
          <w:color w:val="0F1115"/>
          <w:spacing w:val="0"/>
          <w:sz w:val="20"/>
          <w:szCs w:val="20"/>
          <w:shd w:val="clear" w:fill="FFFFFF"/>
        </w:rPr>
        <w:t>Part 3: Self</w:t>
      </w:r>
      <w:r>
        <w:rPr>
          <w:rFonts w:hint="default" w:ascii="Times New Roman" w:hAnsi="Times New Roman" w:eastAsia="Segoe UI" w:cs="Times New Roman"/>
          <w:i w:val="0"/>
          <w:iCs w:val="0"/>
          <w:caps w:val="0"/>
          <w:color w:val="0F1115"/>
          <w:spacing w:val="0"/>
          <w:sz w:val="20"/>
          <w:szCs w:val="20"/>
          <w:shd w:val="clear" w:fill="FFFFFF"/>
        </w:rPr>
        <w:noBreakHyphen/>
      </w:r>
      <w:r>
        <w:rPr>
          <w:rFonts w:hint="default" w:ascii="Times New Roman" w:hAnsi="Times New Roman" w:eastAsia="Segoe UI" w:cs="Times New Roman"/>
          <w:i w:val="0"/>
          <w:iCs w:val="0"/>
          <w:caps w:val="0"/>
          <w:color w:val="0F1115"/>
          <w:spacing w:val="0"/>
          <w:sz w:val="20"/>
          <w:szCs w:val="20"/>
          <w:shd w:val="clear" w:fill="FFFFFF"/>
        </w:rPr>
        <w:t>assessment of the expert’s basis for judgment and familiarity with the content</w:t>
      </w:r>
    </w:p>
    <w:p w14:paraId="1BEB1B6B">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sz w:val="20"/>
          <w:szCs w:val="20"/>
          <w:shd w:val="clear" w:fill="FFFFFF"/>
        </w:rPr>
        <w:t>Your familiarity with the consultation content</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Please indicate your familiarity with the content of this consultation by ticking “√” in the appropriate box.</w:t>
      </w:r>
    </w:p>
    <w:tbl>
      <w:tblPr>
        <w:tblStyle w:val="5"/>
        <w:tblW w:w="0" w:type="auto"/>
        <w:tblInd w:w="-309"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1651"/>
        <w:gridCol w:w="1185"/>
        <w:gridCol w:w="1629"/>
        <w:gridCol w:w="1485"/>
        <w:gridCol w:w="1660"/>
        <w:gridCol w:w="1125"/>
      </w:tblGrid>
      <w:tr w14:paraId="7E7EB60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1651" w:type="dxa"/>
            <w:tcBorders>
              <w:top w:val="nil"/>
            </w:tcBorders>
            <w:shd w:val="clear" w:color="auto" w:fill="auto"/>
            <w:tcMar>
              <w:top w:w="75" w:type="dxa"/>
              <w:left w:w="0" w:type="dxa"/>
              <w:bottom w:w="75" w:type="dxa"/>
              <w:right w:w="120" w:type="dxa"/>
            </w:tcMar>
            <w:vAlign w:val="center"/>
          </w:tcPr>
          <w:p w14:paraId="31BDAF3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Familiarity level</w:t>
            </w:r>
          </w:p>
        </w:tc>
        <w:tc>
          <w:tcPr>
            <w:tcW w:w="1185" w:type="dxa"/>
            <w:tcBorders>
              <w:top w:val="nil"/>
            </w:tcBorders>
            <w:shd w:val="clear" w:color="auto" w:fill="auto"/>
            <w:tcMar>
              <w:top w:w="75" w:type="dxa"/>
              <w:left w:w="120" w:type="dxa"/>
              <w:bottom w:w="75" w:type="dxa"/>
              <w:right w:w="120" w:type="dxa"/>
            </w:tcMar>
            <w:vAlign w:val="center"/>
          </w:tcPr>
          <w:p w14:paraId="38C9264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Very familiar</w:t>
            </w:r>
          </w:p>
        </w:tc>
        <w:tc>
          <w:tcPr>
            <w:tcW w:w="1629" w:type="dxa"/>
            <w:tcBorders>
              <w:top w:val="nil"/>
            </w:tcBorders>
            <w:shd w:val="clear" w:color="auto" w:fill="auto"/>
            <w:tcMar>
              <w:top w:w="75" w:type="dxa"/>
              <w:left w:w="120" w:type="dxa"/>
              <w:bottom w:w="75" w:type="dxa"/>
              <w:right w:w="120" w:type="dxa"/>
            </w:tcMar>
            <w:vAlign w:val="center"/>
          </w:tcPr>
          <w:p w14:paraId="4C041285">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Moderately familiar</w:t>
            </w:r>
          </w:p>
        </w:tc>
        <w:tc>
          <w:tcPr>
            <w:tcW w:w="1485" w:type="dxa"/>
            <w:tcBorders>
              <w:top w:val="nil"/>
            </w:tcBorders>
            <w:shd w:val="clear" w:color="auto" w:fill="auto"/>
            <w:tcMar>
              <w:top w:w="75" w:type="dxa"/>
              <w:left w:w="120" w:type="dxa"/>
              <w:bottom w:w="75" w:type="dxa"/>
              <w:right w:w="120" w:type="dxa"/>
            </w:tcMar>
            <w:vAlign w:val="center"/>
          </w:tcPr>
          <w:p w14:paraId="00F8D9F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Generally familiar</w:t>
            </w:r>
          </w:p>
        </w:tc>
        <w:tc>
          <w:tcPr>
            <w:tcW w:w="1660" w:type="dxa"/>
            <w:tcBorders>
              <w:top w:val="nil"/>
            </w:tcBorders>
            <w:shd w:val="clear" w:color="auto" w:fill="auto"/>
            <w:tcMar>
              <w:top w:w="75" w:type="dxa"/>
              <w:left w:w="120" w:type="dxa"/>
              <w:bottom w:w="75" w:type="dxa"/>
              <w:right w:w="120" w:type="dxa"/>
            </w:tcMar>
            <w:vAlign w:val="center"/>
          </w:tcPr>
          <w:p w14:paraId="7995DE1B">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Somewhat unfamiliar</w:t>
            </w:r>
          </w:p>
        </w:tc>
        <w:tc>
          <w:tcPr>
            <w:tcW w:w="1125" w:type="dxa"/>
            <w:tcBorders>
              <w:top w:val="nil"/>
            </w:tcBorders>
            <w:shd w:val="clear" w:color="auto" w:fill="auto"/>
            <w:tcMar>
              <w:top w:w="75" w:type="dxa"/>
              <w:left w:w="120" w:type="dxa"/>
              <w:bottom w:w="75" w:type="dxa"/>
              <w:right w:w="120" w:type="dxa"/>
            </w:tcMar>
            <w:vAlign w:val="center"/>
          </w:tcPr>
          <w:p w14:paraId="540BB0A2">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Not familiar</w:t>
            </w:r>
          </w:p>
        </w:tc>
      </w:tr>
      <w:tr w14:paraId="5A6F7DF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1651" w:type="dxa"/>
            <w:shd w:val="clear" w:color="auto" w:fill="auto"/>
            <w:tcMar>
              <w:top w:w="75" w:type="dxa"/>
              <w:left w:w="0" w:type="dxa"/>
              <w:bottom w:w="75" w:type="dxa"/>
              <w:right w:w="120" w:type="dxa"/>
            </w:tcMar>
            <w:vAlign w:val="center"/>
          </w:tcPr>
          <w:p w14:paraId="2431682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Expert self</w:t>
            </w:r>
            <w:r>
              <w:rPr>
                <w:rFonts w:hint="default" w:ascii="Times New Roman" w:hAnsi="Times New Roman" w:eastAsia="var(--dsw-font-markdown-table)" w:cs="Times New Roman"/>
                <w:kern w:val="0"/>
                <w:sz w:val="20"/>
                <w:szCs w:val="20"/>
                <w:lang w:val="en-US" w:eastAsia="zh-CN" w:bidi="ar"/>
              </w:rPr>
              <w:noBreakHyphen/>
            </w:r>
            <w:r>
              <w:rPr>
                <w:rFonts w:hint="default" w:ascii="Times New Roman" w:hAnsi="Times New Roman" w:eastAsia="var(--dsw-font-markdown-table)" w:cs="Times New Roman"/>
                <w:kern w:val="0"/>
                <w:sz w:val="20"/>
                <w:szCs w:val="20"/>
                <w:lang w:val="en-US" w:eastAsia="zh-CN" w:bidi="ar"/>
              </w:rPr>
              <w:t>rating</w:t>
            </w:r>
          </w:p>
        </w:tc>
        <w:tc>
          <w:tcPr>
            <w:tcW w:w="1185" w:type="dxa"/>
            <w:shd w:val="clear" w:color="auto" w:fill="auto"/>
            <w:tcMar>
              <w:top w:w="75" w:type="dxa"/>
              <w:left w:w="120" w:type="dxa"/>
              <w:bottom w:w="75" w:type="dxa"/>
              <w:right w:w="120" w:type="dxa"/>
            </w:tcMar>
            <w:vAlign w:val="center"/>
          </w:tcPr>
          <w:p w14:paraId="5097CEB7">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1629" w:type="dxa"/>
            <w:shd w:val="clear" w:color="auto" w:fill="auto"/>
            <w:tcMar>
              <w:top w:w="75" w:type="dxa"/>
              <w:left w:w="120" w:type="dxa"/>
              <w:bottom w:w="75" w:type="dxa"/>
              <w:right w:w="120" w:type="dxa"/>
            </w:tcMar>
            <w:vAlign w:val="center"/>
          </w:tcPr>
          <w:p w14:paraId="55ED92C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1485" w:type="dxa"/>
            <w:shd w:val="clear" w:color="auto" w:fill="auto"/>
            <w:tcMar>
              <w:top w:w="75" w:type="dxa"/>
              <w:left w:w="120" w:type="dxa"/>
              <w:bottom w:w="75" w:type="dxa"/>
              <w:right w:w="120" w:type="dxa"/>
            </w:tcMar>
            <w:vAlign w:val="center"/>
          </w:tcPr>
          <w:p w14:paraId="14C4AFBB">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1660" w:type="dxa"/>
            <w:shd w:val="clear" w:color="auto" w:fill="auto"/>
            <w:tcMar>
              <w:top w:w="75" w:type="dxa"/>
              <w:left w:w="120" w:type="dxa"/>
              <w:bottom w:w="75" w:type="dxa"/>
              <w:right w:w="120" w:type="dxa"/>
            </w:tcMar>
            <w:vAlign w:val="center"/>
          </w:tcPr>
          <w:p w14:paraId="2035C759">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1125" w:type="dxa"/>
            <w:shd w:val="clear" w:color="auto" w:fill="auto"/>
            <w:tcMar>
              <w:top w:w="75" w:type="dxa"/>
              <w:left w:w="120" w:type="dxa"/>
              <w:bottom w:w="75" w:type="dxa"/>
              <w:right w:w="0" w:type="dxa"/>
            </w:tcMar>
            <w:vAlign w:val="center"/>
          </w:tcPr>
          <w:p w14:paraId="76C7E82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r>
    </w:tbl>
    <w:p w14:paraId="3730A18D">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120" w:beforeAutospacing="0" w:after="120" w:afterAutospacing="0" w:line="480" w:lineRule="auto"/>
        <w:ind w:left="0" w:right="0" w:firstLine="0"/>
        <w:textAlignment w:val="auto"/>
        <w:rPr>
          <w:rFonts w:hint="default" w:ascii="Times New Roman" w:hAnsi="Times New Roman" w:eastAsia="Segoe UI" w:cs="Times New Roman"/>
          <w:i w:val="0"/>
          <w:iCs w:val="0"/>
          <w:caps w:val="0"/>
          <w:color w:val="0F1115"/>
          <w:spacing w:val="0"/>
          <w:sz w:val="20"/>
          <w:szCs w:val="20"/>
        </w:rPr>
      </w:pPr>
      <w:r>
        <w:rPr>
          <w:rStyle w:val="8"/>
          <w:rFonts w:hint="default" w:ascii="Times New Roman" w:hAnsi="Times New Roman" w:eastAsia="Segoe UI" w:cs="Times New Roman"/>
          <w:b/>
          <w:bCs/>
          <w:i w:val="0"/>
          <w:iCs w:val="0"/>
          <w:caps w:val="0"/>
          <w:color w:val="0F1115"/>
          <w:spacing w:val="0"/>
          <w:sz w:val="20"/>
          <w:szCs w:val="20"/>
          <w:shd w:val="clear" w:fill="FFFFFF"/>
        </w:rPr>
        <w:t>Basis for your judgment and its degree of influence on the importance scores</w:t>
      </w:r>
      <w:r>
        <w:rPr>
          <w:rFonts w:hint="default" w:ascii="Times New Roman" w:hAnsi="Times New Roman" w:eastAsia="Segoe UI" w:cs="Times New Roman"/>
          <w:i w:val="0"/>
          <w:iCs w:val="0"/>
          <w:caps w:val="0"/>
          <w:color w:val="0F1115"/>
          <w:spacing w:val="0"/>
          <w:sz w:val="20"/>
          <w:szCs w:val="20"/>
          <w:shd w:val="clear" w:fill="FFFFFF"/>
        </w:rPr>
        <w:br w:type="textWrapping"/>
      </w:r>
      <w:r>
        <w:rPr>
          <w:rFonts w:hint="default" w:ascii="Times New Roman" w:hAnsi="Times New Roman" w:eastAsia="Segoe UI" w:cs="Times New Roman"/>
          <w:i w:val="0"/>
          <w:iCs w:val="0"/>
          <w:caps w:val="0"/>
          <w:color w:val="0F1115"/>
          <w:spacing w:val="0"/>
          <w:sz w:val="20"/>
          <w:szCs w:val="20"/>
          <w:shd w:val="clear" w:fill="FFFFFF"/>
        </w:rPr>
        <w:t>The judgment basis refers to the grounds on which you assign importance scores to each item. Please rate the degree of influence of “theoretical analysis”, “practical experience”, “domestic/international literature”, and “intuition” on your scores, and tick “√” in the appropriate box.</w:t>
      </w:r>
    </w:p>
    <w:tbl>
      <w:tblPr>
        <w:tblStyle w:val="5"/>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15" w:type="dxa"/>
          <w:left w:w="15" w:type="dxa"/>
          <w:bottom w:w="15" w:type="dxa"/>
          <w:right w:w="15" w:type="dxa"/>
        </w:tblCellMar>
      </w:tblPr>
      <w:tblGrid>
        <w:gridCol w:w="3480"/>
        <w:gridCol w:w="1552"/>
        <w:gridCol w:w="1862"/>
        <w:gridCol w:w="1532"/>
      </w:tblGrid>
      <w:tr w14:paraId="7A8368F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rPr>
          <w:tblHeader/>
        </w:trPr>
        <w:tc>
          <w:tcPr>
            <w:tcW w:w="0" w:type="auto"/>
            <w:tcBorders>
              <w:top w:val="nil"/>
            </w:tcBorders>
            <w:shd w:val="clear" w:color="auto" w:fill="auto"/>
            <w:tcMar>
              <w:top w:w="75" w:type="dxa"/>
              <w:left w:w="0" w:type="dxa"/>
              <w:bottom w:w="75" w:type="dxa"/>
              <w:right w:w="120" w:type="dxa"/>
            </w:tcMar>
            <w:vAlign w:val="center"/>
          </w:tcPr>
          <w:p w14:paraId="10916C8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Judgment basis</w:t>
            </w:r>
          </w:p>
        </w:tc>
        <w:tc>
          <w:tcPr>
            <w:tcW w:w="0" w:type="auto"/>
            <w:tcBorders>
              <w:top w:val="nil"/>
            </w:tcBorders>
            <w:shd w:val="clear" w:color="auto" w:fill="auto"/>
            <w:tcMar>
              <w:top w:w="75" w:type="dxa"/>
              <w:left w:w="120" w:type="dxa"/>
              <w:bottom w:w="75" w:type="dxa"/>
              <w:right w:w="120" w:type="dxa"/>
            </w:tcMar>
            <w:vAlign w:val="center"/>
          </w:tcPr>
          <w:p w14:paraId="6DBCB0A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Large influence</w:t>
            </w:r>
          </w:p>
        </w:tc>
        <w:tc>
          <w:tcPr>
            <w:tcW w:w="0" w:type="auto"/>
            <w:tcBorders>
              <w:top w:val="nil"/>
            </w:tcBorders>
            <w:shd w:val="clear" w:color="auto" w:fill="auto"/>
            <w:tcMar>
              <w:top w:w="75" w:type="dxa"/>
              <w:left w:w="120" w:type="dxa"/>
              <w:bottom w:w="75" w:type="dxa"/>
              <w:right w:w="120" w:type="dxa"/>
            </w:tcMar>
            <w:vAlign w:val="center"/>
          </w:tcPr>
          <w:p w14:paraId="6BB6621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Moderate influence</w:t>
            </w:r>
          </w:p>
        </w:tc>
        <w:tc>
          <w:tcPr>
            <w:tcW w:w="0" w:type="auto"/>
            <w:tcBorders>
              <w:top w:val="nil"/>
            </w:tcBorders>
            <w:shd w:val="clear" w:color="auto" w:fill="auto"/>
            <w:tcMar>
              <w:top w:w="75" w:type="dxa"/>
              <w:left w:w="120" w:type="dxa"/>
              <w:bottom w:w="75" w:type="dxa"/>
              <w:right w:w="120" w:type="dxa"/>
            </w:tcMar>
            <w:vAlign w:val="center"/>
          </w:tcPr>
          <w:p w14:paraId="72FF40E5">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h" w:cs="Times New Roman"/>
                <w:b/>
                <w:bCs/>
                <w:sz w:val="20"/>
                <w:szCs w:val="20"/>
              </w:rPr>
            </w:pPr>
            <w:r>
              <w:rPr>
                <w:rFonts w:hint="default" w:ascii="Times New Roman" w:hAnsi="Times New Roman" w:eastAsia="var(--dsw-font-markdown-table-h" w:cs="Times New Roman"/>
                <w:b/>
                <w:bCs/>
                <w:kern w:val="0"/>
                <w:sz w:val="20"/>
                <w:szCs w:val="20"/>
                <w:lang w:val="en-US" w:eastAsia="zh-CN" w:bidi="ar"/>
              </w:rPr>
              <w:t>Small influence</w:t>
            </w:r>
          </w:p>
        </w:tc>
      </w:tr>
      <w:tr w14:paraId="7BEAE4DB">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75" w:type="dxa"/>
              <w:left w:w="0" w:type="dxa"/>
              <w:bottom w:w="75" w:type="dxa"/>
              <w:right w:w="120" w:type="dxa"/>
            </w:tcMar>
            <w:vAlign w:val="center"/>
          </w:tcPr>
          <w:p w14:paraId="25B65774">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Theoretical analysis</w:t>
            </w:r>
          </w:p>
        </w:tc>
        <w:tc>
          <w:tcPr>
            <w:tcW w:w="0" w:type="auto"/>
            <w:shd w:val="clear" w:color="auto" w:fill="auto"/>
            <w:tcMar>
              <w:top w:w="75" w:type="dxa"/>
              <w:left w:w="120" w:type="dxa"/>
              <w:bottom w:w="75" w:type="dxa"/>
              <w:right w:w="120" w:type="dxa"/>
            </w:tcMar>
            <w:vAlign w:val="center"/>
          </w:tcPr>
          <w:p w14:paraId="2FE7FC2B">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120" w:type="dxa"/>
            </w:tcMar>
            <w:vAlign w:val="center"/>
          </w:tcPr>
          <w:p w14:paraId="4AA10433">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0" w:type="dxa"/>
            </w:tcMar>
            <w:vAlign w:val="center"/>
          </w:tcPr>
          <w:p w14:paraId="740F6AF9">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r>
      <w:tr w14:paraId="3ADE5A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75" w:type="dxa"/>
              <w:left w:w="0" w:type="dxa"/>
              <w:bottom w:w="75" w:type="dxa"/>
              <w:right w:w="120" w:type="dxa"/>
            </w:tcMar>
            <w:vAlign w:val="center"/>
          </w:tcPr>
          <w:p w14:paraId="3B79456A">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Practical experience</w:t>
            </w:r>
          </w:p>
        </w:tc>
        <w:tc>
          <w:tcPr>
            <w:tcW w:w="0" w:type="auto"/>
            <w:shd w:val="clear" w:color="auto" w:fill="auto"/>
            <w:tcMar>
              <w:top w:w="75" w:type="dxa"/>
              <w:left w:w="120" w:type="dxa"/>
              <w:bottom w:w="75" w:type="dxa"/>
              <w:right w:w="120" w:type="dxa"/>
            </w:tcMar>
            <w:vAlign w:val="center"/>
          </w:tcPr>
          <w:p w14:paraId="526E92A5">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120" w:type="dxa"/>
            </w:tcMar>
            <w:vAlign w:val="center"/>
          </w:tcPr>
          <w:p w14:paraId="02B24AFA">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0" w:type="dxa"/>
            </w:tcMar>
            <w:vAlign w:val="center"/>
          </w:tcPr>
          <w:p w14:paraId="66E01EBA">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r>
      <w:tr w14:paraId="617DC3A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75" w:type="dxa"/>
              <w:left w:w="0" w:type="dxa"/>
              <w:bottom w:w="75" w:type="dxa"/>
              <w:right w:w="120" w:type="dxa"/>
            </w:tcMar>
            <w:vAlign w:val="center"/>
          </w:tcPr>
          <w:p w14:paraId="3E5A254B">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Review of domestic/international literature</w:t>
            </w:r>
          </w:p>
        </w:tc>
        <w:tc>
          <w:tcPr>
            <w:tcW w:w="0" w:type="auto"/>
            <w:shd w:val="clear" w:color="auto" w:fill="auto"/>
            <w:tcMar>
              <w:top w:w="75" w:type="dxa"/>
              <w:left w:w="120" w:type="dxa"/>
              <w:bottom w:w="75" w:type="dxa"/>
              <w:right w:w="120" w:type="dxa"/>
            </w:tcMar>
            <w:vAlign w:val="center"/>
          </w:tcPr>
          <w:p w14:paraId="42E25E3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120" w:type="dxa"/>
            </w:tcMar>
            <w:vAlign w:val="center"/>
          </w:tcPr>
          <w:p w14:paraId="795DAEE8">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0" w:type="dxa"/>
            </w:tcMar>
            <w:vAlign w:val="center"/>
          </w:tcPr>
          <w:p w14:paraId="473BBB01">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r>
      <w:tr w14:paraId="66295F0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15" w:type="dxa"/>
            <w:left w:w="15" w:type="dxa"/>
            <w:bottom w:w="15" w:type="dxa"/>
            <w:right w:w="15" w:type="dxa"/>
          </w:tblCellMar>
        </w:tblPrEx>
        <w:tc>
          <w:tcPr>
            <w:tcW w:w="0" w:type="auto"/>
            <w:shd w:val="clear" w:color="auto" w:fill="auto"/>
            <w:tcMar>
              <w:top w:w="75" w:type="dxa"/>
              <w:left w:w="0" w:type="dxa"/>
              <w:bottom w:w="75" w:type="dxa"/>
              <w:right w:w="120" w:type="dxa"/>
            </w:tcMar>
            <w:vAlign w:val="center"/>
          </w:tcPr>
          <w:p w14:paraId="270F627F">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Intuition</w:t>
            </w:r>
          </w:p>
        </w:tc>
        <w:tc>
          <w:tcPr>
            <w:tcW w:w="0" w:type="auto"/>
            <w:shd w:val="clear" w:color="auto" w:fill="auto"/>
            <w:tcMar>
              <w:top w:w="75" w:type="dxa"/>
              <w:left w:w="120" w:type="dxa"/>
              <w:bottom w:w="75" w:type="dxa"/>
              <w:right w:w="120" w:type="dxa"/>
            </w:tcMar>
            <w:vAlign w:val="center"/>
          </w:tcPr>
          <w:p w14:paraId="589C0AEA">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120" w:type="dxa"/>
            </w:tcMar>
            <w:vAlign w:val="center"/>
          </w:tcPr>
          <w:p w14:paraId="62B726DD">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c>
          <w:tcPr>
            <w:tcW w:w="0" w:type="auto"/>
            <w:shd w:val="clear" w:color="auto" w:fill="auto"/>
            <w:tcMar>
              <w:top w:w="75" w:type="dxa"/>
              <w:left w:w="120" w:type="dxa"/>
              <w:bottom w:w="75" w:type="dxa"/>
              <w:right w:w="0" w:type="dxa"/>
            </w:tcMar>
            <w:vAlign w:val="center"/>
          </w:tcPr>
          <w:p w14:paraId="705D0C95">
            <w:pPr>
              <w:keepNext w:val="0"/>
              <w:keepLines w:val="0"/>
              <w:pageBreakBefore w:val="0"/>
              <w:widowControl/>
              <w:suppressLineNumbers w:val="0"/>
              <w:kinsoku/>
              <w:wordWrap/>
              <w:overflowPunct/>
              <w:topLinePunct w:val="0"/>
              <w:autoSpaceDE/>
              <w:autoSpaceDN/>
              <w:bidi w:val="0"/>
              <w:adjustRightInd/>
              <w:snapToGrid/>
              <w:spacing w:line="480" w:lineRule="auto"/>
              <w:jc w:val="left"/>
              <w:textAlignment w:val="auto"/>
              <w:rPr>
                <w:rFonts w:hint="default" w:ascii="Times New Roman" w:hAnsi="Times New Roman" w:eastAsia="var(--dsw-font-markdown-table)" w:cs="Times New Roman"/>
                <w:sz w:val="20"/>
                <w:szCs w:val="20"/>
              </w:rPr>
            </w:pPr>
            <w:r>
              <w:rPr>
                <w:rFonts w:hint="default" w:ascii="Times New Roman" w:hAnsi="Times New Roman" w:eastAsia="var(--dsw-font-markdown-table)" w:cs="Times New Roman"/>
                <w:kern w:val="0"/>
                <w:sz w:val="20"/>
                <w:szCs w:val="20"/>
                <w:lang w:val="en-US" w:eastAsia="zh-CN" w:bidi="ar"/>
              </w:rPr>
              <w:t>□</w:t>
            </w:r>
          </w:p>
        </w:tc>
      </w:tr>
    </w:tbl>
    <w:p w14:paraId="49DC4377">
      <w:pPr>
        <w:keepNext w:val="0"/>
        <w:keepLines w:val="0"/>
        <w:pageBreakBefore w:val="0"/>
        <w:kinsoku/>
        <w:wordWrap/>
        <w:overflowPunct/>
        <w:topLinePunct w:val="0"/>
        <w:autoSpaceDE/>
        <w:autoSpaceDN/>
        <w:bidi w:val="0"/>
        <w:adjustRightInd/>
        <w:snapToGrid/>
        <w:spacing w:line="480" w:lineRule="auto"/>
        <w:textAlignment w:val="auto"/>
        <w:rPr>
          <w:rStyle w:val="8"/>
          <w:rFonts w:hint="default" w:ascii="Times New Roman" w:hAnsi="Times New Roman" w:eastAsia="Segoe UI" w:cs="Times New Roman"/>
          <w:b/>
          <w:bCs/>
          <w:i w:val="0"/>
          <w:iCs w:val="0"/>
          <w:caps w:val="0"/>
          <w:color w:val="0F1115"/>
          <w:spacing w:val="0"/>
          <w:sz w:val="20"/>
          <w:szCs w:val="20"/>
          <w:shd w:val="clear" w:fill="FFFFFF"/>
        </w:rPr>
      </w:pPr>
    </w:p>
    <w:sectPr>
      <w:pgSz w:w="11906" w:h="16838"/>
      <w:pgMar w:top="1440" w:right="1800" w:bottom="1440" w:left="1800" w:header="851" w:footer="992" w:gutter="0"/>
      <w:pgBorders w:offsetFrom="page">
        <w:top w:val="none" w:sz="0" w:space="0"/>
        <w:left w:val="none" w:sz="0" w:space="0"/>
        <w:bottom w:val="none" w:sz="0" w:space="0"/>
        <w:right w:val="none"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var(--dsw-font-markdown-table-h">
    <w:altName w:val="Segoe Print"/>
    <w:panose1 w:val="00000000000000000000"/>
    <w:charset w:val="00"/>
    <w:family w:val="auto"/>
    <w:pitch w:val="default"/>
    <w:sig w:usb0="00000000" w:usb1="00000000" w:usb2="00000000" w:usb3="00000000" w:csb0="00000000" w:csb1="00000000"/>
  </w:font>
  <w:font w:name="var(--dsw-font-markdown-table)">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AACD601"/>
    <w:multiLevelType w:val="singleLevel"/>
    <w:tmpl w:val="4AACD601"/>
    <w:lvl w:ilvl="0" w:tentative="0">
      <w:start w:val="1"/>
      <w:numFmt w:val="decimal"/>
      <w:lvlText w:val="%1."/>
      <w:lvlJc w:val="left"/>
      <w:pPr>
        <w:ind w:left="425" w:hanging="425"/>
      </w:pPr>
      <w:rPr>
        <w:rFont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6441F66"/>
    <w:rsid w:val="44F74E35"/>
    <w:rsid w:val="46441F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paragraph" w:styleId="3">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7">
    <w:name w:val="Default Paragraph Font"/>
    <w:semiHidden/>
    <w:qFormat/>
    <w:uiPriority w:val="0"/>
  </w:style>
  <w:style w:type="table" w:default="1" w:styleId="5">
    <w:name w:val="Normal Table"/>
    <w:semiHidden/>
    <w:uiPriority w:val="0"/>
    <w:tblPr>
      <w:tblCellMar>
        <w:top w:w="0" w:type="dxa"/>
        <w:left w:w="108" w:type="dxa"/>
        <w:bottom w:w="0" w:type="dxa"/>
        <w:right w:w="108" w:type="dxa"/>
      </w:tblCellMar>
    </w:tblPr>
  </w:style>
  <w:style w:type="paragraph" w:styleId="4">
    <w:name w:val="Normal (Web)"/>
    <w:basedOn w:val="1"/>
    <w:uiPriority w:val="0"/>
    <w:rPr>
      <w:sz w:val="24"/>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Strong"/>
    <w:basedOn w:val="7"/>
    <w:qFormat/>
    <w:uiPriority w:val="0"/>
    <w:rPr>
      <w:b/>
    </w:rPr>
  </w:style>
  <w:style w:type="character" w:styleId="9">
    <w:name w:val="Emphasis"/>
    <w:basedOn w:val="7"/>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15</Pages>
  <Words>2463</Words>
  <Characters>14032</Characters>
  <Lines>0</Lines>
  <Paragraphs>0</Paragraphs>
  <TotalTime>7</TotalTime>
  <ScaleCrop>false</ScaleCrop>
  <LinksUpToDate>false</LinksUpToDate>
  <CharactersWithSpaces>16789</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2026-04-29T02:39:00Z</dcterms:created>
  <dc:creator>余鑫</dc:creator>
  <cp:lastModifiedBy>余鑫</cp:lastModifiedBy>
  <dcterms:modified xsi:type="dcterms:W3CDTF">2026-04-29T03:37:28Z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C18D317BB3A349C8B68F7ADF72FABD11_11</vt:lpwstr>
  </property>
  <property fmtid="{D5CDD505-2E9C-101B-9397-08002B2CF9AE}" pid="4" name="KSOTemplateDocerSaveRecord">
    <vt:lpwstr>eyJoZGlkIjoiNDE2Y2UyMzM3NTdjM2Y2M2IxNzQ1ZTdhNTdlMDMxZjMiLCJ1c2VySWQiOiIzOTg0NDcwMzQifQ==</vt:lpwstr>
  </property>
</Properties>
</file>