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4265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Style w:val="8"/>
          <w:rFonts w:hint="default" w:ascii="Times New Roman" w:hAnsi="Times New Roman" w:eastAsia="Segoe UI" w:cs="Times New Roman"/>
          <w:b/>
          <w:bCs/>
          <w:i w:val="0"/>
          <w:iCs w:val="0"/>
          <w:caps w:val="0"/>
          <w:color w:val="0F1115"/>
          <w:spacing w:val="0"/>
          <w:sz w:val="20"/>
          <w:szCs w:val="20"/>
          <w:shd w:val="clear" w:fill="FFFFFF"/>
        </w:rPr>
        <w:t>Clinical Nutrition Support Protocol for Pediatric Cancer Patients Undergoing Chemotherapy – Expert Consultation Questionnaire (Second Round)</w:t>
      </w:r>
      <w:bookmarkStart w:id="0" w:name="_GoBack"/>
      <w:bookmarkEnd w:id="0"/>
    </w:p>
    <w:p w14:paraId="725F3CB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Dear Expert,</w:t>
      </w:r>
    </w:p>
    <w:p w14:paraId="0292D5C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Thank you very much for your participation in this consultation.</w:t>
      </w:r>
    </w:p>
    <w:p w14:paraId="193960C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To standardize the clinical nutrition management for pediatric cancer patients undergoing chemotherapy and to improve the quality of clinical care, our department has summarized the best evidence on nutrition management during chemotherapy for pediatric cancer patients based on evidence</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based methods. We have also conducted qualitative interviews with patients, their caregivers, and clinical healthcare providers to understand the current needs in clinical nutrition management. Combining the best evidence with the clinical context, we have developed a clinical nutrition support protocol for pediatric cancer patients undergoing chemotherapy.</w:t>
      </w:r>
    </w:p>
    <w:p w14:paraId="1222D6A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[A first</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round expert consultation was previously conducted on the nutrition support protocol. The expert ratings and suggestions were analyzed and organized, and items with substantial controversy were discussed in detail, leading to the formation of the second</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version protocol.] We sincerely invite you to evaluate the consultation content in this second round based on the previous research. We look forward to your valuable comments and suggestions.</w:t>
      </w:r>
    </w:p>
    <w:p w14:paraId="2A4153B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This consultation questionnaire consists of three parts:</w:t>
      </w:r>
    </w:p>
    <w:p w14:paraId="24D9907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Expert background information</w:t>
      </w:r>
    </w:p>
    <w:p w14:paraId="0EB7C5C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Consultation form on the nutrition support protocol for pediatric cancer patients undergoing chemotherapy</w:t>
      </w:r>
    </w:p>
    <w:p w14:paraId="76E7618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Self</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assessment of the expert’s basis for judgment and familiarity with the content</w:t>
      </w:r>
    </w:p>
    <w:p w14:paraId="0D996A3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We greatly appreciate your support and help. We would be very grateful if you could reply within two weeks. We sincerely look forward to your valuable comments and suggestions!</w:t>
      </w:r>
    </w:p>
    <w:p w14:paraId="64E2600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Style w:val="8"/>
          <w:rFonts w:hint="default" w:ascii="Times New Roman" w:hAnsi="Times New Roman" w:eastAsia="Segoe UI" w:cs="Times New Roman"/>
          <w:b/>
          <w:bCs/>
          <w:i w:val="0"/>
          <w:iCs w:val="0"/>
          <w:caps w:val="0"/>
          <w:color w:val="0F1115"/>
          <w:spacing w:val="0"/>
          <w:sz w:val="20"/>
          <w:szCs w:val="20"/>
          <w:shd w:val="clear" w:fill="FFFFFF"/>
        </w:rPr>
      </w:pPr>
      <w:r>
        <w:rPr>
          <w:rStyle w:val="8"/>
          <w:rFonts w:hint="default" w:ascii="Times New Roman" w:hAnsi="Times New Roman" w:eastAsia="Segoe UI" w:cs="Times New Roman"/>
          <w:b/>
          <w:bCs/>
          <w:i w:val="0"/>
          <w:iCs w:val="0"/>
          <w:caps w:val="0"/>
          <w:color w:val="0F1115"/>
          <w:spacing w:val="0"/>
          <w:sz w:val="20"/>
          <w:szCs w:val="20"/>
          <w:shd w:val="clear" w:fill="FFFFFF"/>
        </w:rPr>
        <w:t>Pediatric Oncology Nursing Platform</w:t>
      </w:r>
      <w:r>
        <w:rPr>
          <w:rFonts w:hint="default" w:ascii="Times New Roman" w:hAnsi="Times New Roman" w:eastAsia="Segoe UI" w:cs="Times New Roman"/>
          <w:i w:val="0"/>
          <w:iCs w:val="0"/>
          <w:caps w:val="0"/>
          <w:color w:val="0F1115"/>
          <w:spacing w:val="0"/>
          <w:sz w:val="20"/>
          <w:szCs w:val="20"/>
          <w:shd w:val="clear" w:fill="FFFFFF"/>
        </w:rPr>
        <w:br w:type="textWrapping"/>
      </w:r>
      <w:r>
        <w:rPr>
          <w:rStyle w:val="8"/>
          <w:rFonts w:hint="default" w:ascii="Times New Roman" w:hAnsi="Times New Roman" w:eastAsia="Segoe UI" w:cs="Times New Roman"/>
          <w:b/>
          <w:bCs/>
          <w:i w:val="0"/>
          <w:iCs w:val="0"/>
          <w:caps w:val="0"/>
          <w:color w:val="0F1115"/>
          <w:spacing w:val="0"/>
          <w:sz w:val="20"/>
          <w:szCs w:val="20"/>
          <w:shd w:val="clear" w:fill="FFFFFF"/>
        </w:rPr>
        <w:t>Department of Pediatrics, The First Hospital of Jilin University</w:t>
      </w:r>
      <w:r>
        <w:rPr>
          <w:rFonts w:hint="default" w:ascii="Times New Roman" w:hAnsi="Times New Roman" w:eastAsia="Segoe UI" w:cs="Times New Roman"/>
          <w:i w:val="0"/>
          <w:iCs w:val="0"/>
          <w:caps w:val="0"/>
          <w:color w:val="0F1115"/>
          <w:spacing w:val="0"/>
          <w:sz w:val="20"/>
          <w:szCs w:val="20"/>
          <w:shd w:val="clear" w:fill="FFFFFF"/>
        </w:rPr>
        <w:br w:type="textWrapping"/>
      </w:r>
      <w:r>
        <w:rPr>
          <w:rStyle w:val="8"/>
          <w:rFonts w:hint="eastAsia" w:ascii="Times New Roman" w:hAnsi="Times New Roman" w:eastAsia="Segoe UI" w:cs="Times New Roman"/>
          <w:b/>
          <w:bCs/>
          <w:i w:val="0"/>
          <w:iCs w:val="0"/>
          <w:caps w:val="0"/>
          <w:color w:val="0F1115"/>
          <w:spacing w:val="0"/>
          <w:sz w:val="20"/>
          <w:szCs w:val="20"/>
          <w:shd w:val="clear" w:fill="FFFFFF"/>
          <w:lang w:val="en-US" w:eastAsia="zh-CN"/>
        </w:rPr>
        <w:t xml:space="preserve">June </w:t>
      </w:r>
      <w:r>
        <w:rPr>
          <w:rStyle w:val="8"/>
          <w:rFonts w:hint="default" w:ascii="Times New Roman" w:hAnsi="Times New Roman" w:eastAsia="Segoe UI" w:cs="Times New Roman"/>
          <w:b/>
          <w:bCs/>
          <w:i w:val="0"/>
          <w:iCs w:val="0"/>
          <w:caps w:val="0"/>
          <w:color w:val="0F1115"/>
          <w:spacing w:val="0"/>
          <w:sz w:val="20"/>
          <w:szCs w:val="20"/>
          <w:shd w:val="clear" w:fill="FFFFFF"/>
        </w:rPr>
        <w:t>2025</w:t>
      </w:r>
    </w:p>
    <w:p w14:paraId="08F0AB29">
      <w:pPr>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pPr>
    </w:p>
    <w:p w14:paraId="3E9B675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Part 1: Expert Background Information</w:t>
      </w:r>
    </w:p>
    <w:p w14:paraId="1F702E1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Style w:val="8"/>
          <w:rFonts w:hint="default" w:ascii="Times New Roman" w:hAnsi="Times New Roman" w:eastAsia="Segoe UI" w:cs="Times New Roman"/>
          <w:b/>
          <w:bCs/>
          <w:i w:val="0"/>
          <w:iCs w:val="0"/>
          <w:caps w:val="0"/>
          <w:color w:val="0F1115"/>
          <w:spacing w:val="0"/>
          <w:sz w:val="20"/>
          <w:szCs w:val="20"/>
          <w:shd w:val="clear" w:fill="FFFFFF"/>
        </w:rPr>
        <w:t>Instructions:</w:t>
      </w:r>
      <w:r>
        <w:rPr>
          <w:rFonts w:hint="default" w:ascii="Times New Roman" w:hAnsi="Times New Roman" w:eastAsia="Segoe UI" w:cs="Times New Roman"/>
          <w:i w:val="0"/>
          <w:iCs w:val="0"/>
          <w:caps w:val="0"/>
          <w:color w:val="0F1115"/>
          <w:spacing w:val="0"/>
          <w:sz w:val="20"/>
          <w:szCs w:val="20"/>
          <w:shd w:val="clear" w:fill="FFFFFF"/>
        </w:rPr>
        <w:br w:type="textWrapping"/>
      </w:r>
      <w:r>
        <w:rPr>
          <w:rFonts w:hint="default" w:ascii="Times New Roman" w:hAnsi="Times New Roman" w:eastAsia="Segoe UI" w:cs="Times New Roman"/>
          <w:i w:val="0"/>
          <w:iCs w:val="0"/>
          <w:caps w:val="0"/>
          <w:color w:val="0F1115"/>
          <w:spacing w:val="0"/>
          <w:sz w:val="20"/>
          <w:szCs w:val="20"/>
          <w:shd w:val="clear" w:fill="FFFFFF"/>
        </w:rPr>
        <w:t>Please fill in your personal information carefully or tick “√” in the corresponding boxes. Your information will be kept strictly confidential.</w:t>
      </w:r>
    </w:p>
    <w:p w14:paraId="45FCCEBA">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Age: ________</w:t>
      </w:r>
    </w:p>
    <w:p w14:paraId="4A89D11D">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Gender: □ Male □ Female</w:t>
      </w:r>
    </w:p>
    <w:p w14:paraId="40C9B598">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Highest education: □ Doctorate □ Master’s degree □ Bachelor’s degree</w:t>
      </w:r>
    </w:p>
    <w:p w14:paraId="03549BD1">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Workplace: ____________________</w:t>
      </w:r>
    </w:p>
    <w:p w14:paraId="383C7DF0">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Current position: ____________________</w:t>
      </w:r>
    </w:p>
    <w:p w14:paraId="3EFB72E7">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Professional title: □ Senior □ Associate senior □ Intermediate □ Other</w:t>
      </w:r>
    </w:p>
    <w:p w14:paraId="670E0238">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Main work and research areas (multiple choices allowed):</w:t>
      </w:r>
      <w:r>
        <w:rPr>
          <w:rFonts w:hint="default" w:ascii="Times New Roman" w:hAnsi="Times New Roman" w:eastAsia="Segoe UI" w:cs="Times New Roman"/>
          <w:i w:val="0"/>
          <w:iCs w:val="0"/>
          <w:caps w:val="0"/>
          <w:color w:val="0F1115"/>
          <w:spacing w:val="0"/>
          <w:sz w:val="20"/>
          <w:szCs w:val="20"/>
          <w:shd w:val="clear" w:fill="FFFFFF"/>
        </w:rPr>
        <w:br w:type="textWrapping"/>
      </w:r>
      <w:r>
        <w:rPr>
          <w:rFonts w:hint="default" w:ascii="Times New Roman" w:hAnsi="Times New Roman" w:eastAsia="Segoe UI" w:cs="Times New Roman"/>
          <w:i w:val="0"/>
          <w:iCs w:val="0"/>
          <w:caps w:val="0"/>
          <w:color w:val="0F1115"/>
          <w:spacing w:val="0"/>
          <w:sz w:val="20"/>
          <w:szCs w:val="20"/>
          <w:shd w:val="clear" w:fill="FFFFFF"/>
        </w:rPr>
        <w:t>□ Hematology/Oncology (medical) □ Pediatrics (medical) □ Hematology/Oncology (nursing) □ Pediatrics (nursing)</w:t>
      </w:r>
      <w:r>
        <w:rPr>
          <w:rFonts w:hint="default" w:ascii="Times New Roman" w:hAnsi="Times New Roman" w:eastAsia="Segoe UI" w:cs="Times New Roman"/>
          <w:i w:val="0"/>
          <w:iCs w:val="0"/>
          <w:caps w:val="0"/>
          <w:color w:val="0F1115"/>
          <w:spacing w:val="0"/>
          <w:sz w:val="20"/>
          <w:szCs w:val="20"/>
          <w:shd w:val="clear" w:fill="FFFFFF"/>
        </w:rPr>
        <w:br w:type="textWrapping"/>
      </w:r>
      <w:r>
        <w:rPr>
          <w:rFonts w:hint="default" w:ascii="Times New Roman" w:hAnsi="Times New Roman" w:eastAsia="Segoe UI" w:cs="Times New Roman"/>
          <w:i w:val="0"/>
          <w:iCs w:val="0"/>
          <w:caps w:val="0"/>
          <w:color w:val="0F1115"/>
          <w:spacing w:val="0"/>
          <w:sz w:val="20"/>
          <w:szCs w:val="20"/>
          <w:shd w:val="clear" w:fill="FFFFFF"/>
        </w:rPr>
        <w:t>□ Clinical nutrition □ Nursing management □ Other ( )</w:t>
      </w:r>
    </w:p>
    <w:p w14:paraId="12248422">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Years of work in oncology or nutrition</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related fields: □ &lt;10 years □ 10–20 years □ &gt;20 years</w:t>
      </w:r>
    </w:p>
    <w:p w14:paraId="101424EE">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Contact phone number: ____________________</w:t>
      </w:r>
    </w:p>
    <w:p w14:paraId="57F70E03">
      <w:pPr>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pPr>
    </w:p>
    <w:p w14:paraId="4FA863D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Part 2: Consultation Form on the Nutrition Support Protocol for Pediatric Cancer Patients Undergoing Chemotherapy</w:t>
      </w:r>
    </w:p>
    <w:p w14:paraId="25ABCA7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We are consulting your opinion on the importance of the first</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level, second</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level, and third</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level items of the nutrition support protocol for pediatric cancer patients undergoing chemotherapy. A 5</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point Likert scale is used (1 = very unimportant, 5 = very important). </w:t>
      </w:r>
      <w:r>
        <w:rPr>
          <w:rStyle w:val="8"/>
          <w:rFonts w:hint="default" w:ascii="Times New Roman" w:hAnsi="Times New Roman" w:eastAsia="Segoe UI" w:cs="Times New Roman"/>
          <w:b/>
          <w:bCs/>
          <w:i w:val="0"/>
          <w:iCs w:val="0"/>
          <w:caps w:val="0"/>
          <w:color w:val="0F1115"/>
          <w:spacing w:val="0"/>
          <w:sz w:val="20"/>
          <w:szCs w:val="20"/>
          <w:shd w:val="clear" w:fill="FFFFFF"/>
        </w:rPr>
        <w:t>Please tick “√” in the corresponding score box.</w:t>
      </w:r>
      <w:r>
        <w:rPr>
          <w:rFonts w:hint="default" w:ascii="Times New Roman" w:hAnsi="Times New Roman" w:eastAsia="Segoe UI" w:cs="Times New Roman"/>
          <w:i w:val="0"/>
          <w:iCs w:val="0"/>
          <w:caps w:val="0"/>
          <w:color w:val="0F1115"/>
          <w:spacing w:val="0"/>
          <w:sz w:val="20"/>
          <w:szCs w:val="20"/>
          <w:shd w:val="clear" w:fill="FFFFFF"/>
        </w:rPr>
        <w:t> If you think an item is not accurately expressed, please write your revision suggestion in the “Revision suggestion” column. If you think some content should be added, please supplement in the “Items to be added” column. Any added items should also be rated for importance.</w:t>
      </w:r>
    </w:p>
    <w:p w14:paraId="3F2E9435">
      <w:pPr>
        <w:pStyle w:val="3"/>
        <w:keepNext w:val="0"/>
        <w:keepLines w:val="0"/>
        <w:widowControl/>
        <w:suppressLineNumbers w:val="0"/>
        <w:spacing w:before="240" w:beforeAutospacing="0" w:after="120" w:afterAutospacing="0"/>
        <w:ind w:left="0" w:right="0"/>
        <w:rPr>
          <w:rFonts w:hint="default" w:ascii="Times New Roman" w:hAnsi="Times New Roman" w:eastAsia="Segoe UI" w:cs="Times New Roman"/>
          <w:b/>
          <w:bCs/>
          <w:i w:val="0"/>
          <w:iCs w:val="0"/>
          <w:caps w:val="0"/>
          <w:color w:val="0F1115"/>
          <w:spacing w:val="0"/>
          <w:kern w:val="0"/>
          <w:sz w:val="20"/>
          <w:szCs w:val="20"/>
          <w:shd w:val="clear" w:fill="FFFFFF"/>
          <w:lang w:val="en-US" w:eastAsia="zh-CN" w:bidi="ar"/>
        </w:rPr>
      </w:pPr>
      <w:r>
        <w:rPr>
          <w:rFonts w:hint="default" w:ascii="Times New Roman" w:hAnsi="Times New Roman" w:eastAsia="Segoe UI" w:cs="Times New Roman"/>
          <w:b/>
          <w:bCs/>
          <w:i w:val="0"/>
          <w:iCs w:val="0"/>
          <w:caps w:val="0"/>
          <w:color w:val="0F1115"/>
          <w:spacing w:val="0"/>
          <w:kern w:val="0"/>
          <w:sz w:val="20"/>
          <w:szCs w:val="20"/>
          <w:shd w:val="clear" w:fill="FFFFFF"/>
          <w:lang w:val="en-US" w:eastAsia="zh-CN" w:bidi="ar"/>
        </w:rPr>
        <w:t>Table 1 – First</w:t>
      </w:r>
      <w:r>
        <w:rPr>
          <w:rFonts w:hint="default" w:ascii="Times New Roman" w:hAnsi="Times New Roman" w:eastAsia="Segoe UI" w:cs="Times New Roman"/>
          <w:b/>
          <w:bCs/>
          <w:i w:val="0"/>
          <w:iCs w:val="0"/>
          <w:caps w:val="0"/>
          <w:color w:val="0F1115"/>
          <w:spacing w:val="0"/>
          <w:kern w:val="0"/>
          <w:sz w:val="20"/>
          <w:szCs w:val="20"/>
          <w:shd w:val="clear" w:fill="FFFFFF"/>
          <w:lang w:val="en-US" w:eastAsia="zh-CN" w:bidi="ar"/>
        </w:rPr>
        <w:noBreakHyphen/>
      </w:r>
      <w:r>
        <w:rPr>
          <w:rFonts w:hint="default" w:ascii="Times New Roman" w:hAnsi="Times New Roman" w:eastAsia="Segoe UI" w:cs="Times New Roman"/>
          <w:b/>
          <w:bCs/>
          <w:i w:val="0"/>
          <w:iCs w:val="0"/>
          <w:caps w:val="0"/>
          <w:color w:val="0F1115"/>
          <w:spacing w:val="0"/>
          <w:kern w:val="0"/>
          <w:sz w:val="20"/>
          <w:szCs w:val="20"/>
          <w:shd w:val="clear" w:fill="FFFFFF"/>
          <w:lang w:val="en-US" w:eastAsia="zh-CN" w:bidi="ar"/>
        </w:rPr>
        <w:t>level items</w:t>
      </w:r>
    </w:p>
    <w:tbl>
      <w:tblPr>
        <w:tblW w:w="1374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553"/>
        <w:gridCol w:w="7752"/>
        <w:gridCol w:w="2435"/>
      </w:tblGrid>
      <w:tr w14:paraId="770972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3553" w:type="dxa"/>
            <w:tcBorders>
              <w:bottom w:val="single" w:color="auto" w:sz="4" w:space="0"/>
            </w:tcBorders>
            <w:shd w:val="clear"/>
            <w:tcMar>
              <w:top w:w="75" w:type="dxa"/>
              <w:left w:w="0" w:type="dxa"/>
              <w:bottom w:w="75" w:type="dxa"/>
              <w:right w:w="120" w:type="dxa"/>
            </w:tcMar>
            <w:vAlign w:val="center"/>
          </w:tcPr>
          <w:p w14:paraId="1B2DD4A8">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First</w:t>
            </w:r>
            <w:r>
              <w:rPr>
                <w:rFonts w:hint="default" w:ascii="Times New Roman" w:hAnsi="Times New Roman" w:eastAsia="var(--dsw-font-markdown-table-head)" w:cs="Times New Roman"/>
                <w:b/>
                <w:bCs/>
                <w:kern w:val="0"/>
                <w:sz w:val="20"/>
                <w:szCs w:val="20"/>
                <w:bdr w:val="none" w:color="auto" w:sz="0" w:space="0"/>
                <w:lang w:val="en-US" w:eastAsia="zh-CN" w:bidi="ar"/>
              </w:rPr>
              <w:noBreakHyphen/>
            </w:r>
            <w:r>
              <w:rPr>
                <w:rFonts w:hint="default" w:ascii="Times New Roman" w:hAnsi="Times New Roman" w:eastAsia="var(--dsw-font-markdown-table-head)" w:cs="Times New Roman"/>
                <w:b/>
                <w:bCs/>
                <w:kern w:val="0"/>
                <w:sz w:val="20"/>
                <w:szCs w:val="20"/>
                <w:bdr w:val="none" w:color="auto" w:sz="0" w:space="0"/>
                <w:lang w:val="en-US" w:eastAsia="zh-CN" w:bidi="ar"/>
              </w:rPr>
              <w:t>level item</w:t>
            </w:r>
          </w:p>
        </w:tc>
        <w:tc>
          <w:tcPr>
            <w:tcW w:w="7752" w:type="dxa"/>
            <w:tcBorders>
              <w:bottom w:val="single" w:color="auto" w:sz="4" w:space="0"/>
            </w:tcBorders>
            <w:shd w:val="clear"/>
            <w:tcMar>
              <w:top w:w="75" w:type="dxa"/>
              <w:left w:w="120" w:type="dxa"/>
              <w:bottom w:w="75" w:type="dxa"/>
              <w:right w:w="120" w:type="dxa"/>
            </w:tcMar>
            <w:vAlign w:val="center"/>
          </w:tcPr>
          <w:p w14:paraId="44568F47">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Importance score (5=very important, 4=important, 3=moderately important, 2=unimportant, 1=very unimportant)</w:t>
            </w:r>
          </w:p>
        </w:tc>
        <w:tc>
          <w:tcPr>
            <w:tcW w:w="2435" w:type="dxa"/>
            <w:tcBorders>
              <w:bottom w:val="single" w:color="auto" w:sz="4" w:space="0"/>
            </w:tcBorders>
            <w:shd w:val="clear"/>
            <w:tcMar>
              <w:top w:w="75" w:type="dxa"/>
              <w:left w:w="120" w:type="dxa"/>
              <w:bottom w:w="75" w:type="dxa"/>
              <w:right w:w="120" w:type="dxa"/>
            </w:tcMar>
            <w:vAlign w:val="center"/>
          </w:tcPr>
          <w:p w14:paraId="271605FF">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Revision suggestion</w:t>
            </w:r>
          </w:p>
        </w:tc>
      </w:tr>
      <w:tr w14:paraId="7918B9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3553" w:type="dxa"/>
            <w:tcBorders>
              <w:top w:val="single" w:color="auto" w:sz="4" w:space="0"/>
              <w:tl2br w:val="nil"/>
              <w:tr2bl w:val="nil"/>
            </w:tcBorders>
            <w:shd w:val="clear"/>
            <w:tcMar>
              <w:top w:w="75" w:type="dxa"/>
              <w:left w:w="0" w:type="dxa"/>
              <w:bottom w:w="75" w:type="dxa"/>
              <w:right w:w="120" w:type="dxa"/>
            </w:tcMar>
            <w:vAlign w:val="center"/>
          </w:tcPr>
          <w:p w14:paraId="0C3FC6C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 Organisational management</w:t>
            </w:r>
          </w:p>
        </w:tc>
        <w:tc>
          <w:tcPr>
            <w:tcW w:w="7752" w:type="dxa"/>
            <w:tcBorders>
              <w:top w:val="single" w:color="auto" w:sz="4" w:space="0"/>
              <w:tl2br w:val="nil"/>
              <w:tr2bl w:val="nil"/>
            </w:tcBorders>
            <w:shd w:val="clear"/>
            <w:tcMar>
              <w:top w:w="75" w:type="dxa"/>
              <w:left w:w="120" w:type="dxa"/>
              <w:bottom w:w="75" w:type="dxa"/>
              <w:right w:w="120" w:type="dxa"/>
            </w:tcMar>
            <w:vAlign w:val="center"/>
          </w:tcPr>
          <w:p w14:paraId="0BF2B08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435" w:type="dxa"/>
            <w:tcBorders>
              <w:top w:val="single" w:color="auto" w:sz="4" w:space="0"/>
              <w:tl2br w:val="nil"/>
              <w:tr2bl w:val="nil"/>
            </w:tcBorders>
            <w:shd w:val="clear"/>
            <w:tcMar>
              <w:top w:w="75" w:type="dxa"/>
              <w:left w:w="120" w:type="dxa"/>
              <w:bottom w:w="75" w:type="dxa"/>
              <w:right w:w="0" w:type="dxa"/>
            </w:tcMar>
            <w:vAlign w:val="center"/>
          </w:tcPr>
          <w:p w14:paraId="2C202977">
            <w:pPr>
              <w:rPr>
                <w:rFonts w:hint="default" w:ascii="Times New Roman" w:hAnsi="Times New Roman" w:eastAsia="var(--dsw-font-markdown-table)" w:cs="Times New Roman"/>
                <w:sz w:val="20"/>
                <w:szCs w:val="20"/>
              </w:rPr>
            </w:pPr>
          </w:p>
        </w:tc>
      </w:tr>
      <w:tr w14:paraId="02B7C3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3553" w:type="dxa"/>
            <w:tcBorders>
              <w:tl2br w:val="nil"/>
              <w:tr2bl w:val="nil"/>
            </w:tcBorders>
            <w:shd w:val="clear"/>
            <w:tcMar>
              <w:top w:w="75" w:type="dxa"/>
              <w:left w:w="0" w:type="dxa"/>
              <w:bottom w:w="75" w:type="dxa"/>
              <w:right w:w="120" w:type="dxa"/>
            </w:tcMar>
            <w:vAlign w:val="center"/>
          </w:tcPr>
          <w:p w14:paraId="219B803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 Standardised screening and assessment</w:t>
            </w:r>
          </w:p>
        </w:tc>
        <w:tc>
          <w:tcPr>
            <w:tcW w:w="7752" w:type="dxa"/>
            <w:tcBorders>
              <w:tl2br w:val="nil"/>
              <w:tr2bl w:val="nil"/>
            </w:tcBorders>
            <w:shd w:val="clear"/>
            <w:tcMar>
              <w:top w:w="75" w:type="dxa"/>
              <w:left w:w="120" w:type="dxa"/>
              <w:bottom w:w="75" w:type="dxa"/>
              <w:right w:w="120" w:type="dxa"/>
            </w:tcMar>
            <w:vAlign w:val="center"/>
          </w:tcPr>
          <w:p w14:paraId="47D7424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435" w:type="dxa"/>
            <w:tcBorders>
              <w:tl2br w:val="nil"/>
              <w:tr2bl w:val="nil"/>
            </w:tcBorders>
            <w:shd w:val="clear"/>
            <w:tcMar>
              <w:top w:w="75" w:type="dxa"/>
              <w:left w:w="120" w:type="dxa"/>
              <w:bottom w:w="75" w:type="dxa"/>
              <w:right w:w="0" w:type="dxa"/>
            </w:tcMar>
            <w:vAlign w:val="center"/>
          </w:tcPr>
          <w:p w14:paraId="4508B3B2">
            <w:pPr>
              <w:rPr>
                <w:rFonts w:hint="default" w:ascii="Times New Roman" w:hAnsi="Times New Roman" w:eastAsia="var(--dsw-font-markdown-table)" w:cs="Times New Roman"/>
                <w:sz w:val="20"/>
                <w:szCs w:val="20"/>
              </w:rPr>
            </w:pPr>
          </w:p>
        </w:tc>
      </w:tr>
      <w:tr w14:paraId="2750E9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3553" w:type="dxa"/>
            <w:tcBorders>
              <w:tl2br w:val="nil"/>
              <w:tr2bl w:val="nil"/>
            </w:tcBorders>
            <w:shd w:val="clear"/>
            <w:tcMar>
              <w:top w:w="75" w:type="dxa"/>
              <w:left w:w="0" w:type="dxa"/>
              <w:bottom w:w="75" w:type="dxa"/>
              <w:right w:w="120" w:type="dxa"/>
            </w:tcMar>
            <w:vAlign w:val="center"/>
          </w:tcPr>
          <w:p w14:paraId="5DB11B7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 Nutrition intervention strategies</w:t>
            </w:r>
          </w:p>
        </w:tc>
        <w:tc>
          <w:tcPr>
            <w:tcW w:w="7752" w:type="dxa"/>
            <w:tcBorders>
              <w:tl2br w:val="nil"/>
              <w:tr2bl w:val="nil"/>
            </w:tcBorders>
            <w:shd w:val="clear"/>
            <w:tcMar>
              <w:top w:w="75" w:type="dxa"/>
              <w:left w:w="120" w:type="dxa"/>
              <w:bottom w:w="75" w:type="dxa"/>
              <w:right w:w="120" w:type="dxa"/>
            </w:tcMar>
            <w:vAlign w:val="center"/>
          </w:tcPr>
          <w:p w14:paraId="4F921698">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435" w:type="dxa"/>
            <w:tcBorders>
              <w:tl2br w:val="nil"/>
              <w:tr2bl w:val="nil"/>
            </w:tcBorders>
            <w:shd w:val="clear"/>
            <w:tcMar>
              <w:top w:w="75" w:type="dxa"/>
              <w:left w:w="120" w:type="dxa"/>
              <w:bottom w:w="75" w:type="dxa"/>
              <w:right w:w="0" w:type="dxa"/>
            </w:tcMar>
            <w:vAlign w:val="center"/>
          </w:tcPr>
          <w:p w14:paraId="72D60C68">
            <w:pPr>
              <w:rPr>
                <w:rFonts w:hint="default" w:ascii="Times New Roman" w:hAnsi="Times New Roman" w:eastAsia="var(--dsw-font-markdown-table)" w:cs="Times New Roman"/>
                <w:sz w:val="20"/>
                <w:szCs w:val="20"/>
              </w:rPr>
            </w:pPr>
          </w:p>
        </w:tc>
      </w:tr>
      <w:tr w14:paraId="2108E0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3553" w:type="dxa"/>
            <w:tcBorders>
              <w:tl2br w:val="nil"/>
              <w:tr2bl w:val="nil"/>
            </w:tcBorders>
            <w:shd w:val="clear"/>
            <w:tcMar>
              <w:top w:w="75" w:type="dxa"/>
              <w:left w:w="0" w:type="dxa"/>
              <w:bottom w:w="75" w:type="dxa"/>
              <w:right w:w="120" w:type="dxa"/>
            </w:tcMar>
            <w:vAlign w:val="center"/>
          </w:tcPr>
          <w:p w14:paraId="0D1ABBF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 Health education</w:t>
            </w:r>
          </w:p>
        </w:tc>
        <w:tc>
          <w:tcPr>
            <w:tcW w:w="7752" w:type="dxa"/>
            <w:tcBorders>
              <w:tl2br w:val="nil"/>
              <w:tr2bl w:val="nil"/>
            </w:tcBorders>
            <w:shd w:val="clear"/>
            <w:tcMar>
              <w:top w:w="75" w:type="dxa"/>
              <w:left w:w="120" w:type="dxa"/>
              <w:bottom w:w="75" w:type="dxa"/>
              <w:right w:w="120" w:type="dxa"/>
            </w:tcMar>
            <w:vAlign w:val="center"/>
          </w:tcPr>
          <w:p w14:paraId="6C97530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435" w:type="dxa"/>
            <w:tcBorders>
              <w:tl2br w:val="nil"/>
              <w:tr2bl w:val="nil"/>
            </w:tcBorders>
            <w:shd w:val="clear"/>
            <w:tcMar>
              <w:top w:w="75" w:type="dxa"/>
              <w:left w:w="120" w:type="dxa"/>
              <w:bottom w:w="75" w:type="dxa"/>
              <w:right w:w="0" w:type="dxa"/>
            </w:tcMar>
            <w:vAlign w:val="center"/>
          </w:tcPr>
          <w:p w14:paraId="1F794A2B">
            <w:pPr>
              <w:rPr>
                <w:rFonts w:hint="default" w:ascii="Times New Roman" w:hAnsi="Times New Roman" w:eastAsia="var(--dsw-font-markdown-table)" w:cs="Times New Roman"/>
                <w:sz w:val="20"/>
                <w:szCs w:val="20"/>
              </w:rPr>
            </w:pPr>
          </w:p>
        </w:tc>
      </w:tr>
      <w:tr w14:paraId="5202E3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3553" w:type="dxa"/>
            <w:tcBorders>
              <w:tl2br w:val="nil"/>
              <w:tr2bl w:val="nil"/>
            </w:tcBorders>
            <w:shd w:val="clear"/>
            <w:tcMar>
              <w:top w:w="75" w:type="dxa"/>
              <w:left w:w="0" w:type="dxa"/>
              <w:bottom w:w="75" w:type="dxa"/>
              <w:right w:w="120" w:type="dxa"/>
            </w:tcMar>
            <w:vAlign w:val="center"/>
          </w:tcPr>
          <w:p w14:paraId="38C3070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Continuity of care</w:t>
            </w:r>
          </w:p>
        </w:tc>
        <w:tc>
          <w:tcPr>
            <w:tcW w:w="7752" w:type="dxa"/>
            <w:tcBorders>
              <w:tl2br w:val="nil"/>
              <w:tr2bl w:val="nil"/>
            </w:tcBorders>
            <w:shd w:val="clear"/>
            <w:tcMar>
              <w:top w:w="75" w:type="dxa"/>
              <w:left w:w="120" w:type="dxa"/>
              <w:bottom w:w="75" w:type="dxa"/>
              <w:right w:w="120" w:type="dxa"/>
            </w:tcMar>
            <w:vAlign w:val="center"/>
          </w:tcPr>
          <w:p w14:paraId="7368BB8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435" w:type="dxa"/>
            <w:tcBorders>
              <w:tl2br w:val="nil"/>
              <w:tr2bl w:val="nil"/>
            </w:tcBorders>
            <w:shd w:val="clear"/>
            <w:tcMar>
              <w:top w:w="75" w:type="dxa"/>
              <w:left w:w="120" w:type="dxa"/>
              <w:bottom w:w="75" w:type="dxa"/>
              <w:right w:w="0" w:type="dxa"/>
            </w:tcMar>
            <w:vAlign w:val="center"/>
          </w:tcPr>
          <w:p w14:paraId="4A765AAA">
            <w:pPr>
              <w:rPr>
                <w:rFonts w:hint="default" w:ascii="Times New Roman" w:hAnsi="Times New Roman" w:eastAsia="var(--dsw-font-markdown-table)" w:cs="Times New Roman"/>
                <w:sz w:val="20"/>
                <w:szCs w:val="20"/>
              </w:rPr>
            </w:pPr>
          </w:p>
        </w:tc>
      </w:tr>
      <w:tr w14:paraId="77FC8E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3553" w:type="dxa"/>
            <w:tcBorders>
              <w:tl2br w:val="nil"/>
              <w:tr2bl w:val="nil"/>
            </w:tcBorders>
            <w:shd w:val="clear" w:color="auto" w:fill="FFFFFF"/>
            <w:tcMar>
              <w:top w:w="75" w:type="dxa"/>
              <w:left w:w="0" w:type="dxa"/>
              <w:bottom w:w="75" w:type="dxa"/>
              <w:right w:w="120" w:type="dxa"/>
            </w:tcMar>
            <w:vAlign w:val="center"/>
          </w:tcPr>
          <w:p w14:paraId="2762DC8B">
            <w:pPr>
              <w:keepNext w:val="0"/>
              <w:keepLines w:val="0"/>
              <w:widowControl/>
              <w:suppressLineNumbers w:val="0"/>
              <w:ind w:left="0" w:firstLine="0"/>
              <w:jc w:val="left"/>
              <w:rPr>
                <w:rFonts w:hint="default" w:ascii="Times New Roman" w:hAnsi="Times New Roman" w:eastAsia="Segoe UI" w:cs="Times New Roman"/>
                <w:i w:val="0"/>
                <w:iCs w:val="0"/>
                <w:caps w:val="0"/>
                <w:color w:val="0F1115"/>
                <w:spacing w:val="0"/>
                <w:sz w:val="20"/>
                <w:szCs w:val="20"/>
              </w:rPr>
            </w:pPr>
            <w:r>
              <w:rPr>
                <w:rStyle w:val="8"/>
                <w:rFonts w:hint="default" w:ascii="Times New Roman" w:hAnsi="Times New Roman" w:eastAsia="Segoe UI" w:cs="Times New Roman"/>
                <w:b/>
                <w:bCs/>
                <w:i w:val="0"/>
                <w:iCs w:val="0"/>
                <w:caps w:val="0"/>
                <w:color w:val="0F1115"/>
                <w:spacing w:val="0"/>
                <w:kern w:val="0"/>
                <w:sz w:val="20"/>
                <w:szCs w:val="20"/>
                <w:bdr w:val="none" w:color="auto" w:sz="0" w:space="0"/>
                <w:lang w:val="en-US" w:eastAsia="zh-CN" w:bidi="ar"/>
              </w:rPr>
              <w:t>Items to be added:</w:t>
            </w:r>
          </w:p>
        </w:tc>
        <w:tc>
          <w:tcPr>
            <w:tcW w:w="10187" w:type="dxa"/>
            <w:gridSpan w:val="2"/>
            <w:tcBorders>
              <w:tl2br w:val="nil"/>
              <w:tr2bl w:val="nil"/>
            </w:tcBorders>
            <w:shd w:val="clear" w:color="auto" w:fill="FFFFFF"/>
            <w:tcMar>
              <w:top w:w="75" w:type="dxa"/>
              <w:left w:w="120" w:type="dxa"/>
              <w:bottom w:w="75" w:type="dxa"/>
              <w:right w:w="120" w:type="dxa"/>
            </w:tcMar>
            <w:vAlign w:val="center"/>
          </w:tcPr>
          <w:p w14:paraId="0C86CE7D">
            <w:pPr>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br w:type="textWrapping"/>
            </w:r>
          </w:p>
        </w:tc>
      </w:tr>
    </w:tbl>
    <w:p w14:paraId="38DEB6CB">
      <w:pPr>
        <w:pStyle w:val="3"/>
        <w:keepNext w:val="0"/>
        <w:keepLines w:val="0"/>
        <w:widowControl/>
        <w:suppressLineNumbers w:val="0"/>
        <w:spacing w:before="240" w:beforeAutospacing="0" w:after="120" w:afterAutospacing="0"/>
        <w:ind w:left="0" w:right="0"/>
        <w:rPr>
          <w:rFonts w:hint="default" w:ascii="Times New Roman" w:hAnsi="Times New Roman" w:eastAsia="var(--dsw-font-markdown-h3)" w:cs="Times New Roman"/>
          <w:sz w:val="20"/>
          <w:szCs w:val="20"/>
        </w:rPr>
      </w:pPr>
      <w:r>
        <w:rPr>
          <w:rFonts w:hint="default" w:ascii="Times New Roman" w:hAnsi="Times New Roman" w:eastAsia="var(--dsw-font-markdown-h3)" w:cs="Times New Roman"/>
          <w:sz w:val="20"/>
          <w:szCs w:val="20"/>
        </w:rPr>
        <w:t>Table 2 – Second</w:t>
      </w:r>
      <w:r>
        <w:rPr>
          <w:rFonts w:hint="default" w:ascii="Times New Roman" w:hAnsi="Times New Roman" w:eastAsia="var(--dsw-font-markdown-h3)" w:cs="Times New Roman"/>
          <w:sz w:val="20"/>
          <w:szCs w:val="20"/>
        </w:rPr>
        <w:noBreakHyphen/>
      </w:r>
      <w:r>
        <w:rPr>
          <w:rFonts w:hint="default" w:ascii="Times New Roman" w:hAnsi="Times New Roman" w:eastAsia="var(--dsw-font-markdown-h3)" w:cs="Times New Roman"/>
          <w:sz w:val="20"/>
          <w:szCs w:val="20"/>
        </w:rPr>
        <w:t>level items</w:t>
      </w:r>
    </w:p>
    <w:tbl>
      <w:tblP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278"/>
        <w:gridCol w:w="3900"/>
        <w:gridCol w:w="5727"/>
        <w:gridCol w:w="2173"/>
      </w:tblGrid>
      <w:tr w14:paraId="53E0D3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2278" w:type="dxa"/>
            <w:tcBorders>
              <w:bottom w:val="single" w:color="auto" w:sz="4" w:space="0"/>
            </w:tcBorders>
            <w:shd w:val="clear"/>
            <w:tcMar>
              <w:top w:w="75" w:type="dxa"/>
              <w:left w:w="0" w:type="dxa"/>
              <w:bottom w:w="75" w:type="dxa"/>
              <w:right w:w="120" w:type="dxa"/>
            </w:tcMar>
            <w:vAlign w:val="center"/>
          </w:tcPr>
          <w:p w14:paraId="7C89E150">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First</w:t>
            </w:r>
            <w:r>
              <w:rPr>
                <w:rFonts w:hint="default" w:ascii="Times New Roman" w:hAnsi="Times New Roman" w:eastAsia="var(--dsw-font-markdown-table-head)" w:cs="Times New Roman"/>
                <w:b/>
                <w:bCs/>
                <w:kern w:val="0"/>
                <w:sz w:val="20"/>
                <w:szCs w:val="20"/>
                <w:bdr w:val="none" w:color="auto" w:sz="0" w:space="0"/>
                <w:lang w:val="en-US" w:eastAsia="zh-CN" w:bidi="ar"/>
              </w:rPr>
              <w:noBreakHyphen/>
            </w:r>
            <w:r>
              <w:rPr>
                <w:rFonts w:hint="default" w:ascii="Times New Roman" w:hAnsi="Times New Roman" w:eastAsia="var(--dsw-font-markdown-table-head)" w:cs="Times New Roman"/>
                <w:b/>
                <w:bCs/>
                <w:kern w:val="0"/>
                <w:sz w:val="20"/>
                <w:szCs w:val="20"/>
                <w:bdr w:val="none" w:color="auto" w:sz="0" w:space="0"/>
                <w:lang w:val="en-US" w:eastAsia="zh-CN" w:bidi="ar"/>
              </w:rPr>
              <w:t>level item</w:t>
            </w:r>
          </w:p>
        </w:tc>
        <w:tc>
          <w:tcPr>
            <w:tcW w:w="3900" w:type="dxa"/>
            <w:tcBorders>
              <w:bottom w:val="single" w:color="auto" w:sz="4" w:space="0"/>
            </w:tcBorders>
            <w:shd w:val="clear"/>
            <w:tcMar>
              <w:top w:w="75" w:type="dxa"/>
              <w:left w:w="120" w:type="dxa"/>
              <w:bottom w:w="75" w:type="dxa"/>
              <w:right w:w="120" w:type="dxa"/>
            </w:tcMar>
            <w:vAlign w:val="center"/>
          </w:tcPr>
          <w:p w14:paraId="6F9769BE">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Second</w:t>
            </w:r>
            <w:r>
              <w:rPr>
                <w:rFonts w:hint="default" w:ascii="Times New Roman" w:hAnsi="Times New Roman" w:eastAsia="var(--dsw-font-markdown-table-head)" w:cs="Times New Roman"/>
                <w:b/>
                <w:bCs/>
                <w:kern w:val="0"/>
                <w:sz w:val="20"/>
                <w:szCs w:val="20"/>
                <w:bdr w:val="none" w:color="auto" w:sz="0" w:space="0"/>
                <w:lang w:val="en-US" w:eastAsia="zh-CN" w:bidi="ar"/>
              </w:rPr>
              <w:noBreakHyphen/>
            </w:r>
            <w:r>
              <w:rPr>
                <w:rFonts w:hint="default" w:ascii="Times New Roman" w:hAnsi="Times New Roman" w:eastAsia="var(--dsw-font-markdown-table-head)" w:cs="Times New Roman"/>
                <w:b/>
                <w:bCs/>
                <w:kern w:val="0"/>
                <w:sz w:val="20"/>
                <w:szCs w:val="20"/>
                <w:bdr w:val="none" w:color="auto" w:sz="0" w:space="0"/>
                <w:lang w:val="en-US" w:eastAsia="zh-CN" w:bidi="ar"/>
              </w:rPr>
              <w:t>level item</w:t>
            </w:r>
          </w:p>
        </w:tc>
        <w:tc>
          <w:tcPr>
            <w:tcW w:w="5727" w:type="dxa"/>
            <w:tcBorders>
              <w:bottom w:val="single" w:color="auto" w:sz="4" w:space="0"/>
            </w:tcBorders>
            <w:shd w:val="clear"/>
            <w:tcMar>
              <w:top w:w="75" w:type="dxa"/>
              <w:left w:w="120" w:type="dxa"/>
              <w:bottom w:w="75" w:type="dxa"/>
              <w:right w:w="120" w:type="dxa"/>
            </w:tcMar>
            <w:vAlign w:val="center"/>
          </w:tcPr>
          <w:p w14:paraId="23929E1A">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Importance score (5=very important, 4=important, 3=moderately important, 2=unimportant, 1=very unimportant)</w:t>
            </w:r>
          </w:p>
        </w:tc>
        <w:tc>
          <w:tcPr>
            <w:tcW w:w="2173" w:type="dxa"/>
            <w:tcBorders>
              <w:bottom w:val="single" w:color="auto" w:sz="4" w:space="0"/>
            </w:tcBorders>
            <w:shd w:val="clear"/>
            <w:tcMar>
              <w:top w:w="75" w:type="dxa"/>
              <w:left w:w="120" w:type="dxa"/>
              <w:bottom w:w="75" w:type="dxa"/>
              <w:right w:w="120" w:type="dxa"/>
            </w:tcMar>
            <w:vAlign w:val="center"/>
          </w:tcPr>
          <w:p w14:paraId="0FEAAAE4">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Revision suggestion</w:t>
            </w:r>
          </w:p>
        </w:tc>
      </w:tr>
      <w:tr w14:paraId="61C398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op w:val="single" w:color="auto" w:sz="4" w:space="0"/>
              <w:tl2br w:val="nil"/>
              <w:tr2bl w:val="nil"/>
            </w:tcBorders>
            <w:shd w:val="clear"/>
            <w:tcMar>
              <w:top w:w="75" w:type="dxa"/>
              <w:left w:w="0" w:type="dxa"/>
              <w:bottom w:w="75" w:type="dxa"/>
              <w:right w:w="120" w:type="dxa"/>
            </w:tcMar>
            <w:vAlign w:val="center"/>
          </w:tcPr>
          <w:p w14:paraId="2A041518">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 Organisational management</w:t>
            </w:r>
          </w:p>
        </w:tc>
        <w:tc>
          <w:tcPr>
            <w:tcW w:w="3900" w:type="dxa"/>
            <w:tcBorders>
              <w:top w:val="single" w:color="auto" w:sz="4" w:space="0"/>
              <w:tl2br w:val="nil"/>
              <w:tr2bl w:val="nil"/>
            </w:tcBorders>
            <w:shd w:val="clear"/>
            <w:tcMar>
              <w:top w:w="75" w:type="dxa"/>
              <w:left w:w="120" w:type="dxa"/>
              <w:bottom w:w="75" w:type="dxa"/>
              <w:right w:w="120" w:type="dxa"/>
            </w:tcMar>
            <w:vAlign w:val="center"/>
          </w:tcPr>
          <w:p w14:paraId="55848BF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1.1 Establish a multidisciplinary nutrition support team</w:t>
            </w:r>
          </w:p>
        </w:tc>
        <w:tc>
          <w:tcPr>
            <w:tcW w:w="5727" w:type="dxa"/>
            <w:tcBorders>
              <w:top w:val="single" w:color="auto" w:sz="4" w:space="0"/>
              <w:tl2br w:val="nil"/>
              <w:tr2bl w:val="nil"/>
            </w:tcBorders>
            <w:shd w:val="clear"/>
            <w:tcMar>
              <w:top w:w="75" w:type="dxa"/>
              <w:left w:w="120" w:type="dxa"/>
              <w:bottom w:w="75" w:type="dxa"/>
              <w:right w:w="120" w:type="dxa"/>
            </w:tcMar>
            <w:vAlign w:val="center"/>
          </w:tcPr>
          <w:p w14:paraId="7243FC0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op w:val="single" w:color="auto" w:sz="4" w:space="0"/>
              <w:tl2br w:val="nil"/>
              <w:tr2bl w:val="nil"/>
            </w:tcBorders>
            <w:shd w:val="clear"/>
            <w:tcMar>
              <w:top w:w="75" w:type="dxa"/>
              <w:left w:w="120" w:type="dxa"/>
              <w:bottom w:w="75" w:type="dxa"/>
              <w:right w:w="0" w:type="dxa"/>
            </w:tcMar>
            <w:vAlign w:val="center"/>
          </w:tcPr>
          <w:p w14:paraId="761052EA">
            <w:pPr>
              <w:rPr>
                <w:rFonts w:hint="default" w:ascii="Times New Roman" w:hAnsi="Times New Roman" w:eastAsia="var(--dsw-font-markdown-table)" w:cs="Times New Roman"/>
                <w:sz w:val="20"/>
                <w:szCs w:val="20"/>
              </w:rPr>
            </w:pPr>
          </w:p>
        </w:tc>
      </w:tr>
      <w:tr w14:paraId="3F56D9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43579051">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17DF16C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1.2 Define roles and responsibilities</w:t>
            </w:r>
          </w:p>
        </w:tc>
        <w:tc>
          <w:tcPr>
            <w:tcW w:w="5727" w:type="dxa"/>
            <w:tcBorders>
              <w:tl2br w:val="nil"/>
              <w:tr2bl w:val="nil"/>
            </w:tcBorders>
            <w:shd w:val="clear"/>
            <w:tcMar>
              <w:top w:w="75" w:type="dxa"/>
              <w:left w:w="120" w:type="dxa"/>
              <w:bottom w:w="75" w:type="dxa"/>
              <w:right w:w="120" w:type="dxa"/>
            </w:tcMar>
            <w:vAlign w:val="center"/>
          </w:tcPr>
          <w:p w14:paraId="3949417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73313C26">
            <w:pPr>
              <w:rPr>
                <w:rFonts w:hint="default" w:ascii="Times New Roman" w:hAnsi="Times New Roman" w:eastAsia="var(--dsw-font-markdown-table)" w:cs="Times New Roman"/>
                <w:sz w:val="20"/>
                <w:szCs w:val="20"/>
              </w:rPr>
            </w:pPr>
          </w:p>
        </w:tc>
      </w:tr>
      <w:tr w14:paraId="342A12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6375E577">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13182BC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1.3 Provide standardised training</w:t>
            </w:r>
          </w:p>
        </w:tc>
        <w:tc>
          <w:tcPr>
            <w:tcW w:w="5727" w:type="dxa"/>
            <w:tcBorders>
              <w:tl2br w:val="nil"/>
              <w:tr2bl w:val="nil"/>
            </w:tcBorders>
            <w:shd w:val="clear"/>
            <w:tcMar>
              <w:top w:w="75" w:type="dxa"/>
              <w:left w:w="120" w:type="dxa"/>
              <w:bottom w:w="75" w:type="dxa"/>
              <w:right w:w="120" w:type="dxa"/>
            </w:tcMar>
            <w:vAlign w:val="center"/>
          </w:tcPr>
          <w:p w14:paraId="0DD81233">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063E442F">
            <w:pPr>
              <w:rPr>
                <w:rFonts w:hint="default" w:ascii="Times New Roman" w:hAnsi="Times New Roman" w:eastAsia="var(--dsw-font-markdown-table)" w:cs="Times New Roman"/>
                <w:sz w:val="20"/>
                <w:szCs w:val="20"/>
              </w:rPr>
            </w:pPr>
          </w:p>
        </w:tc>
      </w:tr>
      <w:tr w14:paraId="6114F9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396B323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 Standardised screening and assessment</w:t>
            </w:r>
          </w:p>
        </w:tc>
        <w:tc>
          <w:tcPr>
            <w:tcW w:w="3900" w:type="dxa"/>
            <w:tcBorders>
              <w:tl2br w:val="nil"/>
              <w:tr2bl w:val="nil"/>
            </w:tcBorders>
            <w:shd w:val="clear"/>
            <w:tcMar>
              <w:top w:w="75" w:type="dxa"/>
              <w:left w:w="120" w:type="dxa"/>
              <w:bottom w:w="75" w:type="dxa"/>
              <w:right w:w="120" w:type="dxa"/>
            </w:tcMar>
            <w:vAlign w:val="center"/>
          </w:tcPr>
          <w:p w14:paraId="083E947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2.1 Nutritional requirements</w:t>
            </w:r>
          </w:p>
        </w:tc>
        <w:tc>
          <w:tcPr>
            <w:tcW w:w="5727" w:type="dxa"/>
            <w:tcBorders>
              <w:tl2br w:val="nil"/>
              <w:tr2bl w:val="nil"/>
            </w:tcBorders>
            <w:shd w:val="clear"/>
            <w:tcMar>
              <w:top w:w="75" w:type="dxa"/>
              <w:left w:w="120" w:type="dxa"/>
              <w:bottom w:w="75" w:type="dxa"/>
              <w:right w:w="120" w:type="dxa"/>
            </w:tcMar>
            <w:vAlign w:val="center"/>
          </w:tcPr>
          <w:p w14:paraId="57EB9A46">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55F02E05">
            <w:pPr>
              <w:rPr>
                <w:rFonts w:hint="default" w:ascii="Times New Roman" w:hAnsi="Times New Roman" w:eastAsia="var(--dsw-font-markdown-table)" w:cs="Times New Roman"/>
                <w:sz w:val="20"/>
                <w:szCs w:val="20"/>
              </w:rPr>
            </w:pPr>
          </w:p>
        </w:tc>
      </w:tr>
      <w:tr w14:paraId="2B9C29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4A5C35D8">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050ECAF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2.2 Nutritional risk screening</w:t>
            </w:r>
          </w:p>
        </w:tc>
        <w:tc>
          <w:tcPr>
            <w:tcW w:w="5727" w:type="dxa"/>
            <w:tcBorders>
              <w:tl2br w:val="nil"/>
              <w:tr2bl w:val="nil"/>
            </w:tcBorders>
            <w:shd w:val="clear"/>
            <w:tcMar>
              <w:top w:w="75" w:type="dxa"/>
              <w:left w:w="120" w:type="dxa"/>
              <w:bottom w:w="75" w:type="dxa"/>
              <w:right w:w="120" w:type="dxa"/>
            </w:tcMar>
            <w:vAlign w:val="center"/>
          </w:tcPr>
          <w:p w14:paraId="5137293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79D20BD7">
            <w:pPr>
              <w:rPr>
                <w:rFonts w:hint="default" w:ascii="Times New Roman" w:hAnsi="Times New Roman" w:eastAsia="var(--dsw-font-markdown-table)" w:cs="Times New Roman"/>
                <w:sz w:val="20"/>
                <w:szCs w:val="20"/>
              </w:rPr>
            </w:pPr>
          </w:p>
        </w:tc>
      </w:tr>
      <w:tr w14:paraId="72C1F6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25F5C03C">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4C981413">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2.3 Nutritional status assessment</w:t>
            </w:r>
          </w:p>
        </w:tc>
        <w:tc>
          <w:tcPr>
            <w:tcW w:w="5727" w:type="dxa"/>
            <w:tcBorders>
              <w:tl2br w:val="nil"/>
              <w:tr2bl w:val="nil"/>
            </w:tcBorders>
            <w:shd w:val="clear"/>
            <w:tcMar>
              <w:top w:w="75" w:type="dxa"/>
              <w:left w:w="120" w:type="dxa"/>
              <w:bottom w:w="75" w:type="dxa"/>
              <w:right w:w="120" w:type="dxa"/>
            </w:tcMar>
            <w:vAlign w:val="center"/>
          </w:tcPr>
          <w:p w14:paraId="3A09FC9F">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293ED784">
            <w:pPr>
              <w:rPr>
                <w:rFonts w:hint="default" w:ascii="Times New Roman" w:hAnsi="Times New Roman" w:eastAsia="var(--dsw-font-markdown-table)" w:cs="Times New Roman"/>
                <w:sz w:val="20"/>
                <w:szCs w:val="20"/>
              </w:rPr>
            </w:pPr>
          </w:p>
        </w:tc>
      </w:tr>
      <w:tr w14:paraId="3A253B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7180E28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 Nutrition intervention strategies</w:t>
            </w:r>
          </w:p>
        </w:tc>
        <w:tc>
          <w:tcPr>
            <w:tcW w:w="3900" w:type="dxa"/>
            <w:tcBorders>
              <w:tl2br w:val="nil"/>
              <w:tr2bl w:val="nil"/>
            </w:tcBorders>
            <w:shd w:val="clear"/>
            <w:tcMar>
              <w:top w:w="75" w:type="dxa"/>
              <w:left w:w="120" w:type="dxa"/>
              <w:bottom w:w="75" w:type="dxa"/>
              <w:right w:w="120" w:type="dxa"/>
            </w:tcMar>
            <w:vAlign w:val="center"/>
          </w:tcPr>
          <w:p w14:paraId="50F3B05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3.1 Timing and methods of nutrition intervention</w:t>
            </w:r>
          </w:p>
        </w:tc>
        <w:tc>
          <w:tcPr>
            <w:tcW w:w="5727" w:type="dxa"/>
            <w:tcBorders>
              <w:tl2br w:val="nil"/>
              <w:tr2bl w:val="nil"/>
            </w:tcBorders>
            <w:shd w:val="clear"/>
            <w:tcMar>
              <w:top w:w="75" w:type="dxa"/>
              <w:left w:w="120" w:type="dxa"/>
              <w:bottom w:w="75" w:type="dxa"/>
              <w:right w:w="120" w:type="dxa"/>
            </w:tcMar>
            <w:vAlign w:val="center"/>
          </w:tcPr>
          <w:p w14:paraId="7BB1ECC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1310CE15">
            <w:pPr>
              <w:rPr>
                <w:rFonts w:hint="default" w:ascii="Times New Roman" w:hAnsi="Times New Roman" w:eastAsia="var(--dsw-font-markdown-table)" w:cs="Times New Roman"/>
                <w:sz w:val="20"/>
                <w:szCs w:val="20"/>
              </w:rPr>
            </w:pPr>
          </w:p>
        </w:tc>
      </w:tr>
      <w:tr w14:paraId="13A096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0435416D">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2314ED7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3.2 Oral nutritional supplements (ONS)</w:t>
            </w:r>
          </w:p>
        </w:tc>
        <w:tc>
          <w:tcPr>
            <w:tcW w:w="5727" w:type="dxa"/>
            <w:tcBorders>
              <w:tl2br w:val="nil"/>
              <w:tr2bl w:val="nil"/>
            </w:tcBorders>
            <w:shd w:val="clear"/>
            <w:tcMar>
              <w:top w:w="75" w:type="dxa"/>
              <w:left w:w="120" w:type="dxa"/>
              <w:bottom w:w="75" w:type="dxa"/>
              <w:right w:w="120" w:type="dxa"/>
            </w:tcMar>
            <w:vAlign w:val="center"/>
          </w:tcPr>
          <w:p w14:paraId="032FA833">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689D4C27">
            <w:pPr>
              <w:rPr>
                <w:rFonts w:hint="default" w:ascii="Times New Roman" w:hAnsi="Times New Roman" w:eastAsia="var(--dsw-font-markdown-table)" w:cs="Times New Roman"/>
                <w:sz w:val="20"/>
                <w:szCs w:val="20"/>
              </w:rPr>
            </w:pPr>
          </w:p>
        </w:tc>
      </w:tr>
      <w:tr w14:paraId="29E7D4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610D984D">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6950728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3.3 Enteral nutrition (EN)</w:t>
            </w:r>
          </w:p>
        </w:tc>
        <w:tc>
          <w:tcPr>
            <w:tcW w:w="5727" w:type="dxa"/>
            <w:tcBorders>
              <w:tl2br w:val="nil"/>
              <w:tr2bl w:val="nil"/>
            </w:tcBorders>
            <w:shd w:val="clear"/>
            <w:tcMar>
              <w:top w:w="75" w:type="dxa"/>
              <w:left w:w="120" w:type="dxa"/>
              <w:bottom w:w="75" w:type="dxa"/>
              <w:right w:w="120" w:type="dxa"/>
            </w:tcMar>
            <w:vAlign w:val="center"/>
          </w:tcPr>
          <w:p w14:paraId="4134FB9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55A865EF">
            <w:pPr>
              <w:rPr>
                <w:rFonts w:hint="default" w:ascii="Times New Roman" w:hAnsi="Times New Roman" w:eastAsia="var(--dsw-font-markdown-table)" w:cs="Times New Roman"/>
                <w:sz w:val="20"/>
                <w:szCs w:val="20"/>
              </w:rPr>
            </w:pPr>
          </w:p>
        </w:tc>
      </w:tr>
      <w:tr w14:paraId="052C71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23234066">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1045D29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3.4 Parenteral nutrition (PN)</w:t>
            </w:r>
          </w:p>
        </w:tc>
        <w:tc>
          <w:tcPr>
            <w:tcW w:w="5727" w:type="dxa"/>
            <w:tcBorders>
              <w:tl2br w:val="nil"/>
              <w:tr2bl w:val="nil"/>
            </w:tcBorders>
            <w:shd w:val="clear"/>
            <w:tcMar>
              <w:top w:w="75" w:type="dxa"/>
              <w:left w:w="120" w:type="dxa"/>
              <w:bottom w:w="75" w:type="dxa"/>
              <w:right w:w="120" w:type="dxa"/>
            </w:tcMar>
            <w:vAlign w:val="center"/>
          </w:tcPr>
          <w:p w14:paraId="0C2D076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30A92CAF">
            <w:pPr>
              <w:rPr>
                <w:rFonts w:hint="default" w:ascii="Times New Roman" w:hAnsi="Times New Roman" w:eastAsia="var(--dsw-font-markdown-table)" w:cs="Times New Roman"/>
                <w:sz w:val="20"/>
                <w:szCs w:val="20"/>
              </w:rPr>
            </w:pPr>
          </w:p>
        </w:tc>
      </w:tr>
      <w:tr w14:paraId="379619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23DFB7D8">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2644197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3.5 Exercise intervention</w:t>
            </w:r>
          </w:p>
        </w:tc>
        <w:tc>
          <w:tcPr>
            <w:tcW w:w="5727" w:type="dxa"/>
            <w:tcBorders>
              <w:tl2br w:val="nil"/>
              <w:tr2bl w:val="nil"/>
            </w:tcBorders>
            <w:shd w:val="clear"/>
            <w:tcMar>
              <w:top w:w="75" w:type="dxa"/>
              <w:left w:w="120" w:type="dxa"/>
              <w:bottom w:w="75" w:type="dxa"/>
              <w:right w:w="120" w:type="dxa"/>
            </w:tcMar>
            <w:vAlign w:val="center"/>
          </w:tcPr>
          <w:p w14:paraId="595AC596">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32E46F1B">
            <w:pPr>
              <w:rPr>
                <w:rFonts w:hint="default" w:ascii="Times New Roman" w:hAnsi="Times New Roman" w:eastAsia="var(--dsw-font-markdown-table)" w:cs="Times New Roman"/>
                <w:sz w:val="20"/>
                <w:szCs w:val="20"/>
              </w:rPr>
            </w:pPr>
          </w:p>
        </w:tc>
      </w:tr>
      <w:tr w14:paraId="670656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0F22E806">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69B419F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3.6 Psychological care</w:t>
            </w:r>
          </w:p>
        </w:tc>
        <w:tc>
          <w:tcPr>
            <w:tcW w:w="5727" w:type="dxa"/>
            <w:tcBorders>
              <w:tl2br w:val="nil"/>
              <w:tr2bl w:val="nil"/>
            </w:tcBorders>
            <w:shd w:val="clear"/>
            <w:tcMar>
              <w:top w:w="75" w:type="dxa"/>
              <w:left w:w="120" w:type="dxa"/>
              <w:bottom w:w="75" w:type="dxa"/>
              <w:right w:w="120" w:type="dxa"/>
            </w:tcMar>
            <w:vAlign w:val="center"/>
          </w:tcPr>
          <w:p w14:paraId="1C5488D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737731FA">
            <w:pPr>
              <w:rPr>
                <w:rFonts w:hint="default" w:ascii="Times New Roman" w:hAnsi="Times New Roman" w:eastAsia="var(--dsw-font-markdown-table)" w:cs="Times New Roman"/>
                <w:sz w:val="20"/>
                <w:szCs w:val="20"/>
              </w:rPr>
            </w:pPr>
          </w:p>
        </w:tc>
      </w:tr>
      <w:tr w14:paraId="320EAE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23B5893D">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201713C3">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3.7 Nutrition strategies for chemotherapy</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related adverse effects</w:t>
            </w:r>
          </w:p>
        </w:tc>
        <w:tc>
          <w:tcPr>
            <w:tcW w:w="5727" w:type="dxa"/>
            <w:tcBorders>
              <w:tl2br w:val="nil"/>
              <w:tr2bl w:val="nil"/>
            </w:tcBorders>
            <w:shd w:val="clear"/>
            <w:tcMar>
              <w:top w:w="75" w:type="dxa"/>
              <w:left w:w="120" w:type="dxa"/>
              <w:bottom w:w="75" w:type="dxa"/>
              <w:right w:w="120" w:type="dxa"/>
            </w:tcMar>
            <w:vAlign w:val="center"/>
          </w:tcPr>
          <w:p w14:paraId="52775E5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4A9B2FA6">
            <w:pPr>
              <w:rPr>
                <w:rFonts w:hint="default" w:ascii="Times New Roman" w:hAnsi="Times New Roman" w:eastAsia="var(--dsw-font-markdown-table)" w:cs="Times New Roman"/>
                <w:sz w:val="20"/>
                <w:szCs w:val="20"/>
              </w:rPr>
            </w:pPr>
          </w:p>
        </w:tc>
      </w:tr>
      <w:tr w14:paraId="3C1D79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3B30B4B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 Health education</w:t>
            </w:r>
          </w:p>
        </w:tc>
        <w:tc>
          <w:tcPr>
            <w:tcW w:w="3900" w:type="dxa"/>
            <w:tcBorders>
              <w:tl2br w:val="nil"/>
              <w:tr2bl w:val="nil"/>
            </w:tcBorders>
            <w:shd w:val="clear"/>
            <w:tcMar>
              <w:top w:w="75" w:type="dxa"/>
              <w:left w:w="120" w:type="dxa"/>
              <w:bottom w:w="75" w:type="dxa"/>
              <w:right w:w="120" w:type="dxa"/>
            </w:tcMar>
            <w:vAlign w:val="center"/>
          </w:tcPr>
          <w:p w14:paraId="677C25A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4.1 Timing of health education</w:t>
            </w:r>
          </w:p>
        </w:tc>
        <w:tc>
          <w:tcPr>
            <w:tcW w:w="5727" w:type="dxa"/>
            <w:tcBorders>
              <w:tl2br w:val="nil"/>
              <w:tr2bl w:val="nil"/>
            </w:tcBorders>
            <w:shd w:val="clear"/>
            <w:tcMar>
              <w:top w:w="75" w:type="dxa"/>
              <w:left w:w="120" w:type="dxa"/>
              <w:bottom w:w="75" w:type="dxa"/>
              <w:right w:w="120" w:type="dxa"/>
            </w:tcMar>
            <w:vAlign w:val="center"/>
          </w:tcPr>
          <w:p w14:paraId="499A3B18">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003E5AB6">
            <w:pPr>
              <w:rPr>
                <w:rFonts w:hint="default" w:ascii="Times New Roman" w:hAnsi="Times New Roman" w:eastAsia="var(--dsw-font-markdown-table)" w:cs="Times New Roman"/>
                <w:sz w:val="20"/>
                <w:szCs w:val="20"/>
              </w:rPr>
            </w:pPr>
          </w:p>
        </w:tc>
      </w:tr>
      <w:tr w14:paraId="71E239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421F0C00">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0EC74C9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4.2 Content of health education</w:t>
            </w:r>
          </w:p>
        </w:tc>
        <w:tc>
          <w:tcPr>
            <w:tcW w:w="5727" w:type="dxa"/>
            <w:tcBorders>
              <w:tl2br w:val="nil"/>
              <w:tr2bl w:val="nil"/>
            </w:tcBorders>
            <w:shd w:val="clear"/>
            <w:tcMar>
              <w:top w:w="75" w:type="dxa"/>
              <w:left w:w="120" w:type="dxa"/>
              <w:bottom w:w="75" w:type="dxa"/>
              <w:right w:w="120" w:type="dxa"/>
            </w:tcMar>
            <w:vAlign w:val="center"/>
          </w:tcPr>
          <w:p w14:paraId="0DE45DE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31F5CA75">
            <w:pPr>
              <w:rPr>
                <w:rFonts w:hint="default" w:ascii="Times New Roman" w:hAnsi="Times New Roman" w:eastAsia="var(--dsw-font-markdown-table)" w:cs="Times New Roman"/>
                <w:sz w:val="20"/>
                <w:szCs w:val="20"/>
              </w:rPr>
            </w:pPr>
          </w:p>
        </w:tc>
      </w:tr>
      <w:tr w14:paraId="164C1AA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560CDA2B">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605C091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4.3 Methods of health education</w:t>
            </w:r>
          </w:p>
        </w:tc>
        <w:tc>
          <w:tcPr>
            <w:tcW w:w="5727" w:type="dxa"/>
            <w:tcBorders>
              <w:tl2br w:val="nil"/>
              <w:tr2bl w:val="nil"/>
            </w:tcBorders>
            <w:shd w:val="clear"/>
            <w:tcMar>
              <w:top w:w="75" w:type="dxa"/>
              <w:left w:w="120" w:type="dxa"/>
              <w:bottom w:w="75" w:type="dxa"/>
              <w:right w:w="120" w:type="dxa"/>
            </w:tcMar>
            <w:vAlign w:val="center"/>
          </w:tcPr>
          <w:p w14:paraId="4E28A36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13B00CBE">
            <w:pPr>
              <w:rPr>
                <w:rFonts w:hint="default" w:ascii="Times New Roman" w:hAnsi="Times New Roman" w:eastAsia="var(--dsw-font-markdown-table)" w:cs="Times New Roman"/>
                <w:sz w:val="20"/>
                <w:szCs w:val="20"/>
              </w:rPr>
            </w:pPr>
          </w:p>
        </w:tc>
      </w:tr>
      <w:tr w14:paraId="59627C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46DA8978">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Continuity of care</w:t>
            </w:r>
          </w:p>
        </w:tc>
        <w:tc>
          <w:tcPr>
            <w:tcW w:w="3900" w:type="dxa"/>
            <w:tcBorders>
              <w:tl2br w:val="nil"/>
              <w:tr2bl w:val="nil"/>
            </w:tcBorders>
            <w:shd w:val="clear"/>
            <w:tcMar>
              <w:top w:w="75" w:type="dxa"/>
              <w:left w:w="120" w:type="dxa"/>
              <w:bottom w:w="75" w:type="dxa"/>
              <w:right w:w="120" w:type="dxa"/>
            </w:tcMar>
            <w:vAlign w:val="center"/>
          </w:tcPr>
          <w:p w14:paraId="2350750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5.1 Timing of continuity of care</w:t>
            </w:r>
          </w:p>
        </w:tc>
        <w:tc>
          <w:tcPr>
            <w:tcW w:w="5727" w:type="dxa"/>
            <w:tcBorders>
              <w:tl2br w:val="nil"/>
              <w:tr2bl w:val="nil"/>
            </w:tcBorders>
            <w:shd w:val="clear"/>
            <w:tcMar>
              <w:top w:w="75" w:type="dxa"/>
              <w:left w:w="120" w:type="dxa"/>
              <w:bottom w:w="75" w:type="dxa"/>
              <w:right w:w="120" w:type="dxa"/>
            </w:tcMar>
            <w:vAlign w:val="center"/>
          </w:tcPr>
          <w:p w14:paraId="563E3A4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479667AE">
            <w:pPr>
              <w:rPr>
                <w:rFonts w:hint="default" w:ascii="Times New Roman" w:hAnsi="Times New Roman" w:eastAsia="var(--dsw-font-markdown-table)" w:cs="Times New Roman"/>
                <w:sz w:val="20"/>
                <w:szCs w:val="20"/>
              </w:rPr>
            </w:pPr>
          </w:p>
        </w:tc>
      </w:tr>
      <w:tr w14:paraId="1963C9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3D205B54">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1EB26C5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5.2 Content of continuity of care</w:t>
            </w:r>
          </w:p>
        </w:tc>
        <w:tc>
          <w:tcPr>
            <w:tcW w:w="5727" w:type="dxa"/>
            <w:tcBorders>
              <w:tl2br w:val="nil"/>
              <w:tr2bl w:val="nil"/>
            </w:tcBorders>
            <w:shd w:val="clear"/>
            <w:tcMar>
              <w:top w:w="75" w:type="dxa"/>
              <w:left w:w="120" w:type="dxa"/>
              <w:bottom w:w="75" w:type="dxa"/>
              <w:right w:w="120" w:type="dxa"/>
            </w:tcMar>
            <w:vAlign w:val="center"/>
          </w:tcPr>
          <w:p w14:paraId="402B25C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7BD5F13B">
            <w:pPr>
              <w:rPr>
                <w:rFonts w:hint="default" w:ascii="Times New Roman" w:hAnsi="Times New Roman" w:eastAsia="var(--dsw-font-markdown-table)" w:cs="Times New Roman"/>
                <w:sz w:val="20"/>
                <w:szCs w:val="20"/>
              </w:rPr>
            </w:pPr>
          </w:p>
        </w:tc>
      </w:tr>
      <w:tr w14:paraId="5AEEA8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8" w:type="dxa"/>
            <w:tcBorders>
              <w:tl2br w:val="nil"/>
              <w:tr2bl w:val="nil"/>
            </w:tcBorders>
            <w:shd w:val="clear"/>
            <w:tcMar>
              <w:top w:w="75" w:type="dxa"/>
              <w:left w:w="0" w:type="dxa"/>
              <w:bottom w:w="75" w:type="dxa"/>
              <w:right w:w="120" w:type="dxa"/>
            </w:tcMar>
            <w:vAlign w:val="center"/>
          </w:tcPr>
          <w:p w14:paraId="3BE61CF3">
            <w:pPr>
              <w:rPr>
                <w:rFonts w:hint="default" w:ascii="Times New Roman" w:hAnsi="Times New Roman" w:eastAsia="var(--dsw-font-markdown-table)" w:cs="Times New Roman"/>
                <w:sz w:val="20"/>
                <w:szCs w:val="20"/>
              </w:rPr>
            </w:pPr>
          </w:p>
        </w:tc>
        <w:tc>
          <w:tcPr>
            <w:tcW w:w="3900" w:type="dxa"/>
            <w:tcBorders>
              <w:tl2br w:val="nil"/>
              <w:tr2bl w:val="nil"/>
            </w:tcBorders>
            <w:shd w:val="clear"/>
            <w:tcMar>
              <w:top w:w="75" w:type="dxa"/>
              <w:left w:w="120" w:type="dxa"/>
              <w:bottom w:w="75" w:type="dxa"/>
              <w:right w:w="120" w:type="dxa"/>
            </w:tcMar>
            <w:vAlign w:val="center"/>
          </w:tcPr>
          <w:p w14:paraId="662CC59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5.3 Methods of continuity of care</w:t>
            </w:r>
          </w:p>
        </w:tc>
        <w:tc>
          <w:tcPr>
            <w:tcW w:w="5727" w:type="dxa"/>
            <w:tcBorders>
              <w:tl2br w:val="nil"/>
              <w:tr2bl w:val="nil"/>
            </w:tcBorders>
            <w:shd w:val="clear"/>
            <w:tcMar>
              <w:top w:w="75" w:type="dxa"/>
              <w:left w:w="120" w:type="dxa"/>
              <w:bottom w:w="75" w:type="dxa"/>
              <w:right w:w="120" w:type="dxa"/>
            </w:tcMar>
            <w:vAlign w:val="center"/>
          </w:tcPr>
          <w:p w14:paraId="2AE3AF2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2173" w:type="dxa"/>
            <w:tcBorders>
              <w:tl2br w:val="nil"/>
              <w:tr2bl w:val="nil"/>
            </w:tcBorders>
            <w:shd w:val="clear"/>
            <w:tcMar>
              <w:top w:w="75" w:type="dxa"/>
              <w:left w:w="120" w:type="dxa"/>
              <w:bottom w:w="75" w:type="dxa"/>
              <w:right w:w="0" w:type="dxa"/>
            </w:tcMar>
            <w:vAlign w:val="center"/>
          </w:tcPr>
          <w:p w14:paraId="712ECB27">
            <w:pPr>
              <w:rPr>
                <w:rFonts w:hint="default" w:ascii="Times New Roman" w:hAnsi="Times New Roman" w:eastAsia="var(--dsw-font-markdown-table)" w:cs="Times New Roman"/>
                <w:sz w:val="20"/>
                <w:szCs w:val="20"/>
              </w:rPr>
            </w:pPr>
          </w:p>
        </w:tc>
      </w:tr>
      <w:tr w14:paraId="216531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2278" w:type="dxa"/>
            <w:tcBorders>
              <w:tl2br w:val="nil"/>
              <w:tr2bl w:val="nil"/>
            </w:tcBorders>
            <w:shd w:val="clear" w:color="auto" w:fill="FFFFFF"/>
            <w:tcMar>
              <w:top w:w="75" w:type="dxa"/>
              <w:left w:w="0" w:type="dxa"/>
              <w:bottom w:w="75" w:type="dxa"/>
              <w:right w:w="120" w:type="dxa"/>
            </w:tcMar>
            <w:vAlign w:val="center"/>
          </w:tcPr>
          <w:p w14:paraId="0C516071">
            <w:pPr>
              <w:keepNext w:val="0"/>
              <w:keepLines w:val="0"/>
              <w:widowControl/>
              <w:suppressLineNumbers w:val="0"/>
              <w:ind w:left="0" w:firstLine="0"/>
              <w:jc w:val="left"/>
              <w:rPr>
                <w:rFonts w:hint="default" w:ascii="Times New Roman" w:hAnsi="Times New Roman" w:eastAsia="Segoe UI" w:cs="Times New Roman"/>
                <w:i w:val="0"/>
                <w:iCs w:val="0"/>
                <w:caps w:val="0"/>
                <w:color w:val="0F1115"/>
                <w:spacing w:val="0"/>
                <w:sz w:val="20"/>
                <w:szCs w:val="20"/>
              </w:rPr>
            </w:pPr>
            <w:r>
              <w:rPr>
                <w:rStyle w:val="8"/>
                <w:rFonts w:hint="default" w:ascii="Times New Roman" w:hAnsi="Times New Roman" w:eastAsia="Segoe UI" w:cs="Times New Roman"/>
                <w:b/>
                <w:bCs/>
                <w:i w:val="0"/>
                <w:iCs w:val="0"/>
                <w:caps w:val="0"/>
                <w:color w:val="0F1115"/>
                <w:spacing w:val="0"/>
                <w:kern w:val="0"/>
                <w:sz w:val="20"/>
                <w:szCs w:val="20"/>
                <w:bdr w:val="none" w:color="auto" w:sz="0" w:space="0"/>
                <w:lang w:val="en-US" w:eastAsia="zh-CN" w:bidi="ar"/>
              </w:rPr>
              <w:t>Items to be added:</w:t>
            </w:r>
          </w:p>
        </w:tc>
        <w:tc>
          <w:tcPr>
            <w:tcW w:w="3900" w:type="dxa"/>
            <w:tcBorders>
              <w:tl2br w:val="nil"/>
              <w:tr2bl w:val="nil"/>
            </w:tcBorders>
            <w:shd w:val="clear" w:color="auto" w:fill="FFFFFF"/>
            <w:tcMar>
              <w:top w:w="75" w:type="dxa"/>
              <w:left w:w="120" w:type="dxa"/>
              <w:bottom w:w="75" w:type="dxa"/>
              <w:right w:w="120" w:type="dxa"/>
            </w:tcMar>
            <w:vAlign w:val="center"/>
          </w:tcPr>
          <w:p w14:paraId="566BAE6F">
            <w:pPr>
              <w:keepNext w:val="0"/>
              <w:keepLines w:val="0"/>
              <w:widowControl/>
              <w:suppressLineNumbers w:val="0"/>
              <w:ind w:left="0" w:firstLine="0"/>
              <w:jc w:val="left"/>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宋体" w:cs="Times New Roman"/>
                <w:kern w:val="0"/>
                <w:sz w:val="20"/>
                <w:szCs w:val="20"/>
                <w:lang w:val="en-US" w:eastAsia="zh-CN" w:bidi="ar"/>
              </w:rPr>
              <w:br w:type="textWrapping"/>
            </w:r>
          </w:p>
        </w:tc>
        <w:tc>
          <w:tcPr>
            <w:tcW w:w="5727" w:type="dxa"/>
            <w:tcBorders>
              <w:tl2br w:val="nil"/>
              <w:tr2bl w:val="nil"/>
            </w:tcBorders>
            <w:shd w:val="clear"/>
            <w:vAlign w:val="center"/>
          </w:tcPr>
          <w:p w14:paraId="2E5B6E41">
            <w:pPr>
              <w:rPr>
                <w:rFonts w:hint="default" w:ascii="Times New Roman" w:hAnsi="Times New Roman" w:cs="Times New Roman"/>
                <w:sz w:val="20"/>
                <w:szCs w:val="20"/>
              </w:rPr>
            </w:pPr>
          </w:p>
        </w:tc>
        <w:tc>
          <w:tcPr>
            <w:tcW w:w="2173" w:type="dxa"/>
            <w:tcBorders>
              <w:tl2br w:val="nil"/>
              <w:tr2bl w:val="nil"/>
            </w:tcBorders>
            <w:shd w:val="clear"/>
            <w:vAlign w:val="center"/>
          </w:tcPr>
          <w:p w14:paraId="3EE5E8DF">
            <w:pPr>
              <w:rPr>
                <w:rFonts w:hint="default" w:ascii="Times New Roman" w:hAnsi="Times New Roman" w:cs="Times New Roman"/>
                <w:sz w:val="20"/>
                <w:szCs w:val="20"/>
              </w:rPr>
            </w:pPr>
          </w:p>
        </w:tc>
      </w:tr>
    </w:tbl>
    <w:p w14:paraId="7D560411">
      <w:pPr>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425" w:num="1"/>
          <w:docGrid w:type="lines" w:linePitch="312" w:charSpace="0"/>
        </w:sectPr>
      </w:pPr>
    </w:p>
    <w:p w14:paraId="105AA917">
      <w:pPr>
        <w:pStyle w:val="3"/>
        <w:keepNext w:val="0"/>
        <w:keepLines w:val="0"/>
        <w:widowControl/>
        <w:suppressLineNumbers w:val="0"/>
        <w:spacing w:before="240" w:beforeAutospacing="0" w:after="120" w:afterAutospacing="0"/>
        <w:ind w:left="0" w:right="0"/>
        <w:rPr>
          <w:rFonts w:hint="default" w:ascii="Times New Roman" w:hAnsi="Times New Roman" w:eastAsia="var(--dsw-font-markdown-h3)" w:cs="Times New Roman"/>
          <w:sz w:val="20"/>
          <w:szCs w:val="20"/>
        </w:rPr>
      </w:pPr>
      <w:r>
        <w:rPr>
          <w:rFonts w:hint="default" w:ascii="Times New Roman" w:hAnsi="Times New Roman" w:eastAsia="var(--dsw-font-markdown-h3)" w:cs="Times New Roman"/>
          <w:sz w:val="20"/>
          <w:szCs w:val="20"/>
        </w:rPr>
        <w:t>Table 3 – Third</w:t>
      </w:r>
      <w:r>
        <w:rPr>
          <w:rFonts w:hint="default" w:ascii="Times New Roman" w:hAnsi="Times New Roman" w:eastAsia="var(--dsw-font-markdown-h3)" w:cs="Times New Roman"/>
          <w:sz w:val="20"/>
          <w:szCs w:val="20"/>
        </w:rPr>
        <w:noBreakHyphen/>
      </w:r>
      <w:r>
        <w:rPr>
          <w:rFonts w:hint="default" w:ascii="Times New Roman" w:hAnsi="Times New Roman" w:eastAsia="var(--dsw-font-markdown-h3)" w:cs="Times New Roman"/>
          <w:sz w:val="20"/>
          <w:szCs w:val="20"/>
        </w:rPr>
        <w:t>level items</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1644"/>
        <w:gridCol w:w="2359"/>
        <w:gridCol w:w="4930"/>
        <w:gridCol w:w="3963"/>
        <w:gridCol w:w="1130"/>
      </w:tblGrid>
      <w:tr w14:paraId="6D8F1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1644" w:type="dxa"/>
            <w:tcBorders>
              <w:top w:val="nil"/>
            </w:tcBorders>
            <w:shd w:val="clear"/>
            <w:tcMar>
              <w:top w:w="75" w:type="dxa"/>
              <w:left w:w="0" w:type="dxa"/>
              <w:bottom w:w="75" w:type="dxa"/>
              <w:right w:w="120" w:type="dxa"/>
            </w:tcMar>
            <w:vAlign w:val="center"/>
          </w:tcPr>
          <w:p w14:paraId="29196569">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First</w:t>
            </w:r>
            <w:r>
              <w:rPr>
                <w:rFonts w:hint="default" w:ascii="Times New Roman" w:hAnsi="Times New Roman" w:eastAsia="var(--dsw-font-markdown-table-head)" w:cs="Times New Roman"/>
                <w:b/>
                <w:bCs/>
                <w:kern w:val="0"/>
                <w:sz w:val="20"/>
                <w:szCs w:val="20"/>
                <w:bdr w:val="none" w:color="auto" w:sz="0" w:space="0"/>
                <w:lang w:val="en-US" w:eastAsia="zh-CN" w:bidi="ar"/>
              </w:rPr>
              <w:noBreakHyphen/>
            </w:r>
            <w:r>
              <w:rPr>
                <w:rFonts w:hint="default" w:ascii="Times New Roman" w:hAnsi="Times New Roman" w:eastAsia="var(--dsw-font-markdown-table-head)" w:cs="Times New Roman"/>
                <w:b/>
                <w:bCs/>
                <w:kern w:val="0"/>
                <w:sz w:val="20"/>
                <w:szCs w:val="20"/>
                <w:bdr w:val="none" w:color="auto" w:sz="0" w:space="0"/>
                <w:lang w:val="en-US" w:eastAsia="zh-CN" w:bidi="ar"/>
              </w:rPr>
              <w:t>level item</w:t>
            </w:r>
          </w:p>
        </w:tc>
        <w:tc>
          <w:tcPr>
            <w:tcW w:w="2359" w:type="dxa"/>
            <w:tcBorders>
              <w:top w:val="nil"/>
            </w:tcBorders>
            <w:shd w:val="clear"/>
            <w:tcMar>
              <w:top w:w="75" w:type="dxa"/>
              <w:left w:w="120" w:type="dxa"/>
              <w:bottom w:w="75" w:type="dxa"/>
              <w:right w:w="120" w:type="dxa"/>
            </w:tcMar>
            <w:vAlign w:val="center"/>
          </w:tcPr>
          <w:p w14:paraId="4E12DEAD">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Second</w:t>
            </w:r>
            <w:r>
              <w:rPr>
                <w:rFonts w:hint="default" w:ascii="Times New Roman" w:hAnsi="Times New Roman" w:eastAsia="var(--dsw-font-markdown-table-head)" w:cs="Times New Roman"/>
                <w:b/>
                <w:bCs/>
                <w:kern w:val="0"/>
                <w:sz w:val="20"/>
                <w:szCs w:val="20"/>
                <w:bdr w:val="none" w:color="auto" w:sz="0" w:space="0"/>
                <w:lang w:val="en-US" w:eastAsia="zh-CN" w:bidi="ar"/>
              </w:rPr>
              <w:noBreakHyphen/>
            </w:r>
            <w:r>
              <w:rPr>
                <w:rFonts w:hint="default" w:ascii="Times New Roman" w:hAnsi="Times New Roman" w:eastAsia="var(--dsw-font-markdown-table-head)" w:cs="Times New Roman"/>
                <w:b/>
                <w:bCs/>
                <w:kern w:val="0"/>
                <w:sz w:val="20"/>
                <w:szCs w:val="20"/>
                <w:bdr w:val="none" w:color="auto" w:sz="0" w:space="0"/>
                <w:lang w:val="en-US" w:eastAsia="zh-CN" w:bidi="ar"/>
              </w:rPr>
              <w:t>level item</w:t>
            </w:r>
          </w:p>
        </w:tc>
        <w:tc>
          <w:tcPr>
            <w:tcW w:w="4930" w:type="dxa"/>
            <w:tcBorders>
              <w:top w:val="nil"/>
            </w:tcBorders>
            <w:shd w:val="clear"/>
            <w:tcMar>
              <w:top w:w="75" w:type="dxa"/>
              <w:left w:w="120" w:type="dxa"/>
              <w:bottom w:w="75" w:type="dxa"/>
              <w:right w:w="120" w:type="dxa"/>
            </w:tcMar>
            <w:vAlign w:val="center"/>
          </w:tcPr>
          <w:p w14:paraId="6E41BC1A">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Third</w:t>
            </w:r>
            <w:r>
              <w:rPr>
                <w:rFonts w:hint="default" w:ascii="Times New Roman" w:hAnsi="Times New Roman" w:eastAsia="var(--dsw-font-markdown-table-head)" w:cs="Times New Roman"/>
                <w:b/>
                <w:bCs/>
                <w:kern w:val="0"/>
                <w:sz w:val="20"/>
                <w:szCs w:val="20"/>
                <w:bdr w:val="none" w:color="auto" w:sz="0" w:space="0"/>
                <w:lang w:val="en-US" w:eastAsia="zh-CN" w:bidi="ar"/>
              </w:rPr>
              <w:noBreakHyphen/>
            </w:r>
            <w:r>
              <w:rPr>
                <w:rFonts w:hint="default" w:ascii="Times New Roman" w:hAnsi="Times New Roman" w:eastAsia="var(--dsw-font-markdown-table-head)" w:cs="Times New Roman"/>
                <w:b/>
                <w:bCs/>
                <w:kern w:val="0"/>
                <w:sz w:val="20"/>
                <w:szCs w:val="20"/>
                <w:bdr w:val="none" w:color="auto" w:sz="0" w:space="0"/>
                <w:lang w:val="en-US" w:eastAsia="zh-CN" w:bidi="ar"/>
              </w:rPr>
              <w:t>level item</w:t>
            </w:r>
          </w:p>
        </w:tc>
        <w:tc>
          <w:tcPr>
            <w:tcW w:w="3963" w:type="dxa"/>
            <w:tcBorders>
              <w:top w:val="nil"/>
            </w:tcBorders>
            <w:shd w:val="clear"/>
            <w:tcMar>
              <w:top w:w="75" w:type="dxa"/>
              <w:left w:w="120" w:type="dxa"/>
              <w:bottom w:w="75" w:type="dxa"/>
              <w:right w:w="120" w:type="dxa"/>
            </w:tcMar>
            <w:vAlign w:val="center"/>
          </w:tcPr>
          <w:p w14:paraId="631B4C1B">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Importance score (5=very important, 4=important, 3=moderately important, 2=unimportant, 1=very unimportant)</w:t>
            </w:r>
          </w:p>
        </w:tc>
        <w:tc>
          <w:tcPr>
            <w:tcW w:w="1130" w:type="dxa"/>
            <w:tcBorders>
              <w:top w:val="nil"/>
            </w:tcBorders>
            <w:shd w:val="clear"/>
            <w:tcMar>
              <w:top w:w="75" w:type="dxa"/>
              <w:left w:w="120" w:type="dxa"/>
              <w:bottom w:w="75" w:type="dxa"/>
              <w:right w:w="120" w:type="dxa"/>
            </w:tcMar>
            <w:vAlign w:val="center"/>
          </w:tcPr>
          <w:p w14:paraId="45C89316">
            <w:pPr>
              <w:keepNext w:val="0"/>
              <w:keepLines w:val="0"/>
              <w:widowControl/>
              <w:suppressLineNumbers w:val="0"/>
              <w:jc w:val="left"/>
              <w:rPr>
                <w:rFonts w:hint="default" w:ascii="Times New Roman" w:hAnsi="Times New Roman" w:eastAsia="var(--dsw-font-markdown-table-head)" w:cs="Times New Roman"/>
                <w:b/>
                <w:bCs/>
                <w:sz w:val="20"/>
                <w:szCs w:val="20"/>
              </w:rPr>
            </w:pPr>
            <w:r>
              <w:rPr>
                <w:rFonts w:hint="default" w:ascii="Times New Roman" w:hAnsi="Times New Roman" w:eastAsia="var(--dsw-font-markdown-table-head)" w:cs="Times New Roman"/>
                <w:b/>
                <w:bCs/>
                <w:kern w:val="0"/>
                <w:sz w:val="20"/>
                <w:szCs w:val="20"/>
                <w:bdr w:val="none" w:color="auto" w:sz="0" w:space="0"/>
                <w:lang w:val="en-US" w:eastAsia="zh-CN" w:bidi="ar"/>
              </w:rPr>
              <w:t>Revision suggestion</w:t>
            </w:r>
          </w:p>
        </w:tc>
      </w:tr>
      <w:tr w14:paraId="4D001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1FB11A43">
            <w:pPr>
              <w:keepNext w:val="0"/>
              <w:keepLines w:val="0"/>
              <w:widowControl/>
              <w:suppressLineNumbers w:val="0"/>
              <w:jc w:val="left"/>
              <w:rPr>
                <w:rFonts w:hint="default" w:ascii="Times New Roman" w:hAnsi="Times New Roman" w:eastAsia="var(--dsw-font-markdown-table)" w:cs="Times New Roman"/>
                <w:sz w:val="20"/>
                <w:szCs w:val="20"/>
              </w:rPr>
            </w:pPr>
            <w:r>
              <w:rPr>
                <w:rStyle w:val="8"/>
                <w:rFonts w:hint="default" w:ascii="Times New Roman" w:hAnsi="Times New Roman" w:eastAsia="var(--dsw-font-markdown-table)" w:cs="Times New Roman"/>
                <w:b/>
                <w:bCs/>
                <w:kern w:val="0"/>
                <w:sz w:val="20"/>
                <w:szCs w:val="20"/>
                <w:bdr w:val="none" w:color="auto" w:sz="0" w:space="0"/>
                <w:lang w:val="en-US" w:eastAsia="zh-CN" w:bidi="ar"/>
              </w:rPr>
              <w:t>1. Organisational management</w:t>
            </w:r>
          </w:p>
        </w:tc>
        <w:tc>
          <w:tcPr>
            <w:tcW w:w="2359" w:type="dxa"/>
            <w:shd w:val="clear"/>
            <w:tcMar>
              <w:top w:w="75" w:type="dxa"/>
              <w:left w:w="120" w:type="dxa"/>
              <w:bottom w:w="75" w:type="dxa"/>
              <w:right w:w="120" w:type="dxa"/>
            </w:tcMar>
            <w:vAlign w:val="center"/>
          </w:tcPr>
          <w:p w14:paraId="06C3501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1.1 Establish a multidisciplinary nutrition support team</w:t>
            </w:r>
          </w:p>
        </w:tc>
        <w:tc>
          <w:tcPr>
            <w:tcW w:w="4930" w:type="dxa"/>
            <w:shd w:val="clear"/>
            <w:tcMar>
              <w:top w:w="75" w:type="dxa"/>
              <w:left w:w="120" w:type="dxa"/>
              <w:bottom w:w="75" w:type="dxa"/>
              <w:right w:w="120" w:type="dxa"/>
            </w:tcMar>
            <w:vAlign w:val="center"/>
          </w:tcPr>
          <w:p w14:paraId="34D3CC5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1.1.1 Team members include paediatric haematology/oncology physicians and nurses, dietitians, rehabilitation physicians, psychotherapists, and medical social workers.</w:t>
            </w:r>
          </w:p>
        </w:tc>
        <w:tc>
          <w:tcPr>
            <w:tcW w:w="3963" w:type="dxa"/>
            <w:shd w:val="clear"/>
            <w:tcMar>
              <w:top w:w="75" w:type="dxa"/>
              <w:left w:w="120" w:type="dxa"/>
              <w:bottom w:w="75" w:type="dxa"/>
              <w:right w:w="120" w:type="dxa"/>
            </w:tcMar>
            <w:vAlign w:val="center"/>
          </w:tcPr>
          <w:p w14:paraId="4D5EF3A6">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130" w:type="dxa"/>
            <w:shd w:val="clear"/>
            <w:tcMar>
              <w:top w:w="75" w:type="dxa"/>
              <w:left w:w="120" w:type="dxa"/>
              <w:bottom w:w="75" w:type="dxa"/>
              <w:right w:w="0" w:type="dxa"/>
            </w:tcMar>
            <w:vAlign w:val="center"/>
          </w:tcPr>
          <w:p w14:paraId="1D6D3A87">
            <w:pPr>
              <w:rPr>
                <w:rFonts w:hint="default" w:ascii="Times New Roman" w:hAnsi="Times New Roman" w:eastAsia="var(--dsw-font-markdown-table)" w:cs="Times New Roman"/>
                <w:sz w:val="20"/>
                <w:szCs w:val="20"/>
              </w:rPr>
            </w:pPr>
          </w:p>
        </w:tc>
      </w:tr>
      <w:tr w14:paraId="038DA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64A532B6">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7B01692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1.2 Define roles and responsibilities</w:t>
            </w:r>
          </w:p>
        </w:tc>
        <w:tc>
          <w:tcPr>
            <w:tcW w:w="4930" w:type="dxa"/>
            <w:shd w:val="clear"/>
            <w:tcMar>
              <w:top w:w="75" w:type="dxa"/>
              <w:left w:w="120" w:type="dxa"/>
              <w:bottom w:w="75" w:type="dxa"/>
              <w:right w:w="120" w:type="dxa"/>
            </w:tcMar>
            <w:vAlign w:val="center"/>
          </w:tcPr>
          <w:p w14:paraId="406DA45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1.2.1 Designate a nutrition management coordinator responsible for condition assessment, development and implementation of treatment plans, and health education.</w:t>
            </w:r>
          </w:p>
        </w:tc>
        <w:tc>
          <w:tcPr>
            <w:tcW w:w="3963" w:type="dxa"/>
            <w:shd w:val="clear"/>
            <w:tcMar>
              <w:top w:w="75" w:type="dxa"/>
              <w:left w:w="120" w:type="dxa"/>
              <w:bottom w:w="75" w:type="dxa"/>
              <w:right w:w="120" w:type="dxa"/>
            </w:tcMar>
            <w:vAlign w:val="center"/>
          </w:tcPr>
          <w:p w14:paraId="265709F5">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130" w:type="dxa"/>
            <w:shd w:val="clear"/>
            <w:tcMar>
              <w:top w:w="75" w:type="dxa"/>
              <w:left w:w="120" w:type="dxa"/>
              <w:bottom w:w="75" w:type="dxa"/>
              <w:right w:w="0" w:type="dxa"/>
            </w:tcMar>
            <w:vAlign w:val="center"/>
          </w:tcPr>
          <w:p w14:paraId="71F5448E">
            <w:pPr>
              <w:rPr>
                <w:rFonts w:hint="default" w:ascii="Times New Roman" w:hAnsi="Times New Roman" w:eastAsia="var(--dsw-font-markdown-table)" w:cs="Times New Roman"/>
                <w:sz w:val="20"/>
                <w:szCs w:val="20"/>
              </w:rPr>
            </w:pPr>
          </w:p>
        </w:tc>
      </w:tr>
      <w:tr w14:paraId="17502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1CBAA8F">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41836001">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4F0A4F2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1.2.2 Dietitians are responsible for performing or supervising nutritional screening and assessment, nutrition diagnosis, development and adjustment of individualised nutrition treatment plans, nutrition monitoring, and health education.</w:t>
            </w:r>
          </w:p>
        </w:tc>
        <w:tc>
          <w:tcPr>
            <w:tcW w:w="3963" w:type="dxa"/>
            <w:shd w:val="clear"/>
            <w:tcMar>
              <w:top w:w="75" w:type="dxa"/>
              <w:left w:w="120" w:type="dxa"/>
              <w:bottom w:w="75" w:type="dxa"/>
              <w:right w:w="120" w:type="dxa"/>
            </w:tcMar>
            <w:vAlign w:val="center"/>
          </w:tcPr>
          <w:p w14:paraId="66380F25">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130" w:type="dxa"/>
            <w:shd w:val="clear"/>
            <w:tcMar>
              <w:top w:w="75" w:type="dxa"/>
              <w:left w:w="120" w:type="dxa"/>
              <w:bottom w:w="75" w:type="dxa"/>
              <w:right w:w="0" w:type="dxa"/>
            </w:tcMar>
            <w:vAlign w:val="center"/>
          </w:tcPr>
          <w:p w14:paraId="13AA902F">
            <w:pPr>
              <w:rPr>
                <w:rFonts w:hint="default" w:ascii="Times New Roman" w:hAnsi="Times New Roman" w:eastAsia="var(--dsw-font-markdown-table)" w:cs="Times New Roman"/>
                <w:sz w:val="20"/>
                <w:szCs w:val="20"/>
              </w:rPr>
            </w:pPr>
          </w:p>
        </w:tc>
      </w:tr>
      <w:tr w14:paraId="7E07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6F8AFCBA">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18D53FFE">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6646645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1.2.3 Designate a specialised nurse responsible for initial execution of nutritional screening, implementation and supervision of daily nutrition support, full</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process guidance and consultation, observation and reporting of adverse effects, coordination and communication of the multidisciplinary nutrition support team, and assistance in establishing and maintaining individualised nutrition files for children with continuous follow</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up, ensuring continuity of clinical nutrition management.</w:t>
            </w:r>
          </w:p>
        </w:tc>
        <w:tc>
          <w:tcPr>
            <w:tcW w:w="3963" w:type="dxa"/>
            <w:shd w:val="clear"/>
            <w:tcMar>
              <w:top w:w="75" w:type="dxa"/>
              <w:left w:w="120" w:type="dxa"/>
              <w:bottom w:w="75" w:type="dxa"/>
              <w:right w:w="120" w:type="dxa"/>
            </w:tcMar>
            <w:vAlign w:val="center"/>
          </w:tcPr>
          <w:p w14:paraId="7F2FAC1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130" w:type="dxa"/>
            <w:shd w:val="clear"/>
            <w:tcMar>
              <w:top w:w="75" w:type="dxa"/>
              <w:left w:w="120" w:type="dxa"/>
              <w:bottom w:w="75" w:type="dxa"/>
              <w:right w:w="0" w:type="dxa"/>
            </w:tcMar>
            <w:vAlign w:val="center"/>
          </w:tcPr>
          <w:p w14:paraId="75BFB5B8">
            <w:pPr>
              <w:rPr>
                <w:rFonts w:hint="default" w:ascii="Times New Roman" w:hAnsi="Times New Roman" w:eastAsia="var(--dsw-font-markdown-table)" w:cs="Times New Roman"/>
                <w:sz w:val="20"/>
                <w:szCs w:val="20"/>
              </w:rPr>
            </w:pPr>
          </w:p>
        </w:tc>
      </w:tr>
      <w:tr w14:paraId="711A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398E1A35">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137DA46">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2F85B1B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1.2.4 Psychotherapists are responsible for providing psychological counselling to children and their caregivers.</w:t>
            </w:r>
          </w:p>
        </w:tc>
        <w:tc>
          <w:tcPr>
            <w:tcW w:w="3963" w:type="dxa"/>
            <w:shd w:val="clear"/>
            <w:tcMar>
              <w:top w:w="75" w:type="dxa"/>
              <w:left w:w="120" w:type="dxa"/>
              <w:bottom w:w="75" w:type="dxa"/>
              <w:right w:w="120" w:type="dxa"/>
            </w:tcMar>
            <w:vAlign w:val="center"/>
          </w:tcPr>
          <w:p w14:paraId="24D427F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55A9D28D">
            <w:pPr>
              <w:rPr>
                <w:rFonts w:hint="default" w:ascii="Times New Roman" w:hAnsi="Times New Roman" w:eastAsia="var(--dsw-font-markdown-table)" w:cs="Times New Roman"/>
                <w:sz w:val="20"/>
                <w:szCs w:val="20"/>
              </w:rPr>
            </w:pPr>
          </w:p>
        </w:tc>
      </w:tr>
      <w:tr w14:paraId="723C0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1F2B12A4">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46CAABB0">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287ACFF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1.2.5 Rehabilitation physicians are responsible for developing individualised exercise plans for children.</w:t>
            </w:r>
          </w:p>
        </w:tc>
        <w:tc>
          <w:tcPr>
            <w:tcW w:w="3963" w:type="dxa"/>
            <w:shd w:val="clear"/>
            <w:tcMar>
              <w:top w:w="75" w:type="dxa"/>
              <w:left w:w="120" w:type="dxa"/>
              <w:bottom w:w="75" w:type="dxa"/>
              <w:right w:w="120" w:type="dxa"/>
            </w:tcMar>
            <w:vAlign w:val="center"/>
          </w:tcPr>
          <w:p w14:paraId="57151AC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23AAE5CD">
            <w:pPr>
              <w:rPr>
                <w:rFonts w:hint="default" w:ascii="Times New Roman" w:hAnsi="Times New Roman" w:eastAsia="var(--dsw-font-markdown-table)" w:cs="Times New Roman"/>
                <w:sz w:val="20"/>
                <w:szCs w:val="20"/>
              </w:rPr>
            </w:pPr>
          </w:p>
        </w:tc>
      </w:tr>
      <w:tr w14:paraId="339C0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C0940C7">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7BE2D258">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0F9EDFD6">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1.2.6 Medical social workers are responsible for providing medical play therapy and social support to children and caregivers.</w:t>
            </w:r>
          </w:p>
        </w:tc>
        <w:tc>
          <w:tcPr>
            <w:tcW w:w="3963" w:type="dxa"/>
            <w:shd w:val="clear"/>
            <w:tcMar>
              <w:top w:w="75" w:type="dxa"/>
              <w:left w:w="120" w:type="dxa"/>
              <w:bottom w:w="75" w:type="dxa"/>
              <w:right w:w="120" w:type="dxa"/>
            </w:tcMar>
            <w:vAlign w:val="center"/>
          </w:tcPr>
          <w:p w14:paraId="78F4C42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5FBDC42A">
            <w:pPr>
              <w:rPr>
                <w:rFonts w:hint="default" w:ascii="Times New Roman" w:hAnsi="Times New Roman" w:eastAsia="var(--dsw-font-markdown-table)" w:cs="Times New Roman"/>
                <w:sz w:val="20"/>
                <w:szCs w:val="20"/>
              </w:rPr>
            </w:pPr>
          </w:p>
        </w:tc>
      </w:tr>
      <w:tr w14:paraId="1D12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2D391A8A">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6A1AC1C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1.3 Provide standardised training and assessment</w:t>
            </w:r>
          </w:p>
        </w:tc>
        <w:tc>
          <w:tcPr>
            <w:tcW w:w="4930" w:type="dxa"/>
            <w:shd w:val="clear"/>
            <w:tcMar>
              <w:top w:w="75" w:type="dxa"/>
              <w:left w:w="120" w:type="dxa"/>
              <w:bottom w:w="75" w:type="dxa"/>
              <w:right w:w="120" w:type="dxa"/>
            </w:tcMar>
            <w:vAlign w:val="center"/>
          </w:tcPr>
          <w:p w14:paraId="53D9E61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1.3.1 Regularly organise professional nutrition training for team members, with different training foci for different team members, ensuring standardised core content.</w:t>
            </w:r>
          </w:p>
        </w:tc>
        <w:tc>
          <w:tcPr>
            <w:tcW w:w="3963" w:type="dxa"/>
            <w:shd w:val="clear"/>
            <w:tcMar>
              <w:top w:w="75" w:type="dxa"/>
              <w:left w:w="120" w:type="dxa"/>
              <w:bottom w:w="75" w:type="dxa"/>
              <w:right w:w="120" w:type="dxa"/>
            </w:tcMar>
            <w:vAlign w:val="center"/>
          </w:tcPr>
          <w:p w14:paraId="50AAB9C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7DEBF841">
            <w:pPr>
              <w:rPr>
                <w:rFonts w:hint="default" w:ascii="Times New Roman" w:hAnsi="Times New Roman" w:eastAsia="var(--dsw-font-markdown-table)" w:cs="Times New Roman"/>
                <w:sz w:val="20"/>
                <w:szCs w:val="20"/>
              </w:rPr>
            </w:pPr>
          </w:p>
        </w:tc>
      </w:tr>
      <w:tr w14:paraId="70EFB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0CAA85C9">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63F9B2EF">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7A25A20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1.3.2 Organise quarterly assessments of team members’ professional nutrition knowledge to evaluate training effectiveness and knowledge proficiency.</w:t>
            </w:r>
          </w:p>
        </w:tc>
        <w:tc>
          <w:tcPr>
            <w:tcW w:w="3963" w:type="dxa"/>
            <w:shd w:val="clear"/>
            <w:tcMar>
              <w:top w:w="75" w:type="dxa"/>
              <w:left w:w="120" w:type="dxa"/>
              <w:bottom w:w="75" w:type="dxa"/>
              <w:right w:w="120" w:type="dxa"/>
            </w:tcMar>
            <w:vAlign w:val="center"/>
          </w:tcPr>
          <w:p w14:paraId="10CB2D6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14261067">
            <w:pPr>
              <w:rPr>
                <w:rFonts w:hint="default" w:ascii="Times New Roman" w:hAnsi="Times New Roman" w:eastAsia="var(--dsw-font-markdown-table)" w:cs="Times New Roman"/>
                <w:sz w:val="20"/>
                <w:szCs w:val="20"/>
              </w:rPr>
            </w:pPr>
          </w:p>
        </w:tc>
      </w:tr>
      <w:tr w14:paraId="10D6A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1" w:hRule="atLeast"/>
        </w:trPr>
        <w:tc>
          <w:tcPr>
            <w:tcW w:w="1644" w:type="dxa"/>
            <w:shd w:val="clear"/>
            <w:tcMar>
              <w:top w:w="75" w:type="dxa"/>
              <w:left w:w="0" w:type="dxa"/>
              <w:bottom w:w="75" w:type="dxa"/>
              <w:right w:w="120" w:type="dxa"/>
            </w:tcMar>
            <w:vAlign w:val="center"/>
          </w:tcPr>
          <w:p w14:paraId="13AD9289">
            <w:pPr>
              <w:keepNext w:val="0"/>
              <w:keepLines w:val="0"/>
              <w:widowControl/>
              <w:suppressLineNumbers w:val="0"/>
              <w:jc w:val="left"/>
              <w:rPr>
                <w:rFonts w:hint="default" w:ascii="Times New Roman" w:hAnsi="Times New Roman" w:eastAsia="var(--dsw-font-markdown-table)" w:cs="Times New Roman"/>
                <w:sz w:val="20"/>
                <w:szCs w:val="20"/>
              </w:rPr>
            </w:pPr>
            <w:r>
              <w:rPr>
                <w:rStyle w:val="8"/>
                <w:rFonts w:hint="default" w:ascii="Times New Roman" w:hAnsi="Times New Roman" w:eastAsia="var(--dsw-font-markdown-table)" w:cs="Times New Roman"/>
                <w:b/>
                <w:bCs/>
                <w:kern w:val="0"/>
                <w:sz w:val="20"/>
                <w:szCs w:val="20"/>
                <w:bdr w:val="none" w:color="auto" w:sz="0" w:space="0"/>
                <w:lang w:val="en-US" w:eastAsia="zh-CN" w:bidi="ar"/>
              </w:rPr>
              <w:t>Items to be added</w:t>
            </w:r>
          </w:p>
        </w:tc>
        <w:tc>
          <w:tcPr>
            <w:tcW w:w="12382" w:type="dxa"/>
            <w:gridSpan w:val="4"/>
            <w:shd w:val="clear"/>
            <w:tcMar>
              <w:top w:w="75" w:type="dxa"/>
              <w:left w:w="120" w:type="dxa"/>
              <w:bottom w:w="75" w:type="dxa"/>
              <w:right w:w="120" w:type="dxa"/>
            </w:tcMar>
            <w:vAlign w:val="center"/>
          </w:tcPr>
          <w:p w14:paraId="6B04BC5F">
            <w:pPr>
              <w:rPr>
                <w:rFonts w:hint="default" w:ascii="Times New Roman" w:hAnsi="Times New Roman" w:eastAsia="var(--dsw-font-markdown-table)" w:cs="Times New Roman"/>
                <w:sz w:val="20"/>
                <w:szCs w:val="20"/>
              </w:rPr>
            </w:pPr>
          </w:p>
        </w:tc>
      </w:tr>
      <w:tr w14:paraId="1541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0F04CC3C">
            <w:pPr>
              <w:keepNext w:val="0"/>
              <w:keepLines w:val="0"/>
              <w:widowControl/>
              <w:suppressLineNumbers w:val="0"/>
              <w:jc w:val="left"/>
              <w:rPr>
                <w:rFonts w:hint="default" w:ascii="Times New Roman" w:hAnsi="Times New Roman" w:eastAsia="var(--dsw-font-markdown-table)" w:cs="Times New Roman"/>
                <w:sz w:val="20"/>
                <w:szCs w:val="20"/>
              </w:rPr>
            </w:pPr>
            <w:r>
              <w:rPr>
                <w:rStyle w:val="8"/>
                <w:rFonts w:hint="default" w:ascii="Times New Roman" w:hAnsi="Times New Roman" w:eastAsia="var(--dsw-font-markdown-table)" w:cs="Times New Roman"/>
                <w:b/>
                <w:bCs/>
                <w:kern w:val="0"/>
                <w:sz w:val="20"/>
                <w:szCs w:val="20"/>
                <w:bdr w:val="none" w:color="auto" w:sz="0" w:space="0"/>
                <w:lang w:val="en-US" w:eastAsia="zh-CN" w:bidi="ar"/>
              </w:rPr>
              <w:t>2. Standardised screening and assessment</w:t>
            </w:r>
          </w:p>
        </w:tc>
        <w:tc>
          <w:tcPr>
            <w:tcW w:w="2359" w:type="dxa"/>
            <w:shd w:val="clear"/>
            <w:tcMar>
              <w:top w:w="75" w:type="dxa"/>
              <w:left w:w="120" w:type="dxa"/>
              <w:bottom w:w="75" w:type="dxa"/>
              <w:right w:w="120" w:type="dxa"/>
            </w:tcMar>
            <w:vAlign w:val="center"/>
          </w:tcPr>
          <w:p w14:paraId="2F6F30A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2.1 Nutritional requirements</w:t>
            </w:r>
          </w:p>
        </w:tc>
        <w:tc>
          <w:tcPr>
            <w:tcW w:w="4930" w:type="dxa"/>
            <w:shd w:val="clear"/>
            <w:tcMar>
              <w:top w:w="75" w:type="dxa"/>
              <w:left w:w="120" w:type="dxa"/>
              <w:bottom w:w="75" w:type="dxa"/>
              <w:right w:w="120" w:type="dxa"/>
            </w:tcMar>
            <w:vAlign w:val="center"/>
          </w:tcPr>
          <w:p w14:paraId="6F7C3155">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2.1.1 Energy and protein target requirements should be individually assessed. For children in a stable condition, refer to the energy, protein, and micronutrient intakes recommended for normal children of the same age in the </w:t>
            </w:r>
            <w:r>
              <w:rPr>
                <w:rStyle w:val="9"/>
                <w:rFonts w:hint="default" w:ascii="Times New Roman" w:hAnsi="Times New Roman" w:eastAsia="var(--dsw-font-markdown-table)" w:cs="Times New Roman"/>
                <w:kern w:val="0"/>
                <w:sz w:val="20"/>
                <w:szCs w:val="20"/>
                <w:bdr w:val="none" w:color="auto" w:sz="0" w:space="0"/>
                <w:lang w:val="en-US" w:eastAsia="zh-CN" w:bidi="ar"/>
              </w:rPr>
              <w:t>Chinese Dietary Reference Intakes</w:t>
            </w:r>
            <w:r>
              <w:rPr>
                <w:rFonts w:hint="default" w:ascii="Times New Roman" w:hAnsi="Times New Roman" w:eastAsia="var(--dsw-font-markdown-table)" w:cs="Times New Roman"/>
                <w:kern w:val="0"/>
                <w:sz w:val="20"/>
                <w:szCs w:val="20"/>
                <w:bdr w:val="none" w:color="auto" w:sz="0" w:space="0"/>
                <w:lang w:val="en-US" w:eastAsia="zh-CN" w:bidi="ar"/>
              </w:rPr>
              <w:t> published by the Chinese Nutrition Society. Adjust dynamically according to treatment response, metabolic status, and weight change trends.</w:t>
            </w:r>
          </w:p>
        </w:tc>
        <w:tc>
          <w:tcPr>
            <w:tcW w:w="3963" w:type="dxa"/>
            <w:shd w:val="clear"/>
            <w:tcMar>
              <w:top w:w="75" w:type="dxa"/>
              <w:left w:w="120" w:type="dxa"/>
              <w:bottom w:w="75" w:type="dxa"/>
              <w:right w:w="120" w:type="dxa"/>
            </w:tcMar>
            <w:vAlign w:val="center"/>
          </w:tcPr>
          <w:p w14:paraId="0D30D175">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DCE7805">
            <w:pPr>
              <w:rPr>
                <w:rFonts w:hint="default" w:ascii="Times New Roman" w:hAnsi="Times New Roman" w:eastAsia="var(--dsw-font-markdown-table)" w:cs="Times New Roman"/>
                <w:sz w:val="20"/>
                <w:szCs w:val="20"/>
              </w:rPr>
            </w:pPr>
          </w:p>
        </w:tc>
      </w:tr>
      <w:tr w14:paraId="59B9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35C991D5">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463CA56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2.2 Nutritional risk screening</w:t>
            </w:r>
          </w:p>
        </w:tc>
        <w:tc>
          <w:tcPr>
            <w:tcW w:w="4930" w:type="dxa"/>
            <w:shd w:val="clear"/>
            <w:tcMar>
              <w:top w:w="75" w:type="dxa"/>
              <w:left w:w="120" w:type="dxa"/>
              <w:bottom w:w="75" w:type="dxa"/>
              <w:right w:w="120" w:type="dxa"/>
            </w:tcMar>
            <w:vAlign w:val="center"/>
          </w:tcPr>
          <w:p w14:paraId="6D7FB64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2.2.1 All children diagnosed with haematological malignancies should undergo nutritional risk screening using the STRONGkids tool.</w:t>
            </w:r>
          </w:p>
        </w:tc>
        <w:tc>
          <w:tcPr>
            <w:tcW w:w="3963" w:type="dxa"/>
            <w:shd w:val="clear"/>
            <w:tcMar>
              <w:top w:w="75" w:type="dxa"/>
              <w:left w:w="120" w:type="dxa"/>
              <w:bottom w:w="75" w:type="dxa"/>
              <w:right w:w="120" w:type="dxa"/>
            </w:tcMar>
            <w:vAlign w:val="center"/>
          </w:tcPr>
          <w:p w14:paraId="164E4F4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0943B543">
            <w:pPr>
              <w:rPr>
                <w:rFonts w:hint="default" w:ascii="Times New Roman" w:hAnsi="Times New Roman" w:eastAsia="var(--dsw-font-markdown-table)" w:cs="Times New Roman"/>
                <w:sz w:val="20"/>
                <w:szCs w:val="20"/>
              </w:rPr>
            </w:pPr>
          </w:p>
        </w:tc>
      </w:tr>
      <w:tr w14:paraId="55F72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3D4AFDDD">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43725C7">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29BF602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2.2.2 Timing of screening: the first nutritional screening should be completed within 24 hours of admission, and re</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screening should be performed weekly during hospitalisation. A STAMP score ≥4 indicates high nutritional risk, requiring further detailed nutritional assessment to establish a nutritional diagnosis.</w:t>
            </w:r>
          </w:p>
        </w:tc>
        <w:tc>
          <w:tcPr>
            <w:tcW w:w="3963" w:type="dxa"/>
            <w:shd w:val="clear"/>
            <w:tcMar>
              <w:top w:w="75" w:type="dxa"/>
              <w:left w:w="120" w:type="dxa"/>
              <w:bottom w:w="75" w:type="dxa"/>
              <w:right w:w="120" w:type="dxa"/>
            </w:tcMar>
            <w:vAlign w:val="center"/>
          </w:tcPr>
          <w:p w14:paraId="618F7FC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272D5C9A">
            <w:pPr>
              <w:rPr>
                <w:rFonts w:hint="default" w:ascii="Times New Roman" w:hAnsi="Times New Roman" w:eastAsia="var(--dsw-font-markdown-table)" w:cs="Times New Roman"/>
                <w:sz w:val="20"/>
                <w:szCs w:val="20"/>
              </w:rPr>
            </w:pPr>
          </w:p>
        </w:tc>
      </w:tr>
      <w:tr w14:paraId="05BC2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2D9311B4">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5D517EF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2.3 Nutritional status assessment</w:t>
            </w:r>
          </w:p>
        </w:tc>
        <w:tc>
          <w:tcPr>
            <w:tcW w:w="4930" w:type="dxa"/>
            <w:shd w:val="clear"/>
            <w:tcMar>
              <w:top w:w="75" w:type="dxa"/>
              <w:left w:w="120" w:type="dxa"/>
              <w:bottom w:w="75" w:type="dxa"/>
              <w:right w:w="120" w:type="dxa"/>
            </w:tcMar>
            <w:vAlign w:val="center"/>
          </w:tcPr>
          <w:p w14:paraId="077CCC4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2.3.1 Use the “ABCDEF” method for nutritional assessment, including: Anthropometry (A), Biochemical indices (B), Clinical assessment (C), Dietary assessment (D), Environment/Family information (E/F).</w:t>
            </w:r>
          </w:p>
        </w:tc>
        <w:tc>
          <w:tcPr>
            <w:tcW w:w="3963" w:type="dxa"/>
            <w:shd w:val="clear"/>
            <w:tcMar>
              <w:top w:w="75" w:type="dxa"/>
              <w:left w:w="120" w:type="dxa"/>
              <w:bottom w:w="75" w:type="dxa"/>
              <w:right w:w="120" w:type="dxa"/>
            </w:tcMar>
            <w:vAlign w:val="center"/>
          </w:tcPr>
          <w:p w14:paraId="5AA0858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4EAA90FD">
            <w:pPr>
              <w:rPr>
                <w:rFonts w:hint="default" w:ascii="Times New Roman" w:hAnsi="Times New Roman" w:eastAsia="var(--dsw-font-markdown-table)" w:cs="Times New Roman"/>
                <w:sz w:val="20"/>
                <w:szCs w:val="20"/>
              </w:rPr>
            </w:pPr>
          </w:p>
        </w:tc>
      </w:tr>
      <w:tr w14:paraId="330A0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7C4B00ED">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37162457">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5C8071A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2.3.2 Anthropometric measurements for nutritional assessment should include weight, height, body mass index (BMI), mid</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upper arm circumference, and triceps skinfold thickness. Results should be referenced against WHO standards.</w:t>
            </w:r>
          </w:p>
        </w:tc>
        <w:tc>
          <w:tcPr>
            <w:tcW w:w="3963" w:type="dxa"/>
            <w:shd w:val="clear"/>
            <w:tcMar>
              <w:top w:w="75" w:type="dxa"/>
              <w:left w:w="120" w:type="dxa"/>
              <w:bottom w:w="75" w:type="dxa"/>
              <w:right w:w="120" w:type="dxa"/>
            </w:tcMar>
            <w:vAlign w:val="center"/>
          </w:tcPr>
          <w:p w14:paraId="2D623E5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2C6EC0E8">
            <w:pPr>
              <w:rPr>
                <w:rFonts w:hint="default" w:ascii="Times New Roman" w:hAnsi="Times New Roman" w:eastAsia="var(--dsw-font-markdown-table)" w:cs="Times New Roman"/>
                <w:sz w:val="20"/>
                <w:szCs w:val="20"/>
              </w:rPr>
            </w:pPr>
          </w:p>
        </w:tc>
      </w:tr>
      <w:tr w14:paraId="392B9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507FDF9F">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27A79DF2">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194CAB7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2.3.3 Biochemical tests for nutritional assessment should include serum albumin, prealbumin, anaemia status, inflammatory markers, and specific minerals and vitamins.</w:t>
            </w:r>
          </w:p>
        </w:tc>
        <w:tc>
          <w:tcPr>
            <w:tcW w:w="3963" w:type="dxa"/>
            <w:shd w:val="clear"/>
            <w:tcMar>
              <w:top w:w="75" w:type="dxa"/>
              <w:left w:w="120" w:type="dxa"/>
              <w:bottom w:w="75" w:type="dxa"/>
              <w:right w:w="120" w:type="dxa"/>
            </w:tcMar>
            <w:vAlign w:val="center"/>
          </w:tcPr>
          <w:p w14:paraId="3F01468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783FF16">
            <w:pPr>
              <w:rPr>
                <w:rFonts w:hint="default" w:ascii="Times New Roman" w:hAnsi="Times New Roman" w:eastAsia="var(--dsw-font-markdown-table)" w:cs="Times New Roman"/>
                <w:sz w:val="20"/>
                <w:szCs w:val="20"/>
              </w:rPr>
            </w:pPr>
          </w:p>
        </w:tc>
      </w:tr>
      <w:tr w14:paraId="67DD2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3029BF5">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52B5B867">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5A7434B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2.3.4 Clinical assessment includes dietary intake, muscle wasting, subcutaneous fat, oedema, condition of skin, mucous membranes, and hair.</w:t>
            </w:r>
          </w:p>
        </w:tc>
        <w:tc>
          <w:tcPr>
            <w:tcW w:w="3963" w:type="dxa"/>
            <w:shd w:val="clear"/>
            <w:tcMar>
              <w:top w:w="75" w:type="dxa"/>
              <w:left w:w="120" w:type="dxa"/>
              <w:bottom w:w="75" w:type="dxa"/>
              <w:right w:w="120" w:type="dxa"/>
            </w:tcMar>
            <w:vAlign w:val="center"/>
          </w:tcPr>
          <w:p w14:paraId="6AF59DA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5C77051F">
            <w:pPr>
              <w:rPr>
                <w:rFonts w:hint="default" w:ascii="Times New Roman" w:hAnsi="Times New Roman" w:eastAsia="var(--dsw-font-markdown-table)" w:cs="Times New Roman"/>
                <w:sz w:val="20"/>
                <w:szCs w:val="20"/>
              </w:rPr>
            </w:pPr>
          </w:p>
        </w:tc>
      </w:tr>
      <w:tr w14:paraId="13F3D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72BF32F9">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225977C2">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5D53E52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2.3.5 Timing of nutritional assessment: for children identified as at high nutritional risk through screening, an initial nutritional assessment should be completed within 24 hours of admission, and individualised nutrition intervention should be initiated as soon as possible based on the assessment results. After relevant laboratory and other assessment information is complete, a comprehensive nutritional assessment should be completed within 72 hours of admission. Thereafter, weekly re</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assessment of nutritional status is required, with frequency adjusted dynamically according to malnutrition severity and treatment plan.</w:t>
            </w:r>
          </w:p>
        </w:tc>
        <w:tc>
          <w:tcPr>
            <w:tcW w:w="3963" w:type="dxa"/>
            <w:shd w:val="clear"/>
            <w:tcMar>
              <w:top w:w="75" w:type="dxa"/>
              <w:left w:w="120" w:type="dxa"/>
              <w:bottom w:w="75" w:type="dxa"/>
              <w:right w:w="120" w:type="dxa"/>
            </w:tcMar>
            <w:vAlign w:val="center"/>
          </w:tcPr>
          <w:p w14:paraId="0AB6CD0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1AD78C04">
            <w:pPr>
              <w:rPr>
                <w:rFonts w:hint="default" w:ascii="Times New Roman" w:hAnsi="Times New Roman" w:eastAsia="var(--dsw-font-markdown-table)" w:cs="Times New Roman"/>
                <w:sz w:val="20"/>
                <w:szCs w:val="20"/>
              </w:rPr>
            </w:pPr>
          </w:p>
        </w:tc>
      </w:tr>
      <w:tr w14:paraId="4CFEB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60" w:hRule="atLeast"/>
        </w:trPr>
        <w:tc>
          <w:tcPr>
            <w:tcW w:w="1644" w:type="dxa"/>
            <w:shd w:val="clear"/>
            <w:tcMar>
              <w:top w:w="75" w:type="dxa"/>
              <w:left w:w="0" w:type="dxa"/>
              <w:bottom w:w="75" w:type="dxa"/>
              <w:right w:w="120" w:type="dxa"/>
            </w:tcMar>
            <w:vAlign w:val="center"/>
          </w:tcPr>
          <w:p w14:paraId="2D5E6054">
            <w:pPr>
              <w:keepNext w:val="0"/>
              <w:keepLines w:val="0"/>
              <w:widowControl/>
              <w:suppressLineNumbers w:val="0"/>
              <w:jc w:val="left"/>
              <w:rPr>
                <w:rFonts w:hint="default" w:ascii="Times New Roman" w:hAnsi="Times New Roman" w:eastAsia="var(--dsw-font-markdown-table)" w:cs="Times New Roman"/>
                <w:sz w:val="20"/>
                <w:szCs w:val="20"/>
              </w:rPr>
            </w:pPr>
            <w:r>
              <w:rPr>
                <w:rStyle w:val="8"/>
                <w:rFonts w:hint="default" w:ascii="Times New Roman" w:hAnsi="Times New Roman" w:eastAsia="var(--dsw-font-markdown-table)" w:cs="Times New Roman"/>
                <w:b/>
                <w:bCs/>
                <w:kern w:val="0"/>
                <w:sz w:val="20"/>
                <w:szCs w:val="20"/>
                <w:bdr w:val="none" w:color="auto" w:sz="0" w:space="0"/>
                <w:lang w:val="en-US" w:eastAsia="zh-CN" w:bidi="ar"/>
              </w:rPr>
              <w:t>Items to be added</w:t>
            </w:r>
          </w:p>
        </w:tc>
        <w:tc>
          <w:tcPr>
            <w:tcW w:w="12382" w:type="dxa"/>
            <w:gridSpan w:val="4"/>
            <w:shd w:val="clear"/>
            <w:tcMar>
              <w:top w:w="75" w:type="dxa"/>
              <w:left w:w="120" w:type="dxa"/>
              <w:bottom w:w="75" w:type="dxa"/>
              <w:right w:w="120" w:type="dxa"/>
            </w:tcMar>
            <w:vAlign w:val="center"/>
          </w:tcPr>
          <w:p w14:paraId="42101389">
            <w:pPr>
              <w:rPr>
                <w:rFonts w:hint="default" w:ascii="Times New Roman" w:hAnsi="Times New Roman" w:eastAsia="var(--dsw-font-markdown-table)" w:cs="Times New Roman"/>
                <w:sz w:val="20"/>
                <w:szCs w:val="20"/>
              </w:rPr>
            </w:pPr>
          </w:p>
        </w:tc>
      </w:tr>
      <w:tr w14:paraId="0231E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2682A7A">
            <w:pPr>
              <w:keepNext w:val="0"/>
              <w:keepLines w:val="0"/>
              <w:widowControl/>
              <w:suppressLineNumbers w:val="0"/>
              <w:jc w:val="left"/>
              <w:rPr>
                <w:rFonts w:hint="default" w:ascii="Times New Roman" w:hAnsi="Times New Roman" w:eastAsia="var(--dsw-font-markdown-table)" w:cs="Times New Roman"/>
                <w:sz w:val="20"/>
                <w:szCs w:val="20"/>
              </w:rPr>
            </w:pPr>
            <w:r>
              <w:rPr>
                <w:rStyle w:val="8"/>
                <w:rFonts w:hint="default" w:ascii="Times New Roman" w:hAnsi="Times New Roman" w:eastAsia="var(--dsw-font-markdown-table)" w:cs="Times New Roman"/>
                <w:b/>
                <w:bCs/>
                <w:kern w:val="0"/>
                <w:sz w:val="20"/>
                <w:szCs w:val="20"/>
                <w:bdr w:val="none" w:color="auto" w:sz="0" w:space="0"/>
                <w:lang w:val="en-US" w:eastAsia="zh-CN" w:bidi="ar"/>
              </w:rPr>
              <w:t>3. Nutrition intervention strategies</w:t>
            </w:r>
          </w:p>
        </w:tc>
        <w:tc>
          <w:tcPr>
            <w:tcW w:w="2359" w:type="dxa"/>
            <w:shd w:val="clear"/>
            <w:tcMar>
              <w:top w:w="75" w:type="dxa"/>
              <w:left w:w="120" w:type="dxa"/>
              <w:bottom w:w="75" w:type="dxa"/>
              <w:right w:w="120" w:type="dxa"/>
            </w:tcMar>
            <w:vAlign w:val="center"/>
          </w:tcPr>
          <w:p w14:paraId="02C3CC8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3.1 Timing and methods of nutrition intervention</w:t>
            </w:r>
          </w:p>
        </w:tc>
        <w:tc>
          <w:tcPr>
            <w:tcW w:w="4930" w:type="dxa"/>
            <w:shd w:val="clear"/>
            <w:tcMar>
              <w:top w:w="75" w:type="dxa"/>
              <w:left w:w="120" w:type="dxa"/>
              <w:bottom w:w="75" w:type="dxa"/>
              <w:right w:w="120" w:type="dxa"/>
            </w:tcMar>
            <w:vAlign w:val="center"/>
          </w:tcPr>
          <w:p w14:paraId="13C3388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3.1.1 Timing of nutrition intervention: when nutritional screening and assessment indicate high nutritional risk and/or malnutrition; when the growth curve trend shows a decline crossing two major percentile lines in a short period; when weight loss exceeds 5% in the near term.</w:t>
            </w:r>
          </w:p>
        </w:tc>
        <w:tc>
          <w:tcPr>
            <w:tcW w:w="3963" w:type="dxa"/>
            <w:shd w:val="clear"/>
            <w:tcMar>
              <w:top w:w="75" w:type="dxa"/>
              <w:left w:w="120" w:type="dxa"/>
              <w:bottom w:w="75" w:type="dxa"/>
              <w:right w:w="120" w:type="dxa"/>
            </w:tcMar>
            <w:vAlign w:val="center"/>
          </w:tcPr>
          <w:p w14:paraId="67B5C63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64D78C9">
            <w:pPr>
              <w:rPr>
                <w:rFonts w:hint="default" w:ascii="Times New Roman" w:hAnsi="Times New Roman" w:eastAsia="var(--dsw-font-markdown-table)" w:cs="Times New Roman"/>
                <w:sz w:val="20"/>
                <w:szCs w:val="20"/>
              </w:rPr>
            </w:pPr>
          </w:p>
        </w:tc>
      </w:tr>
      <w:tr w14:paraId="3A02F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063A2B9C">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30B159F4">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487FF72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3.1.2 Methods of nutrition intervention: follow the five</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step treatment ladder for malnourished patients. Start from the bottom: first, oral diet plus nutrition education; then diet plus ONS; then EN; then partial EN plus partial PN; finally total PN. Move up to the next step when the lower step cannot meet 60% of target energy requirements for 3–5 days.</w:t>
            </w:r>
          </w:p>
        </w:tc>
        <w:tc>
          <w:tcPr>
            <w:tcW w:w="3963" w:type="dxa"/>
            <w:shd w:val="clear"/>
            <w:tcMar>
              <w:top w:w="75" w:type="dxa"/>
              <w:left w:w="120" w:type="dxa"/>
              <w:bottom w:w="75" w:type="dxa"/>
              <w:right w:w="120" w:type="dxa"/>
            </w:tcMar>
            <w:vAlign w:val="center"/>
          </w:tcPr>
          <w:p w14:paraId="499418F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25A1DC99">
            <w:pPr>
              <w:rPr>
                <w:rFonts w:hint="default" w:ascii="Times New Roman" w:hAnsi="Times New Roman" w:eastAsia="var(--dsw-font-markdown-table)" w:cs="Times New Roman"/>
                <w:sz w:val="20"/>
                <w:szCs w:val="20"/>
              </w:rPr>
            </w:pPr>
          </w:p>
        </w:tc>
      </w:tr>
      <w:tr w14:paraId="2E001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28507DC3">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595FDEC6">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44812D2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3.1.3 Nutrition intervention should be individualised according to the patient’s specific needs, clinical condition, and gastrointestinal function.</w:t>
            </w:r>
          </w:p>
        </w:tc>
        <w:tc>
          <w:tcPr>
            <w:tcW w:w="3963" w:type="dxa"/>
            <w:shd w:val="clear"/>
            <w:tcMar>
              <w:top w:w="75" w:type="dxa"/>
              <w:left w:w="120" w:type="dxa"/>
              <w:bottom w:w="75" w:type="dxa"/>
              <w:right w:w="120" w:type="dxa"/>
            </w:tcMar>
            <w:vAlign w:val="center"/>
          </w:tcPr>
          <w:p w14:paraId="107E56C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3785F90">
            <w:pPr>
              <w:rPr>
                <w:rFonts w:hint="default" w:ascii="Times New Roman" w:hAnsi="Times New Roman" w:eastAsia="var(--dsw-font-markdown-table)" w:cs="Times New Roman"/>
                <w:sz w:val="20"/>
                <w:szCs w:val="20"/>
              </w:rPr>
            </w:pPr>
          </w:p>
        </w:tc>
      </w:tr>
      <w:tr w14:paraId="13ADB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08E353C3">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A57AB2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3.2 Oral nutritional supplements (ONS)</w:t>
            </w:r>
          </w:p>
        </w:tc>
        <w:tc>
          <w:tcPr>
            <w:tcW w:w="4930" w:type="dxa"/>
            <w:shd w:val="clear"/>
            <w:tcMar>
              <w:top w:w="75" w:type="dxa"/>
              <w:left w:w="120" w:type="dxa"/>
              <w:bottom w:w="75" w:type="dxa"/>
              <w:right w:w="120" w:type="dxa"/>
            </w:tcMar>
            <w:vAlign w:val="center"/>
          </w:tcPr>
          <w:p w14:paraId="45B750B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3.2.1 If the child has a functional gastrointestinal tract, enteral nutrition is preferred. For children who can eat orally, nutrition support should begin with oral diet plus nutrition education.</w:t>
            </w:r>
          </w:p>
        </w:tc>
        <w:tc>
          <w:tcPr>
            <w:tcW w:w="3963" w:type="dxa"/>
            <w:shd w:val="clear"/>
            <w:tcMar>
              <w:top w:w="75" w:type="dxa"/>
              <w:left w:w="120" w:type="dxa"/>
              <w:bottom w:w="75" w:type="dxa"/>
              <w:right w:w="120" w:type="dxa"/>
            </w:tcMar>
            <w:vAlign w:val="center"/>
          </w:tcPr>
          <w:p w14:paraId="5FA69D2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01275926">
            <w:pPr>
              <w:rPr>
                <w:rFonts w:hint="default" w:ascii="Times New Roman" w:hAnsi="Times New Roman" w:eastAsia="var(--dsw-font-markdown-table)" w:cs="Times New Roman"/>
                <w:sz w:val="20"/>
                <w:szCs w:val="20"/>
              </w:rPr>
            </w:pPr>
          </w:p>
        </w:tc>
      </w:tr>
      <w:tr w14:paraId="59F56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5532E386">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5C58DC7B">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637D2B4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3.2.2 When oral intake improves with nutrition education but still cannot meet the body’s nutritional needs, ONS should be given.</w:t>
            </w:r>
          </w:p>
        </w:tc>
        <w:tc>
          <w:tcPr>
            <w:tcW w:w="3963" w:type="dxa"/>
            <w:shd w:val="clear"/>
            <w:tcMar>
              <w:top w:w="75" w:type="dxa"/>
              <w:left w:w="120" w:type="dxa"/>
              <w:bottom w:w="75" w:type="dxa"/>
              <w:right w:w="120" w:type="dxa"/>
            </w:tcMar>
            <w:vAlign w:val="center"/>
          </w:tcPr>
          <w:p w14:paraId="77D010D3">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57B95113">
            <w:pPr>
              <w:rPr>
                <w:rFonts w:hint="default" w:ascii="Times New Roman" w:hAnsi="Times New Roman" w:eastAsia="var(--dsw-font-markdown-table)" w:cs="Times New Roman"/>
                <w:sz w:val="20"/>
                <w:szCs w:val="20"/>
              </w:rPr>
            </w:pPr>
          </w:p>
        </w:tc>
      </w:tr>
      <w:tr w14:paraId="37B81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21201180">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F30AFD9">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2D9AA6B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3.2.3 Most ONS can be standard whole</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protein formulas. In case of severe intestinal dysfunction, an elemental formula may be chosen; in case of comorbid diabetes or glucose intolerance, a diabetes</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specific formula; in case of comorbid chronic renal insufficiency with severe electrolyte abnormalities, a special formula; when fluid restriction is needed, a high</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energy</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density ONS; for patients about to undergo major surgery, an immune</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enhancing ONS.</w:t>
            </w:r>
          </w:p>
        </w:tc>
        <w:tc>
          <w:tcPr>
            <w:tcW w:w="3963" w:type="dxa"/>
            <w:shd w:val="clear"/>
            <w:tcMar>
              <w:top w:w="75" w:type="dxa"/>
              <w:left w:w="120" w:type="dxa"/>
              <w:bottom w:w="75" w:type="dxa"/>
              <w:right w:w="120" w:type="dxa"/>
            </w:tcMar>
            <w:vAlign w:val="center"/>
          </w:tcPr>
          <w:p w14:paraId="1600D6E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3526F665">
            <w:pPr>
              <w:rPr>
                <w:rFonts w:hint="default" w:ascii="Times New Roman" w:hAnsi="Times New Roman" w:eastAsia="var(--dsw-font-markdown-table)" w:cs="Times New Roman"/>
                <w:sz w:val="20"/>
                <w:szCs w:val="20"/>
              </w:rPr>
            </w:pPr>
          </w:p>
        </w:tc>
      </w:tr>
      <w:tr w14:paraId="0138F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02C9A8E1">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7F1D95C4">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0C53ABD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3.2.4 Supplementation with whey protein</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fortified ONS is recommended, which may help improve nitrogen balance and muscle protein anabolism in paediatric cancer patients. However, careful evaluation is required in children with renal dysfunction or allergic constitution before implementation.</w:t>
            </w:r>
          </w:p>
        </w:tc>
        <w:tc>
          <w:tcPr>
            <w:tcW w:w="3963" w:type="dxa"/>
            <w:shd w:val="clear"/>
            <w:tcMar>
              <w:top w:w="75" w:type="dxa"/>
              <w:left w:w="120" w:type="dxa"/>
              <w:bottom w:w="75" w:type="dxa"/>
              <w:right w:w="120" w:type="dxa"/>
            </w:tcMar>
            <w:vAlign w:val="center"/>
          </w:tcPr>
          <w:p w14:paraId="01164DF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505BF451">
            <w:pPr>
              <w:rPr>
                <w:rFonts w:hint="default" w:ascii="Times New Roman" w:hAnsi="Times New Roman" w:eastAsia="var(--dsw-font-markdown-table)" w:cs="Times New Roman"/>
                <w:sz w:val="20"/>
                <w:szCs w:val="20"/>
              </w:rPr>
            </w:pPr>
          </w:p>
        </w:tc>
      </w:tr>
      <w:tr w14:paraId="17BD7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6A4406A">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AD5C71A">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385139A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3.2.5 In the absence of contraindications, supplementation with vitamin C, vitamin D, vitamin E, and selenium is recommended to improve nutritional status and reduce the incidence or severity of treatment</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related side effects.</w:t>
            </w:r>
          </w:p>
        </w:tc>
        <w:tc>
          <w:tcPr>
            <w:tcW w:w="3963" w:type="dxa"/>
            <w:shd w:val="clear"/>
            <w:tcMar>
              <w:top w:w="75" w:type="dxa"/>
              <w:left w:w="120" w:type="dxa"/>
              <w:bottom w:w="75" w:type="dxa"/>
              <w:right w:w="120" w:type="dxa"/>
            </w:tcMar>
            <w:vAlign w:val="center"/>
          </w:tcPr>
          <w:p w14:paraId="03D2A45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19B2023">
            <w:pPr>
              <w:rPr>
                <w:rFonts w:hint="default" w:ascii="Times New Roman" w:hAnsi="Times New Roman" w:eastAsia="var(--dsw-font-markdown-table)" w:cs="Times New Roman"/>
                <w:sz w:val="20"/>
                <w:szCs w:val="20"/>
              </w:rPr>
            </w:pPr>
          </w:p>
        </w:tc>
      </w:tr>
      <w:tr w14:paraId="1418B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6B3CF36D">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43F58CC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3.3 Enteral nutrition (EN)</w:t>
            </w:r>
          </w:p>
        </w:tc>
        <w:tc>
          <w:tcPr>
            <w:tcW w:w="4930" w:type="dxa"/>
            <w:shd w:val="clear"/>
            <w:tcMar>
              <w:top w:w="75" w:type="dxa"/>
              <w:left w:w="120" w:type="dxa"/>
              <w:bottom w:w="75" w:type="dxa"/>
              <w:right w:w="120" w:type="dxa"/>
            </w:tcMar>
            <w:vAlign w:val="center"/>
          </w:tcPr>
          <w:p w14:paraId="20491F9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3.3.1 When oral intake is not possible or ONS cannot meet nutritional requirements, or in conditions such as malabsorption, metabolic abnormalities, food allergy, pancreatitis, etc., EN should be provided promptly.</w:t>
            </w:r>
          </w:p>
        </w:tc>
        <w:tc>
          <w:tcPr>
            <w:tcW w:w="3963" w:type="dxa"/>
            <w:shd w:val="clear"/>
            <w:tcMar>
              <w:top w:w="75" w:type="dxa"/>
              <w:left w:w="120" w:type="dxa"/>
              <w:bottom w:w="75" w:type="dxa"/>
              <w:right w:w="120" w:type="dxa"/>
            </w:tcMar>
            <w:vAlign w:val="center"/>
          </w:tcPr>
          <w:p w14:paraId="313959EF">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267CCC31">
            <w:pPr>
              <w:rPr>
                <w:rFonts w:hint="default" w:ascii="Times New Roman" w:hAnsi="Times New Roman" w:eastAsia="var(--dsw-font-markdown-table)" w:cs="Times New Roman"/>
                <w:sz w:val="20"/>
                <w:szCs w:val="20"/>
              </w:rPr>
            </w:pPr>
          </w:p>
        </w:tc>
      </w:tr>
      <w:tr w14:paraId="43717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374295E">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2D004DCD">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3D837C1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3.3.2 For short</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term EN (&lt;4 weeks), a nasogastric tube is preferred. For children intolerant to nasogastric tubes or at high risk of regurgitation/aspiration, a nasojejunal tube is used. For children after abdominal surgery, with persistent high gastric residual volume, or unable to tolerate full</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volume EN, a nasojejunal tube is preferred. For long</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term EN (&gt;4 weeks), PEG or PEJ is considered when conditions permit.</w:t>
            </w:r>
          </w:p>
        </w:tc>
        <w:tc>
          <w:tcPr>
            <w:tcW w:w="3963" w:type="dxa"/>
            <w:shd w:val="clear"/>
            <w:tcMar>
              <w:top w:w="75" w:type="dxa"/>
              <w:left w:w="120" w:type="dxa"/>
              <w:bottom w:w="75" w:type="dxa"/>
              <w:right w:w="120" w:type="dxa"/>
            </w:tcMar>
            <w:vAlign w:val="center"/>
          </w:tcPr>
          <w:p w14:paraId="372E3D6F">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7F3A07DB">
            <w:pPr>
              <w:rPr>
                <w:rFonts w:hint="default" w:ascii="Times New Roman" w:hAnsi="Times New Roman" w:eastAsia="var(--dsw-font-markdown-table)" w:cs="Times New Roman"/>
                <w:sz w:val="20"/>
                <w:szCs w:val="20"/>
              </w:rPr>
            </w:pPr>
          </w:p>
        </w:tc>
      </w:tr>
      <w:tr w14:paraId="25829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0E4EBFDF">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5B711115">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2015FF10">
            <w:pPr>
              <w:keepNext w:val="0"/>
              <w:keepLines w:val="0"/>
              <w:widowControl/>
              <w:suppressLineNumbers w:val="0"/>
              <w:jc w:val="left"/>
              <w:rPr>
                <w:rFonts w:hint="default" w:ascii="Times New Roman" w:hAnsi="Times New Roman" w:eastAsia="var(--dsw-font-markdown-table)" w:cs="Times New Roman"/>
                <w:sz w:val="20"/>
                <w:szCs w:val="20"/>
                <w:lang w:val="en-US"/>
              </w:rPr>
            </w:pPr>
            <w:r>
              <w:rPr>
                <w:rFonts w:hint="default" w:ascii="Times New Roman" w:hAnsi="Times New Roman" w:eastAsia="var(--dsw-font-markdown-table)" w:cs="Times New Roman"/>
                <w:kern w:val="0"/>
                <w:sz w:val="20"/>
                <w:szCs w:val="20"/>
                <w:bdr w:val="none" w:color="auto" w:sz="0" w:space="0"/>
                <w:lang w:val="en-US" w:eastAsia="zh-CN" w:bidi="ar"/>
              </w:rPr>
              <w:t>3.3.3 EN formulas should be started at a low dose and low concentration, following a gradual increase principle. Infusion methods and indications:</w:t>
            </w:r>
            <w:r>
              <w:rPr>
                <w:rFonts w:hint="eastAsia" w:ascii="Times New Roman" w:hAnsi="Times New Roman" w:eastAsia="var(--dsw-font-markdown-table)" w:cs="Times New Roman"/>
                <w:kern w:val="0"/>
                <w:sz w:val="20"/>
                <w:szCs w:val="20"/>
                <w:bdr w:val="none" w:color="auto" w:sz="0" w:space="0"/>
                <w:lang w:val="en-US" w:eastAsia="zh-CN" w:bidi="ar"/>
              </w:rPr>
              <w:t xml:space="preserve"> </w:t>
            </w:r>
            <w:r>
              <w:rPr>
                <w:rFonts w:hint="default" w:ascii="Times New Roman" w:hAnsi="Times New Roman" w:eastAsia="var(--dsw-font-markdown-table)" w:cs="Times New Roman"/>
                <w:kern w:val="0"/>
                <w:sz w:val="20"/>
                <w:szCs w:val="20"/>
                <w:lang w:val="en-US" w:eastAsia="zh-CN" w:bidi="ar"/>
              </w:rPr>
              <w:t> ① </w:t>
            </w:r>
            <w:r>
              <w:rPr>
                <w:rStyle w:val="8"/>
                <w:rFonts w:hint="default" w:ascii="Times New Roman" w:hAnsi="Times New Roman" w:eastAsia="var(--dsw-font-markdown-table)" w:cs="Times New Roman"/>
                <w:b/>
                <w:bCs/>
                <w:kern w:val="0"/>
                <w:sz w:val="20"/>
                <w:szCs w:val="20"/>
                <w:lang w:val="en-US" w:eastAsia="zh-CN" w:bidi="ar"/>
              </w:rPr>
              <w:t>Intermittent bolus</w:t>
            </w:r>
            <w:r>
              <w:rPr>
                <w:rFonts w:hint="default" w:ascii="Times New Roman" w:hAnsi="Times New Roman" w:eastAsia="var(--dsw-font-markdown-table)" w:cs="Times New Roman"/>
                <w:kern w:val="0"/>
                <w:sz w:val="20"/>
                <w:szCs w:val="20"/>
                <w:lang w:val="en-US" w:eastAsia="zh-CN" w:bidi="ar"/>
              </w:rPr>
              <w:t> (including push and gravity drip): divide the total daily EN volume into meals according to the child’s age and regular feeding schedule, infuse over 30–60 minutes per meal. Suitable for children with good gastrointestinal motility and digestion/absorption who are fed via gastric tube but cannot eat orally due to oral disease, inability to swallow, or poor swallowing function.</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② </w:t>
            </w:r>
            <w:r>
              <w:rPr>
                <w:rStyle w:val="8"/>
                <w:rFonts w:hint="default" w:ascii="Times New Roman" w:hAnsi="Times New Roman" w:eastAsia="var(--dsw-font-markdown-table)" w:cs="Times New Roman"/>
                <w:b/>
                <w:bCs/>
                <w:kern w:val="0"/>
                <w:sz w:val="20"/>
                <w:szCs w:val="20"/>
                <w:lang w:val="en-US" w:eastAsia="zh-CN" w:bidi="ar"/>
              </w:rPr>
              <w:t>Intermittent infusion</w:t>
            </w:r>
            <w:r>
              <w:rPr>
                <w:rFonts w:hint="default" w:ascii="Times New Roman" w:hAnsi="Times New Roman" w:eastAsia="var(--dsw-font-markdown-table)" w:cs="Times New Roman"/>
                <w:kern w:val="0"/>
                <w:sz w:val="20"/>
                <w:szCs w:val="20"/>
                <w:lang w:val="en-US" w:eastAsia="zh-CN" w:bidi="ar"/>
              </w:rPr>
              <w:t>: divide the total daily EN volume into 6–8 infusions, each lasting &gt;1 hour, allowing the gastrointestinal tract to rest for 4–8 hours per day depending on tolerance. Suitable for children who cannot tolerate bolus feeding or are transitioning from continuous to intermittent infusion.</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 ③ </w:t>
            </w:r>
            <w:r>
              <w:rPr>
                <w:rStyle w:val="8"/>
                <w:rFonts w:hint="default" w:ascii="Times New Roman" w:hAnsi="Times New Roman" w:eastAsia="var(--dsw-font-markdown-table)" w:cs="Times New Roman"/>
                <w:b/>
                <w:bCs/>
                <w:kern w:val="0"/>
                <w:sz w:val="20"/>
                <w:szCs w:val="20"/>
                <w:lang w:val="en-US" w:eastAsia="zh-CN" w:bidi="ar"/>
              </w:rPr>
              <w:t>Continuous infusion</w:t>
            </w:r>
            <w:r>
              <w:rPr>
                <w:rFonts w:hint="default" w:ascii="Times New Roman" w:hAnsi="Times New Roman" w:eastAsia="var(--dsw-font-markdown-table)" w:cs="Times New Roman"/>
                <w:kern w:val="0"/>
                <w:sz w:val="20"/>
                <w:szCs w:val="20"/>
                <w:lang w:val="en-US" w:eastAsia="zh-CN" w:bidi="ar"/>
              </w:rPr>
              <w:t>: infuse the total daily EN volume over 24 hours via a feeding pump. Suitable for post</w:t>
            </w:r>
            <w:r>
              <w:rPr>
                <w:rFonts w:hint="default" w:ascii="Times New Roman" w:hAnsi="Times New Roman" w:eastAsia="var(--dsw-font-markdown-table)" w:cs="Times New Roman"/>
                <w:kern w:val="0"/>
                <w:sz w:val="20"/>
                <w:szCs w:val="20"/>
                <w:lang w:val="en-US" w:eastAsia="zh-CN" w:bidi="ar"/>
              </w:rPr>
              <w:noBreakHyphen/>
            </w:r>
            <w:r>
              <w:rPr>
                <w:rFonts w:hint="default" w:ascii="Times New Roman" w:hAnsi="Times New Roman" w:eastAsia="var(--dsw-font-markdown-table)" w:cs="Times New Roman"/>
                <w:kern w:val="0"/>
                <w:sz w:val="20"/>
                <w:szCs w:val="20"/>
                <w:lang w:val="en-US" w:eastAsia="zh-CN" w:bidi="ar"/>
              </w:rPr>
              <w:t>pyloric/jejunal feeding, or gastric feeding with poor gastrointestinal motility and digestion/absorption (e.g., gastroesophageal reflux, delayed gastric emptying, insufficient gastrointestinal motility, malabsorption, or intolerance to intermittent feeding).</w:t>
            </w:r>
          </w:p>
        </w:tc>
        <w:tc>
          <w:tcPr>
            <w:tcW w:w="3963" w:type="dxa"/>
            <w:shd w:val="clear"/>
            <w:tcMar>
              <w:top w:w="75" w:type="dxa"/>
              <w:left w:w="120" w:type="dxa"/>
              <w:bottom w:w="75" w:type="dxa"/>
              <w:right w:w="120" w:type="dxa"/>
            </w:tcMar>
            <w:vAlign w:val="center"/>
          </w:tcPr>
          <w:p w14:paraId="1111B909">
            <w:pPr>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1130" w:type="dxa"/>
            <w:shd w:val="clear"/>
            <w:tcMar>
              <w:top w:w="75" w:type="dxa"/>
              <w:left w:w="120" w:type="dxa"/>
              <w:bottom w:w="75" w:type="dxa"/>
              <w:right w:w="0" w:type="dxa"/>
            </w:tcMar>
            <w:vAlign w:val="center"/>
          </w:tcPr>
          <w:p w14:paraId="40456DFA">
            <w:pPr>
              <w:rPr>
                <w:rFonts w:hint="default" w:ascii="Times New Roman" w:hAnsi="Times New Roman" w:eastAsia="var(--dsw-font-markdown-table)" w:cs="Times New Roman"/>
                <w:sz w:val="20"/>
                <w:szCs w:val="20"/>
              </w:rPr>
            </w:pPr>
          </w:p>
        </w:tc>
      </w:tr>
      <w:tr w14:paraId="11ED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1AA05436">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3292952A">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2C75233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3.3.4 EN formulas should be warmed to 37–40 °C using a thermostat; the osmolality of the formula should be &lt;330 mmol/L to reduce diarrhoea. Use a feeding pump for continuous infusion, elevate the head of the bed by 30–45°, and maintain a semi</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recumbent position for 30 minutes after infusion.</w:t>
            </w:r>
          </w:p>
        </w:tc>
        <w:tc>
          <w:tcPr>
            <w:tcW w:w="3963" w:type="dxa"/>
            <w:shd w:val="clear"/>
            <w:tcMar>
              <w:top w:w="75" w:type="dxa"/>
              <w:left w:w="120" w:type="dxa"/>
              <w:bottom w:w="75" w:type="dxa"/>
              <w:right w:w="120" w:type="dxa"/>
            </w:tcMar>
            <w:vAlign w:val="center"/>
          </w:tcPr>
          <w:p w14:paraId="72F7EB5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E49E238">
            <w:pPr>
              <w:rPr>
                <w:rFonts w:hint="default" w:ascii="Times New Roman" w:hAnsi="Times New Roman" w:eastAsia="var(--dsw-font-markdown-table)" w:cs="Times New Roman"/>
                <w:sz w:val="20"/>
                <w:szCs w:val="20"/>
              </w:rPr>
            </w:pPr>
          </w:p>
        </w:tc>
      </w:tr>
      <w:tr w14:paraId="2C914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28D8F0B9">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A1E9036">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33A399F8">
            <w:pPr>
              <w:keepNext w:val="0"/>
              <w:keepLines w:val="0"/>
              <w:widowControl/>
              <w:suppressLineNumbers w:val="0"/>
              <w:jc w:val="left"/>
              <w:rPr>
                <w:rFonts w:hint="default" w:ascii="Times New Roman" w:hAnsi="Times New Roman" w:eastAsia="var(--dsw-font-markdown-table)" w:cs="Times New Roman"/>
                <w:sz w:val="20"/>
                <w:szCs w:val="20"/>
                <w:lang w:val="en-US"/>
              </w:rPr>
            </w:pPr>
            <w:r>
              <w:rPr>
                <w:rFonts w:hint="default" w:ascii="Times New Roman" w:hAnsi="Times New Roman" w:eastAsia="var(--dsw-font-markdown-table)" w:cs="Times New Roman"/>
                <w:kern w:val="0"/>
                <w:sz w:val="20"/>
                <w:szCs w:val="20"/>
                <w:bdr w:val="none" w:color="auto" w:sz="0" w:space="0"/>
                <w:lang w:val="en-US" w:eastAsia="zh-CN" w:bidi="ar"/>
              </w:rPr>
              <w:t>3.3.5 EN monitoring:</w:t>
            </w:r>
            <w:r>
              <w:rPr>
                <w:rFonts w:hint="eastAsia" w:ascii="Times New Roman" w:hAnsi="Times New Roman" w:eastAsia="var(--dsw-font-markdown-table)" w:cs="Times New Roman"/>
                <w:kern w:val="0"/>
                <w:sz w:val="20"/>
                <w:szCs w:val="20"/>
                <w:bdr w:val="none" w:color="auto" w:sz="0" w:space="0"/>
                <w:lang w:val="en-US" w:eastAsia="zh-CN" w:bidi="ar"/>
              </w:rPr>
              <w:t xml:space="preserve"> </w:t>
            </w:r>
            <w:r>
              <w:rPr>
                <w:rFonts w:hint="default" w:ascii="Times New Roman" w:hAnsi="Times New Roman" w:eastAsia="var(--dsw-font-markdown-table)" w:cs="Times New Roman"/>
                <w:kern w:val="0"/>
                <w:sz w:val="20"/>
                <w:szCs w:val="20"/>
                <w:lang w:val="en-US" w:eastAsia="zh-CN" w:bidi="ar"/>
              </w:rPr>
              <w:t>① Monitor gastrointestinal symptoms: vomiting, abdominal pain, bloating, diarrhoea, etc. If vomiting or bloating occurs, measure gastric residual volume before each feeding.</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② Monitor fluid intake and output: record daily fluid intake and output, evaluate whether the child’s requirements and balance are met.</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③ Assess nutrition delivery: based on intake, calculate the percentage of actual daily intake relative to nutritional requirements, and analyse the timing and reasons for EN discontinuation.</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④ Monitor laboratory parameters: during the first week of feeding, measure complete blood count and biochemistry every 1–2 days; after stabilisation, every 1–2 weeks.</w:t>
            </w:r>
          </w:p>
        </w:tc>
        <w:tc>
          <w:tcPr>
            <w:tcW w:w="3963" w:type="dxa"/>
            <w:shd w:val="clear"/>
            <w:tcMar>
              <w:top w:w="75" w:type="dxa"/>
              <w:left w:w="120" w:type="dxa"/>
              <w:bottom w:w="75" w:type="dxa"/>
              <w:right w:w="120" w:type="dxa"/>
            </w:tcMar>
            <w:vAlign w:val="center"/>
          </w:tcPr>
          <w:p w14:paraId="731A369B">
            <w:pPr>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1130" w:type="dxa"/>
            <w:shd w:val="clear"/>
            <w:tcMar>
              <w:top w:w="75" w:type="dxa"/>
              <w:left w:w="120" w:type="dxa"/>
              <w:bottom w:w="75" w:type="dxa"/>
              <w:right w:w="0" w:type="dxa"/>
            </w:tcMar>
            <w:vAlign w:val="center"/>
          </w:tcPr>
          <w:p w14:paraId="47CB97BB">
            <w:pPr>
              <w:rPr>
                <w:rFonts w:hint="default" w:ascii="Times New Roman" w:hAnsi="Times New Roman" w:eastAsia="var(--dsw-font-markdown-table)" w:cs="Times New Roman"/>
                <w:sz w:val="20"/>
                <w:szCs w:val="20"/>
              </w:rPr>
            </w:pPr>
          </w:p>
        </w:tc>
      </w:tr>
      <w:tr w14:paraId="006B2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0BBB5E5C">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4433068B">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6A7EF7E8">
            <w:pPr>
              <w:keepNext w:val="0"/>
              <w:keepLines w:val="0"/>
              <w:widowControl/>
              <w:suppressLineNumbers w:val="0"/>
              <w:jc w:val="left"/>
              <w:rPr>
                <w:rFonts w:hint="default" w:ascii="Times New Roman" w:hAnsi="Times New Roman" w:eastAsia="var(--dsw-font-markdown-table)" w:cs="Times New Roman"/>
                <w:sz w:val="20"/>
                <w:szCs w:val="20"/>
                <w:lang w:val="en-US"/>
              </w:rPr>
            </w:pPr>
            <w:r>
              <w:rPr>
                <w:rFonts w:hint="default" w:ascii="Times New Roman" w:hAnsi="Times New Roman" w:eastAsia="var(--dsw-font-markdown-table)" w:cs="Times New Roman"/>
                <w:kern w:val="0"/>
                <w:sz w:val="20"/>
                <w:szCs w:val="20"/>
                <w:bdr w:val="none" w:color="auto" w:sz="0" w:space="0"/>
                <w:lang w:val="en-US" w:eastAsia="zh-CN" w:bidi="ar"/>
              </w:rPr>
              <w:t>3.3.6 Management of EN</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related complications:</w:t>
            </w:r>
            <w:r>
              <w:rPr>
                <w:rFonts w:hint="eastAsia" w:ascii="Times New Roman" w:hAnsi="Times New Roman" w:eastAsia="var(--dsw-font-markdown-table)" w:cs="Times New Roman"/>
                <w:kern w:val="0"/>
                <w:sz w:val="20"/>
                <w:szCs w:val="20"/>
                <w:bdr w:val="none" w:color="auto" w:sz="0" w:space="0"/>
                <w:lang w:val="en-US" w:eastAsia="zh-CN" w:bidi="ar"/>
              </w:rPr>
              <w:t xml:space="preserve"> </w:t>
            </w:r>
            <w:r>
              <w:rPr>
                <w:rFonts w:hint="default" w:ascii="Times New Roman" w:hAnsi="Times New Roman" w:eastAsia="var(--dsw-font-markdown-table)" w:cs="Times New Roman"/>
                <w:kern w:val="0"/>
                <w:sz w:val="20"/>
                <w:szCs w:val="20"/>
                <w:lang w:val="en-US" w:eastAsia="zh-CN" w:bidi="ar"/>
              </w:rPr>
              <w:t>① Diarrhoea: may be caused by rapid infusion; start with low dose and low concentration, increase gradually according to tolerance.</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② Nausea: elevate the head of the bed, add prokinetic agents, change the feeding route.</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  ③ Vomiting: elevate the head of the bed, add prokinetic agents, change the feeding route.</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④ Constipation: choose EN formulas rich in dietary fibre, monitor fluid intake and output, encourage appropriate physical activity.</w:t>
            </w:r>
          </w:p>
        </w:tc>
        <w:tc>
          <w:tcPr>
            <w:tcW w:w="3963" w:type="dxa"/>
            <w:shd w:val="clear"/>
            <w:tcMar>
              <w:top w:w="75" w:type="dxa"/>
              <w:left w:w="120" w:type="dxa"/>
              <w:bottom w:w="75" w:type="dxa"/>
              <w:right w:w="120" w:type="dxa"/>
            </w:tcMar>
            <w:vAlign w:val="center"/>
          </w:tcPr>
          <w:p w14:paraId="0852ADF4">
            <w:pPr>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1130" w:type="dxa"/>
            <w:shd w:val="clear"/>
            <w:tcMar>
              <w:top w:w="75" w:type="dxa"/>
              <w:left w:w="120" w:type="dxa"/>
              <w:bottom w:w="75" w:type="dxa"/>
              <w:right w:w="0" w:type="dxa"/>
            </w:tcMar>
            <w:vAlign w:val="center"/>
          </w:tcPr>
          <w:p w14:paraId="2408479A">
            <w:pPr>
              <w:rPr>
                <w:rFonts w:hint="default" w:ascii="Times New Roman" w:hAnsi="Times New Roman" w:eastAsia="var(--dsw-font-markdown-table)" w:cs="Times New Roman"/>
                <w:sz w:val="20"/>
                <w:szCs w:val="20"/>
              </w:rPr>
            </w:pPr>
          </w:p>
        </w:tc>
      </w:tr>
      <w:tr w14:paraId="01FA4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59CB6B60">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16FFE6E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3.4 Parenteral nutrition (PN)</w:t>
            </w:r>
          </w:p>
        </w:tc>
        <w:tc>
          <w:tcPr>
            <w:tcW w:w="4930" w:type="dxa"/>
            <w:shd w:val="clear"/>
            <w:tcMar>
              <w:top w:w="75" w:type="dxa"/>
              <w:left w:w="120" w:type="dxa"/>
              <w:bottom w:w="75" w:type="dxa"/>
              <w:right w:w="120" w:type="dxa"/>
            </w:tcMar>
            <w:vAlign w:val="center"/>
          </w:tcPr>
          <w:p w14:paraId="694EED6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3.4.1 EN is the first choice for nutrition therapy in paediatric cancer patients. For critically ill or children receiving high</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dose chemotherapy with high risk, when oral and gastrointestinal supplements cannot meet nutritional needs, PN is recommended, but should be discontinued as soon as gastrointestinal function recovers.</w:t>
            </w:r>
          </w:p>
        </w:tc>
        <w:tc>
          <w:tcPr>
            <w:tcW w:w="3963" w:type="dxa"/>
            <w:shd w:val="clear"/>
            <w:tcMar>
              <w:top w:w="75" w:type="dxa"/>
              <w:left w:w="120" w:type="dxa"/>
              <w:bottom w:w="75" w:type="dxa"/>
              <w:right w:w="120" w:type="dxa"/>
            </w:tcMar>
            <w:vAlign w:val="center"/>
          </w:tcPr>
          <w:p w14:paraId="4973D3D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03ED2C4">
            <w:pPr>
              <w:rPr>
                <w:rFonts w:hint="default" w:ascii="Times New Roman" w:hAnsi="Times New Roman" w:eastAsia="var(--dsw-font-markdown-table)" w:cs="Times New Roman"/>
                <w:sz w:val="20"/>
                <w:szCs w:val="20"/>
              </w:rPr>
            </w:pPr>
          </w:p>
        </w:tc>
      </w:tr>
      <w:tr w14:paraId="3E675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7AEAEAE">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27D692F5">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36307C4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3.4.2 Timing of PN: when EN is contraindicated or EN cannot meet ≥60% of target energy requirements for 3–5 days, PN should be considered according to ESPEN guidelines and the five</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step ladder principle.</w:t>
            </w:r>
          </w:p>
        </w:tc>
        <w:tc>
          <w:tcPr>
            <w:tcW w:w="3963" w:type="dxa"/>
            <w:shd w:val="clear"/>
            <w:tcMar>
              <w:top w:w="75" w:type="dxa"/>
              <w:left w:w="120" w:type="dxa"/>
              <w:bottom w:w="75" w:type="dxa"/>
              <w:right w:w="120" w:type="dxa"/>
            </w:tcMar>
            <w:vAlign w:val="center"/>
          </w:tcPr>
          <w:p w14:paraId="5650547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47F144E">
            <w:pPr>
              <w:rPr>
                <w:rFonts w:hint="default" w:ascii="Times New Roman" w:hAnsi="Times New Roman" w:eastAsia="var(--dsw-font-markdown-table)" w:cs="Times New Roman"/>
                <w:sz w:val="20"/>
                <w:szCs w:val="20"/>
              </w:rPr>
            </w:pPr>
          </w:p>
        </w:tc>
      </w:tr>
      <w:tr w14:paraId="1F0C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795F81D3">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40984C50">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550E239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3.4.3 Monitor PN</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related complications: mechanical or device</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related complications, infections, metabolic complications, electrolyte and acid</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base imbalances, drug interactions, intestinal failure</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associated liver disease, and refeeding syndrome.</w:t>
            </w:r>
          </w:p>
        </w:tc>
        <w:tc>
          <w:tcPr>
            <w:tcW w:w="3963" w:type="dxa"/>
            <w:shd w:val="clear"/>
            <w:tcMar>
              <w:top w:w="75" w:type="dxa"/>
              <w:left w:w="120" w:type="dxa"/>
              <w:bottom w:w="75" w:type="dxa"/>
              <w:right w:w="120" w:type="dxa"/>
            </w:tcMar>
            <w:vAlign w:val="center"/>
          </w:tcPr>
          <w:p w14:paraId="10A7A2A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2DC6DF58">
            <w:pPr>
              <w:rPr>
                <w:rFonts w:hint="default" w:ascii="Times New Roman" w:hAnsi="Times New Roman" w:eastAsia="var(--dsw-font-markdown-table)" w:cs="Times New Roman"/>
                <w:sz w:val="20"/>
                <w:szCs w:val="20"/>
              </w:rPr>
            </w:pPr>
          </w:p>
        </w:tc>
      </w:tr>
      <w:tr w14:paraId="4728B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A9693BF">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D03600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3.5 Exercise intervention</w:t>
            </w:r>
          </w:p>
        </w:tc>
        <w:tc>
          <w:tcPr>
            <w:tcW w:w="4930" w:type="dxa"/>
            <w:shd w:val="clear"/>
            <w:tcMar>
              <w:top w:w="75" w:type="dxa"/>
              <w:left w:w="120" w:type="dxa"/>
              <w:bottom w:w="75" w:type="dxa"/>
              <w:right w:w="120" w:type="dxa"/>
            </w:tcMar>
            <w:vAlign w:val="center"/>
          </w:tcPr>
          <w:p w14:paraId="6C58B405">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3.5.1 Type of exercise: based on assessment of the child’s physical tolerance and the recommendations of the rehabilitation physician,酌情 choose resistance exercise, aerobic exercise, or a combination (e.g., squats, rowing exercises, radio calisthenics).</w:t>
            </w:r>
          </w:p>
        </w:tc>
        <w:tc>
          <w:tcPr>
            <w:tcW w:w="3963" w:type="dxa"/>
            <w:shd w:val="clear"/>
            <w:tcMar>
              <w:top w:w="75" w:type="dxa"/>
              <w:left w:w="120" w:type="dxa"/>
              <w:bottom w:w="75" w:type="dxa"/>
              <w:right w:w="120" w:type="dxa"/>
            </w:tcMar>
            <w:vAlign w:val="center"/>
          </w:tcPr>
          <w:p w14:paraId="1A6FAE2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169C59E7">
            <w:pPr>
              <w:rPr>
                <w:rFonts w:hint="default" w:ascii="Times New Roman" w:hAnsi="Times New Roman" w:eastAsia="var(--dsw-font-markdown-table)" w:cs="Times New Roman"/>
                <w:sz w:val="20"/>
                <w:szCs w:val="20"/>
              </w:rPr>
            </w:pPr>
          </w:p>
        </w:tc>
      </w:tr>
      <w:tr w14:paraId="3D54B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2A323E89">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74345A5E">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7D1BA8A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3.5.2 Exercise intensity: under caregiver supervision, low</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to</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moderate intensity training is recommended, with intensity adjusted according to health status and physical function, based on the child’s tolerance.</w:t>
            </w:r>
          </w:p>
        </w:tc>
        <w:tc>
          <w:tcPr>
            <w:tcW w:w="3963" w:type="dxa"/>
            <w:shd w:val="clear"/>
            <w:tcMar>
              <w:top w:w="75" w:type="dxa"/>
              <w:left w:w="120" w:type="dxa"/>
              <w:bottom w:w="75" w:type="dxa"/>
              <w:right w:w="120" w:type="dxa"/>
            </w:tcMar>
            <w:vAlign w:val="center"/>
          </w:tcPr>
          <w:p w14:paraId="4B3EBA3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5AF589F7">
            <w:pPr>
              <w:rPr>
                <w:rFonts w:hint="default" w:ascii="Times New Roman" w:hAnsi="Times New Roman" w:eastAsia="var(--dsw-font-markdown-table)" w:cs="Times New Roman"/>
                <w:sz w:val="20"/>
                <w:szCs w:val="20"/>
              </w:rPr>
            </w:pPr>
          </w:p>
        </w:tc>
      </w:tr>
      <w:tr w14:paraId="1A61A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CAB8304">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154CAE5A">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29746F3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3.5.3 Exercise frequency and duration should be individualised. Recommended target: 3 times per week, 10–30 minutes per session. Start with low intensity and short duration, gradually increasing according to the child’s tolerance and fatigue level.</w:t>
            </w:r>
          </w:p>
        </w:tc>
        <w:tc>
          <w:tcPr>
            <w:tcW w:w="3963" w:type="dxa"/>
            <w:shd w:val="clear"/>
            <w:tcMar>
              <w:top w:w="75" w:type="dxa"/>
              <w:left w:w="120" w:type="dxa"/>
              <w:bottom w:w="75" w:type="dxa"/>
              <w:right w:w="120" w:type="dxa"/>
            </w:tcMar>
            <w:vAlign w:val="center"/>
          </w:tcPr>
          <w:p w14:paraId="23514DF0">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BDAE1AE">
            <w:pPr>
              <w:rPr>
                <w:rFonts w:hint="default" w:ascii="Times New Roman" w:hAnsi="Times New Roman" w:eastAsia="var(--dsw-font-markdown-table)" w:cs="Times New Roman"/>
                <w:sz w:val="20"/>
                <w:szCs w:val="20"/>
              </w:rPr>
            </w:pPr>
          </w:p>
        </w:tc>
      </w:tr>
      <w:tr w14:paraId="4AC67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33F0AC52">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52F8442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3.6 Psychological care</w:t>
            </w:r>
          </w:p>
        </w:tc>
        <w:tc>
          <w:tcPr>
            <w:tcW w:w="4930" w:type="dxa"/>
            <w:shd w:val="clear"/>
            <w:tcMar>
              <w:top w:w="75" w:type="dxa"/>
              <w:left w:w="120" w:type="dxa"/>
              <w:bottom w:w="75" w:type="dxa"/>
              <w:right w:w="120" w:type="dxa"/>
            </w:tcMar>
            <w:vAlign w:val="center"/>
          </w:tcPr>
          <w:p w14:paraId="304BAC6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3.6.1 Throughout treatment, continuously monitor emotional changes in children and their caregivers, especially during the initial diagnosis period. Provide psychological support to help them build confidence in overcoming the disease and establish realistic psychological expectations.</w:t>
            </w:r>
          </w:p>
        </w:tc>
        <w:tc>
          <w:tcPr>
            <w:tcW w:w="3963" w:type="dxa"/>
            <w:shd w:val="clear"/>
            <w:tcMar>
              <w:top w:w="75" w:type="dxa"/>
              <w:left w:w="120" w:type="dxa"/>
              <w:bottom w:w="75" w:type="dxa"/>
              <w:right w:w="120" w:type="dxa"/>
            </w:tcMar>
            <w:vAlign w:val="center"/>
          </w:tcPr>
          <w:p w14:paraId="4DA2463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7ABB0314">
            <w:pPr>
              <w:rPr>
                <w:rFonts w:hint="default" w:ascii="Times New Roman" w:hAnsi="Times New Roman" w:eastAsia="var(--dsw-font-markdown-table)" w:cs="Times New Roman"/>
                <w:sz w:val="20"/>
                <w:szCs w:val="20"/>
              </w:rPr>
            </w:pPr>
          </w:p>
        </w:tc>
      </w:tr>
      <w:tr w14:paraId="139BC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2E1386E6">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2CEC592D">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1D2C4D9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3.6.2 Organise psychological support lectures and counselling activities by psychotherapists on an irregular schedule.</w:t>
            </w:r>
          </w:p>
        </w:tc>
        <w:tc>
          <w:tcPr>
            <w:tcW w:w="3963" w:type="dxa"/>
            <w:shd w:val="clear"/>
            <w:tcMar>
              <w:top w:w="75" w:type="dxa"/>
              <w:left w:w="120" w:type="dxa"/>
              <w:bottom w:w="75" w:type="dxa"/>
              <w:right w:w="120" w:type="dxa"/>
            </w:tcMar>
            <w:vAlign w:val="center"/>
          </w:tcPr>
          <w:p w14:paraId="74EC95AB">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3D7041A2">
            <w:pPr>
              <w:rPr>
                <w:rFonts w:hint="default" w:ascii="Times New Roman" w:hAnsi="Times New Roman" w:eastAsia="var(--dsw-font-markdown-table)" w:cs="Times New Roman"/>
                <w:sz w:val="20"/>
                <w:szCs w:val="20"/>
              </w:rPr>
            </w:pPr>
          </w:p>
        </w:tc>
      </w:tr>
      <w:tr w14:paraId="75BB9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5F84ABAF">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48FDE9A8">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51905F8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3.6.3 A medical social worker should organise weekly medical play therapy sessions and relaxing activities such as flower arranging, handicrafts, and picture</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book reading.</w:t>
            </w:r>
          </w:p>
        </w:tc>
        <w:tc>
          <w:tcPr>
            <w:tcW w:w="3963" w:type="dxa"/>
            <w:shd w:val="clear"/>
            <w:tcMar>
              <w:top w:w="75" w:type="dxa"/>
              <w:left w:w="120" w:type="dxa"/>
              <w:bottom w:w="75" w:type="dxa"/>
              <w:right w:w="120" w:type="dxa"/>
            </w:tcMar>
            <w:vAlign w:val="center"/>
          </w:tcPr>
          <w:p w14:paraId="5EE37F0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365A2466">
            <w:pPr>
              <w:rPr>
                <w:rFonts w:hint="default" w:ascii="Times New Roman" w:hAnsi="Times New Roman" w:eastAsia="var(--dsw-font-markdown-table)" w:cs="Times New Roman"/>
                <w:sz w:val="20"/>
                <w:szCs w:val="20"/>
              </w:rPr>
            </w:pPr>
          </w:p>
        </w:tc>
      </w:tr>
      <w:tr w14:paraId="6E086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A2A36A0">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7EEC098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3.7 Nutrition strategies for chemotherapy</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related adverse effects</w:t>
            </w:r>
          </w:p>
        </w:tc>
        <w:tc>
          <w:tcPr>
            <w:tcW w:w="4930" w:type="dxa"/>
            <w:shd w:val="clear"/>
            <w:tcMar>
              <w:top w:w="75" w:type="dxa"/>
              <w:left w:w="120" w:type="dxa"/>
              <w:bottom w:w="75" w:type="dxa"/>
              <w:right w:w="120" w:type="dxa"/>
            </w:tcMar>
            <w:vAlign w:val="center"/>
          </w:tcPr>
          <w:p w14:paraId="199CC12F">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3.7.1 Nutrition strategy for chemotherapy</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induced nausea and vomiting: Finish breakfast 3 hours before chemotherapy, focusing on high</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protein, high</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energy, low</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fat, multivitamin, light, and easily digestible foods. Avoid greasy, spicy, and gas</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producing foods. Do not overeat; maintain intake at about 2/3 of the usual amount. Start eating 4 hours after chemotherapy, with small, frequent meals, and consume fresh fruits and vegetables. For repeated nausea and vomiting, fasting for 4–8 hours may be considered; extend fasting to 24 hours if necessary, then slowly resume a liquid diet. Recommend small, frequent meals with light, easily digestible foods. When necessary, provide EN or PN.</w:t>
            </w:r>
          </w:p>
        </w:tc>
        <w:tc>
          <w:tcPr>
            <w:tcW w:w="3963" w:type="dxa"/>
            <w:shd w:val="clear"/>
            <w:tcMar>
              <w:top w:w="75" w:type="dxa"/>
              <w:left w:w="120" w:type="dxa"/>
              <w:bottom w:w="75" w:type="dxa"/>
              <w:right w:w="120" w:type="dxa"/>
            </w:tcMar>
            <w:vAlign w:val="center"/>
          </w:tcPr>
          <w:p w14:paraId="5966507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3F19EDB0">
            <w:pPr>
              <w:rPr>
                <w:rFonts w:hint="default" w:ascii="Times New Roman" w:hAnsi="Times New Roman" w:eastAsia="var(--dsw-font-markdown-table)" w:cs="Times New Roman"/>
                <w:sz w:val="20"/>
                <w:szCs w:val="20"/>
              </w:rPr>
            </w:pPr>
          </w:p>
        </w:tc>
      </w:tr>
      <w:tr w14:paraId="4D564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5F5A3C52">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659AE49">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11D37BD9">
            <w:pPr>
              <w:keepNext w:val="0"/>
              <w:keepLines w:val="0"/>
              <w:widowControl/>
              <w:suppressLineNumbers w:val="0"/>
              <w:jc w:val="left"/>
              <w:rPr>
                <w:rFonts w:hint="default" w:ascii="Times New Roman" w:hAnsi="Times New Roman" w:eastAsia="var(--dsw-font-markdown-table)" w:cs="Times New Roman"/>
                <w:sz w:val="20"/>
                <w:szCs w:val="20"/>
                <w:lang w:val="en-US"/>
              </w:rPr>
            </w:pPr>
            <w:r>
              <w:rPr>
                <w:rFonts w:hint="default" w:ascii="Times New Roman" w:hAnsi="Times New Roman" w:eastAsia="var(--dsw-font-markdown-table)" w:cs="Times New Roman"/>
                <w:kern w:val="0"/>
                <w:sz w:val="20"/>
                <w:szCs w:val="20"/>
                <w:bdr w:val="none" w:color="auto" w:sz="0" w:space="0"/>
                <w:lang w:val="en-US" w:eastAsia="zh-CN" w:bidi="ar"/>
              </w:rPr>
              <w:t>3.7.2 Nutrition strategy for post</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chemotherapy oral mucositis:</w:t>
            </w:r>
            <w:r>
              <w:rPr>
                <w:rFonts w:hint="eastAsia" w:ascii="Times New Roman" w:hAnsi="Times New Roman" w:eastAsia="var(--dsw-font-markdown-table)" w:cs="Times New Roman"/>
                <w:kern w:val="0"/>
                <w:sz w:val="20"/>
                <w:szCs w:val="20"/>
                <w:bdr w:val="none" w:color="auto" w:sz="0" w:space="0"/>
                <w:lang w:val="en-US" w:eastAsia="zh-CN" w:bidi="ar"/>
              </w:rPr>
              <w:t xml:space="preserve"> </w:t>
            </w:r>
            <w:r>
              <w:rPr>
                <w:rFonts w:hint="default" w:ascii="Times New Roman" w:hAnsi="Times New Roman" w:eastAsia="var(--dsw-font-markdown-table)" w:cs="Times New Roman"/>
                <w:kern w:val="0"/>
                <w:sz w:val="20"/>
                <w:szCs w:val="20"/>
                <w:lang w:val="en-US" w:eastAsia="zh-CN" w:bidi="ar"/>
              </w:rPr>
              <w:t>① Overheated foods or liquids, rough, hard, spicy, excessively salty or acidic foods may irritate the mucosa and should be avoided or minimised.</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② Recommend high</w:t>
            </w:r>
            <w:r>
              <w:rPr>
                <w:rFonts w:hint="default" w:ascii="Times New Roman" w:hAnsi="Times New Roman" w:eastAsia="var(--dsw-font-markdown-table)" w:cs="Times New Roman"/>
                <w:kern w:val="0"/>
                <w:sz w:val="20"/>
                <w:szCs w:val="20"/>
                <w:lang w:val="en-US" w:eastAsia="zh-CN" w:bidi="ar"/>
              </w:rPr>
              <w:noBreakHyphen/>
            </w:r>
            <w:r>
              <w:rPr>
                <w:rFonts w:hint="default" w:ascii="Times New Roman" w:hAnsi="Times New Roman" w:eastAsia="var(--dsw-font-markdown-table)" w:cs="Times New Roman"/>
                <w:kern w:val="0"/>
                <w:sz w:val="20"/>
                <w:szCs w:val="20"/>
                <w:lang w:val="en-US" w:eastAsia="zh-CN" w:bidi="ar"/>
              </w:rPr>
              <w:t>protein, high</w:t>
            </w:r>
            <w:r>
              <w:rPr>
                <w:rFonts w:hint="default" w:ascii="Times New Roman" w:hAnsi="Times New Roman" w:eastAsia="var(--dsw-font-markdown-table)" w:cs="Times New Roman"/>
                <w:kern w:val="0"/>
                <w:sz w:val="20"/>
                <w:szCs w:val="20"/>
                <w:lang w:val="en-US" w:eastAsia="zh-CN" w:bidi="ar"/>
              </w:rPr>
              <w:noBreakHyphen/>
            </w:r>
            <w:r>
              <w:rPr>
                <w:rFonts w:hint="default" w:ascii="Times New Roman" w:hAnsi="Times New Roman" w:eastAsia="var(--dsw-font-markdown-table)" w:cs="Times New Roman"/>
                <w:kern w:val="0"/>
                <w:sz w:val="20"/>
                <w:szCs w:val="20"/>
                <w:lang w:val="en-US" w:eastAsia="zh-CN" w:bidi="ar"/>
              </w:rPr>
              <w:t>energy, soft, easily digestible foods (e.g., milkshakes, pureed diets, liquids), small, frequent meals to minimise mucosal irritation.</w:t>
            </w:r>
            <w:r>
              <w:rPr>
                <w:rFonts w:hint="eastAsia" w:ascii="Times New Roman" w:hAnsi="Times New Roman" w:eastAsia="var(--dsw-font-markdown-table)" w:cs="Times New Roman"/>
                <w:kern w:val="0"/>
                <w:sz w:val="20"/>
                <w:szCs w:val="20"/>
                <w:lang w:val="en-US" w:eastAsia="zh-CN" w:bidi="ar"/>
              </w:rPr>
              <w:t xml:space="preserve"> </w:t>
            </w:r>
            <w:r>
              <w:rPr>
                <w:rFonts w:hint="default" w:ascii="Times New Roman" w:hAnsi="Times New Roman" w:eastAsia="var(--dsw-font-markdown-table)" w:cs="Times New Roman"/>
                <w:kern w:val="0"/>
                <w:sz w:val="20"/>
                <w:szCs w:val="20"/>
                <w:lang w:val="en-US" w:eastAsia="zh-CN" w:bidi="ar"/>
              </w:rPr>
              <w:t>③ For children with severe stomatitis who cannot eat orally, provide EN or PN to ensure nutrition supply.</w:t>
            </w:r>
          </w:p>
        </w:tc>
        <w:tc>
          <w:tcPr>
            <w:tcW w:w="3963" w:type="dxa"/>
            <w:shd w:val="clear"/>
            <w:tcMar>
              <w:top w:w="75" w:type="dxa"/>
              <w:left w:w="120" w:type="dxa"/>
              <w:bottom w:w="75" w:type="dxa"/>
              <w:right w:w="120" w:type="dxa"/>
            </w:tcMar>
            <w:vAlign w:val="center"/>
          </w:tcPr>
          <w:p w14:paraId="626DEF1F">
            <w:pPr>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1130" w:type="dxa"/>
            <w:shd w:val="clear"/>
            <w:tcMar>
              <w:top w:w="75" w:type="dxa"/>
              <w:left w:w="120" w:type="dxa"/>
              <w:bottom w:w="75" w:type="dxa"/>
              <w:right w:w="0" w:type="dxa"/>
            </w:tcMar>
            <w:vAlign w:val="center"/>
          </w:tcPr>
          <w:p w14:paraId="7E2738DE">
            <w:pPr>
              <w:rPr>
                <w:rFonts w:hint="default" w:ascii="Times New Roman" w:hAnsi="Times New Roman" w:eastAsia="var(--dsw-font-markdown-table)" w:cs="Times New Roman"/>
                <w:sz w:val="20"/>
                <w:szCs w:val="20"/>
              </w:rPr>
            </w:pPr>
          </w:p>
        </w:tc>
      </w:tr>
      <w:tr w14:paraId="3AFD0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1F09FFB1">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378C92F9">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4CCBC5F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3.7.3 Nutrition strategy for chemotherapy</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related diarrhoea: Choose light, easily digestible foods, avoid spicy and irritating foods and high</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osmolarity dietary supplements. For children with lactose intolerance, appropriately restrict lactose intake. Based on gastrointestinal tolerance, appropriately limit raw vegetables and fresh fruits rich in dietary fibre. For children whose food intake is affected by diarrhoea, provide EN or PN according to energy intake.</w:t>
            </w:r>
          </w:p>
        </w:tc>
        <w:tc>
          <w:tcPr>
            <w:tcW w:w="3963" w:type="dxa"/>
            <w:shd w:val="clear"/>
            <w:tcMar>
              <w:top w:w="75" w:type="dxa"/>
              <w:left w:w="120" w:type="dxa"/>
              <w:bottom w:w="75" w:type="dxa"/>
              <w:right w:w="120" w:type="dxa"/>
            </w:tcMar>
            <w:vAlign w:val="center"/>
          </w:tcPr>
          <w:p w14:paraId="6E2D70F6">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03B8300D">
            <w:pPr>
              <w:rPr>
                <w:rFonts w:hint="default" w:ascii="Times New Roman" w:hAnsi="Times New Roman" w:eastAsia="var(--dsw-font-markdown-table)" w:cs="Times New Roman"/>
                <w:sz w:val="20"/>
                <w:szCs w:val="20"/>
              </w:rPr>
            </w:pPr>
          </w:p>
        </w:tc>
      </w:tr>
      <w:tr w14:paraId="2284D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1644" w:type="dxa"/>
            <w:shd w:val="clear"/>
            <w:tcMar>
              <w:top w:w="75" w:type="dxa"/>
              <w:left w:w="0" w:type="dxa"/>
              <w:bottom w:w="75" w:type="dxa"/>
              <w:right w:w="120" w:type="dxa"/>
            </w:tcMar>
            <w:vAlign w:val="center"/>
          </w:tcPr>
          <w:p w14:paraId="5740B7ED">
            <w:pPr>
              <w:keepNext w:val="0"/>
              <w:keepLines w:val="0"/>
              <w:widowControl/>
              <w:suppressLineNumbers w:val="0"/>
              <w:jc w:val="left"/>
              <w:rPr>
                <w:rFonts w:hint="default" w:ascii="Times New Roman" w:hAnsi="Times New Roman" w:eastAsia="var(--dsw-font-markdown-table)" w:cs="Times New Roman"/>
                <w:sz w:val="20"/>
                <w:szCs w:val="20"/>
              </w:rPr>
            </w:pPr>
            <w:r>
              <w:rPr>
                <w:rStyle w:val="8"/>
                <w:rFonts w:hint="default" w:ascii="Times New Roman" w:hAnsi="Times New Roman" w:eastAsia="var(--dsw-font-markdown-table)" w:cs="Times New Roman"/>
                <w:b/>
                <w:bCs/>
                <w:kern w:val="0"/>
                <w:sz w:val="20"/>
                <w:szCs w:val="20"/>
                <w:bdr w:val="none" w:color="auto" w:sz="0" w:space="0"/>
                <w:lang w:val="en-US" w:eastAsia="zh-CN" w:bidi="ar"/>
              </w:rPr>
              <w:t>Items to be added</w:t>
            </w:r>
          </w:p>
        </w:tc>
        <w:tc>
          <w:tcPr>
            <w:tcW w:w="12382" w:type="dxa"/>
            <w:gridSpan w:val="4"/>
            <w:shd w:val="clear"/>
            <w:tcMar>
              <w:top w:w="75" w:type="dxa"/>
              <w:left w:w="120" w:type="dxa"/>
              <w:bottom w:w="75" w:type="dxa"/>
              <w:right w:w="120" w:type="dxa"/>
            </w:tcMar>
            <w:vAlign w:val="center"/>
          </w:tcPr>
          <w:p w14:paraId="52082EBF">
            <w:pPr>
              <w:rPr>
                <w:rFonts w:hint="default" w:ascii="Times New Roman" w:hAnsi="Times New Roman" w:eastAsia="var(--dsw-font-markdown-table)" w:cs="Times New Roman"/>
                <w:sz w:val="20"/>
                <w:szCs w:val="20"/>
              </w:rPr>
            </w:pPr>
          </w:p>
        </w:tc>
      </w:tr>
      <w:tr w14:paraId="349EB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4C107A1">
            <w:pPr>
              <w:keepNext w:val="0"/>
              <w:keepLines w:val="0"/>
              <w:widowControl/>
              <w:suppressLineNumbers w:val="0"/>
              <w:jc w:val="left"/>
              <w:rPr>
                <w:rFonts w:hint="default" w:ascii="Times New Roman" w:hAnsi="Times New Roman" w:eastAsia="var(--dsw-font-markdown-table)" w:cs="Times New Roman"/>
                <w:sz w:val="20"/>
                <w:szCs w:val="20"/>
              </w:rPr>
            </w:pPr>
            <w:r>
              <w:rPr>
                <w:rStyle w:val="8"/>
                <w:rFonts w:hint="default" w:ascii="Times New Roman" w:hAnsi="Times New Roman" w:eastAsia="var(--dsw-font-markdown-table)" w:cs="Times New Roman"/>
                <w:b/>
                <w:bCs/>
                <w:kern w:val="0"/>
                <w:sz w:val="20"/>
                <w:szCs w:val="20"/>
                <w:bdr w:val="none" w:color="auto" w:sz="0" w:space="0"/>
                <w:lang w:val="en-US" w:eastAsia="zh-CN" w:bidi="ar"/>
              </w:rPr>
              <w:t>4. Health education</w:t>
            </w:r>
          </w:p>
        </w:tc>
        <w:tc>
          <w:tcPr>
            <w:tcW w:w="2359" w:type="dxa"/>
            <w:shd w:val="clear"/>
            <w:tcMar>
              <w:top w:w="75" w:type="dxa"/>
              <w:left w:w="120" w:type="dxa"/>
              <w:bottom w:w="75" w:type="dxa"/>
              <w:right w:w="120" w:type="dxa"/>
            </w:tcMar>
            <w:vAlign w:val="center"/>
          </w:tcPr>
          <w:p w14:paraId="1DE77733">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4.1 Timing of health education</w:t>
            </w:r>
          </w:p>
        </w:tc>
        <w:tc>
          <w:tcPr>
            <w:tcW w:w="4930" w:type="dxa"/>
            <w:shd w:val="clear"/>
            <w:tcMar>
              <w:top w:w="75" w:type="dxa"/>
              <w:left w:w="120" w:type="dxa"/>
              <w:bottom w:w="75" w:type="dxa"/>
              <w:right w:w="120" w:type="dxa"/>
            </w:tcMar>
            <w:vAlign w:val="center"/>
          </w:tcPr>
          <w:p w14:paraId="4DC609F8">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4.1.1 The content and methods of health education differ according to the treatment phase: diagnosis period, first chemotherapy period, bone marrow suppression period, regular chemotherapy period, and maintenance period.</w:t>
            </w:r>
          </w:p>
        </w:tc>
        <w:tc>
          <w:tcPr>
            <w:tcW w:w="3963" w:type="dxa"/>
            <w:shd w:val="clear"/>
            <w:tcMar>
              <w:top w:w="75" w:type="dxa"/>
              <w:left w:w="120" w:type="dxa"/>
              <w:bottom w:w="75" w:type="dxa"/>
              <w:right w:w="120" w:type="dxa"/>
            </w:tcMar>
            <w:vAlign w:val="center"/>
          </w:tcPr>
          <w:p w14:paraId="59DC2658">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75FC2F69">
            <w:pPr>
              <w:rPr>
                <w:rFonts w:hint="default" w:ascii="Times New Roman" w:hAnsi="Times New Roman" w:eastAsia="var(--dsw-font-markdown-table)" w:cs="Times New Roman"/>
                <w:sz w:val="20"/>
                <w:szCs w:val="20"/>
              </w:rPr>
            </w:pPr>
          </w:p>
        </w:tc>
      </w:tr>
      <w:tr w14:paraId="79677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778287DC">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CB73766">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4.2 Content of health education</w:t>
            </w:r>
          </w:p>
        </w:tc>
        <w:tc>
          <w:tcPr>
            <w:tcW w:w="4930" w:type="dxa"/>
            <w:shd w:val="clear"/>
            <w:tcMar>
              <w:top w:w="75" w:type="dxa"/>
              <w:left w:w="120" w:type="dxa"/>
              <w:bottom w:w="75" w:type="dxa"/>
              <w:right w:w="120" w:type="dxa"/>
            </w:tcMar>
            <w:vAlign w:val="center"/>
          </w:tcPr>
          <w:p w14:paraId="4EB0E90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4.2.1 Provide detailed guidance covering the entire nutrition management process, focusing on both daily diet and therapeutic diet. For children receiving EN or PN, inform children and caregivers about monitoring and management of complications such as diarrhoea, constipation, nausea, vomiting, infection, and metabolic issues, ensuring specific and practical health education content.</w:t>
            </w:r>
          </w:p>
        </w:tc>
        <w:tc>
          <w:tcPr>
            <w:tcW w:w="3963" w:type="dxa"/>
            <w:shd w:val="clear"/>
            <w:tcMar>
              <w:top w:w="75" w:type="dxa"/>
              <w:left w:w="120" w:type="dxa"/>
              <w:bottom w:w="75" w:type="dxa"/>
              <w:right w:w="120" w:type="dxa"/>
            </w:tcMar>
            <w:vAlign w:val="center"/>
          </w:tcPr>
          <w:p w14:paraId="16CCE5D4">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54C58C97">
            <w:pPr>
              <w:rPr>
                <w:rFonts w:hint="default" w:ascii="Times New Roman" w:hAnsi="Times New Roman" w:eastAsia="var(--dsw-font-markdown-table)" w:cs="Times New Roman"/>
                <w:sz w:val="20"/>
                <w:szCs w:val="20"/>
              </w:rPr>
            </w:pPr>
          </w:p>
        </w:tc>
      </w:tr>
      <w:tr w14:paraId="000C4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4042F33C">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5347092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4.3 Methods of health education</w:t>
            </w:r>
          </w:p>
        </w:tc>
        <w:tc>
          <w:tcPr>
            <w:tcW w:w="4930" w:type="dxa"/>
            <w:shd w:val="clear"/>
            <w:tcMar>
              <w:top w:w="75" w:type="dxa"/>
              <w:left w:w="120" w:type="dxa"/>
              <w:bottom w:w="75" w:type="dxa"/>
              <w:right w:w="120" w:type="dxa"/>
            </w:tcMar>
            <w:vAlign w:val="center"/>
          </w:tcPr>
          <w:p w14:paraId="1838305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4.3.1 Establish a professional nutrition knowledge dissemination system and provide information platforms with professional channels. Use a dual</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track system (online platforms + offline hospital</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outpatient</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community) to deliver diversified nutrition guidance and education through regular push notifications, online Q&amp;A, etc.</w:t>
            </w:r>
          </w:p>
        </w:tc>
        <w:tc>
          <w:tcPr>
            <w:tcW w:w="3963" w:type="dxa"/>
            <w:shd w:val="clear"/>
            <w:tcMar>
              <w:top w:w="75" w:type="dxa"/>
              <w:left w:w="120" w:type="dxa"/>
              <w:bottom w:w="75" w:type="dxa"/>
              <w:right w:w="120" w:type="dxa"/>
            </w:tcMar>
            <w:vAlign w:val="center"/>
          </w:tcPr>
          <w:p w14:paraId="2265186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1AA93D8B">
            <w:pPr>
              <w:rPr>
                <w:rFonts w:hint="default" w:ascii="Times New Roman" w:hAnsi="Times New Roman" w:eastAsia="var(--dsw-font-markdown-table)" w:cs="Times New Roman"/>
                <w:sz w:val="20"/>
                <w:szCs w:val="20"/>
              </w:rPr>
            </w:pPr>
          </w:p>
        </w:tc>
      </w:tr>
      <w:tr w14:paraId="690C2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08D43EB7">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6E7287B1">
            <w:pPr>
              <w:rPr>
                <w:rFonts w:hint="default" w:ascii="Times New Roman" w:hAnsi="Times New Roman" w:eastAsia="var(--dsw-font-markdown-table)" w:cs="Times New Roman"/>
                <w:sz w:val="20"/>
                <w:szCs w:val="20"/>
              </w:rPr>
            </w:pPr>
          </w:p>
        </w:tc>
        <w:tc>
          <w:tcPr>
            <w:tcW w:w="4930" w:type="dxa"/>
            <w:shd w:val="clear"/>
            <w:tcMar>
              <w:top w:w="75" w:type="dxa"/>
              <w:left w:w="120" w:type="dxa"/>
              <w:bottom w:w="75" w:type="dxa"/>
              <w:right w:w="120" w:type="dxa"/>
            </w:tcMar>
            <w:vAlign w:val="center"/>
          </w:tcPr>
          <w:p w14:paraId="256E05F8">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4.3.2 Use diverse formats such as health lectures, patient</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doctor exchange meetings, parent classes, peer education, distribution of nutrition education videos and infographics to strengthen nutrition management awareness among children and caregivers and improve adherence.</w:t>
            </w:r>
          </w:p>
        </w:tc>
        <w:tc>
          <w:tcPr>
            <w:tcW w:w="3963" w:type="dxa"/>
            <w:shd w:val="clear"/>
            <w:tcMar>
              <w:top w:w="75" w:type="dxa"/>
              <w:left w:w="120" w:type="dxa"/>
              <w:bottom w:w="75" w:type="dxa"/>
              <w:right w:w="120" w:type="dxa"/>
            </w:tcMar>
            <w:vAlign w:val="center"/>
          </w:tcPr>
          <w:p w14:paraId="4631DBCE">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160A2845">
            <w:pPr>
              <w:rPr>
                <w:rFonts w:hint="default" w:ascii="Times New Roman" w:hAnsi="Times New Roman" w:eastAsia="var(--dsw-font-markdown-table)" w:cs="Times New Roman"/>
                <w:sz w:val="20"/>
                <w:szCs w:val="20"/>
              </w:rPr>
            </w:pPr>
          </w:p>
        </w:tc>
      </w:tr>
      <w:tr w14:paraId="7EB14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9" w:hRule="atLeast"/>
        </w:trPr>
        <w:tc>
          <w:tcPr>
            <w:tcW w:w="1644" w:type="dxa"/>
            <w:shd w:val="clear"/>
            <w:tcMar>
              <w:top w:w="75" w:type="dxa"/>
              <w:left w:w="0" w:type="dxa"/>
              <w:bottom w:w="75" w:type="dxa"/>
              <w:right w:w="120" w:type="dxa"/>
            </w:tcMar>
            <w:vAlign w:val="center"/>
          </w:tcPr>
          <w:p w14:paraId="7385255F">
            <w:pPr>
              <w:keepNext w:val="0"/>
              <w:keepLines w:val="0"/>
              <w:widowControl/>
              <w:suppressLineNumbers w:val="0"/>
              <w:jc w:val="left"/>
              <w:rPr>
                <w:rFonts w:hint="default" w:ascii="Times New Roman" w:hAnsi="Times New Roman" w:eastAsia="var(--dsw-font-markdown-table)" w:cs="Times New Roman"/>
                <w:sz w:val="20"/>
                <w:szCs w:val="20"/>
              </w:rPr>
            </w:pPr>
            <w:r>
              <w:rPr>
                <w:rStyle w:val="8"/>
                <w:rFonts w:hint="default" w:ascii="Times New Roman" w:hAnsi="Times New Roman" w:eastAsia="var(--dsw-font-markdown-table)" w:cs="Times New Roman"/>
                <w:b/>
                <w:bCs/>
                <w:kern w:val="0"/>
                <w:sz w:val="20"/>
                <w:szCs w:val="20"/>
                <w:bdr w:val="none" w:color="auto" w:sz="0" w:space="0"/>
                <w:lang w:val="en-US" w:eastAsia="zh-CN" w:bidi="ar"/>
              </w:rPr>
              <w:t>Items to be added</w:t>
            </w:r>
          </w:p>
        </w:tc>
        <w:tc>
          <w:tcPr>
            <w:tcW w:w="12382" w:type="dxa"/>
            <w:gridSpan w:val="4"/>
            <w:shd w:val="clear"/>
            <w:tcMar>
              <w:top w:w="75" w:type="dxa"/>
              <w:left w:w="120" w:type="dxa"/>
              <w:bottom w:w="75" w:type="dxa"/>
              <w:right w:w="120" w:type="dxa"/>
            </w:tcMar>
            <w:vAlign w:val="center"/>
          </w:tcPr>
          <w:p w14:paraId="7655654C">
            <w:pPr>
              <w:rPr>
                <w:rFonts w:hint="default" w:ascii="Times New Roman" w:hAnsi="Times New Roman" w:eastAsia="var(--dsw-font-markdown-table)" w:cs="Times New Roman"/>
                <w:sz w:val="20"/>
                <w:szCs w:val="20"/>
              </w:rPr>
            </w:pPr>
          </w:p>
        </w:tc>
      </w:tr>
      <w:tr w14:paraId="7F7AA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516D9DBC">
            <w:pPr>
              <w:keepNext w:val="0"/>
              <w:keepLines w:val="0"/>
              <w:widowControl/>
              <w:suppressLineNumbers w:val="0"/>
              <w:jc w:val="left"/>
              <w:rPr>
                <w:rFonts w:hint="default" w:ascii="Times New Roman" w:hAnsi="Times New Roman" w:eastAsia="var(--dsw-font-markdown-table)" w:cs="Times New Roman"/>
                <w:sz w:val="20"/>
                <w:szCs w:val="20"/>
              </w:rPr>
            </w:pPr>
            <w:r>
              <w:rPr>
                <w:rStyle w:val="8"/>
                <w:rFonts w:hint="default" w:ascii="Times New Roman" w:hAnsi="Times New Roman" w:eastAsia="var(--dsw-font-markdown-table)" w:cs="Times New Roman"/>
                <w:b/>
                <w:bCs/>
                <w:kern w:val="0"/>
                <w:sz w:val="20"/>
                <w:szCs w:val="20"/>
                <w:bdr w:val="none" w:color="auto" w:sz="0" w:space="0"/>
                <w:lang w:val="en-US" w:eastAsia="zh-CN" w:bidi="ar"/>
              </w:rPr>
              <w:t>5. Continuity of care</w:t>
            </w:r>
          </w:p>
        </w:tc>
        <w:tc>
          <w:tcPr>
            <w:tcW w:w="2359" w:type="dxa"/>
            <w:shd w:val="clear"/>
            <w:tcMar>
              <w:top w:w="75" w:type="dxa"/>
              <w:left w:w="120" w:type="dxa"/>
              <w:bottom w:w="75" w:type="dxa"/>
              <w:right w:w="120" w:type="dxa"/>
            </w:tcMar>
            <w:vAlign w:val="center"/>
          </w:tcPr>
          <w:p w14:paraId="7CD385C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5.1 Timing of continuity of care</w:t>
            </w:r>
          </w:p>
        </w:tc>
        <w:tc>
          <w:tcPr>
            <w:tcW w:w="4930" w:type="dxa"/>
            <w:shd w:val="clear"/>
            <w:tcMar>
              <w:top w:w="75" w:type="dxa"/>
              <w:left w:w="120" w:type="dxa"/>
              <w:bottom w:w="75" w:type="dxa"/>
              <w:right w:w="120" w:type="dxa"/>
            </w:tcMar>
            <w:vAlign w:val="center"/>
          </w:tcPr>
          <w:p w14:paraId="170A439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5.1.1 Initiate continuity of care interventions one day after discharge. Communicate with caregivers about the frequency of follow</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up based on the child’s nutritional status and treatment plan.</w:t>
            </w:r>
          </w:p>
        </w:tc>
        <w:tc>
          <w:tcPr>
            <w:tcW w:w="3963" w:type="dxa"/>
            <w:shd w:val="clear"/>
            <w:tcMar>
              <w:top w:w="75" w:type="dxa"/>
              <w:left w:w="120" w:type="dxa"/>
              <w:bottom w:w="75" w:type="dxa"/>
              <w:right w:w="120" w:type="dxa"/>
            </w:tcMar>
            <w:vAlign w:val="center"/>
          </w:tcPr>
          <w:p w14:paraId="4FE7D917">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64A5A3D1">
            <w:pPr>
              <w:rPr>
                <w:rFonts w:hint="default" w:ascii="Times New Roman" w:hAnsi="Times New Roman" w:eastAsia="var(--dsw-font-markdown-table)" w:cs="Times New Roman"/>
                <w:sz w:val="20"/>
                <w:szCs w:val="20"/>
              </w:rPr>
            </w:pPr>
          </w:p>
        </w:tc>
      </w:tr>
      <w:tr w14:paraId="01EFC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1329B9D8">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1922C52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5.2 Content of continuity of care</w:t>
            </w:r>
          </w:p>
        </w:tc>
        <w:tc>
          <w:tcPr>
            <w:tcW w:w="4930" w:type="dxa"/>
            <w:shd w:val="clear"/>
            <w:tcMar>
              <w:top w:w="75" w:type="dxa"/>
              <w:left w:w="120" w:type="dxa"/>
              <w:bottom w:w="75" w:type="dxa"/>
              <w:right w:w="120" w:type="dxa"/>
            </w:tcMar>
            <w:vAlign w:val="center"/>
          </w:tcPr>
          <w:p w14:paraId="26A725A5">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5.2.1 Inquire about and record the child’s diet and weight changes at home, assess current care status and needs, and answer questions and concerns about nutritional care. For children receiving EN at home, closely monitor and record gastrointestinal symptoms (vomiting, abdominal pain, bloating, diarrhoea), fluid intake and output, nutrition delivery, and laboratory parameters. If abnormalities are detected, promptly inform about the need for a return visit.</w:t>
            </w:r>
          </w:p>
        </w:tc>
        <w:tc>
          <w:tcPr>
            <w:tcW w:w="3963" w:type="dxa"/>
            <w:shd w:val="clear"/>
            <w:tcMar>
              <w:top w:w="75" w:type="dxa"/>
              <w:left w:w="120" w:type="dxa"/>
              <w:bottom w:w="75" w:type="dxa"/>
              <w:right w:w="120" w:type="dxa"/>
            </w:tcMar>
            <w:vAlign w:val="center"/>
          </w:tcPr>
          <w:p w14:paraId="33059FC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240BCB85">
            <w:pPr>
              <w:rPr>
                <w:rFonts w:hint="default" w:ascii="Times New Roman" w:hAnsi="Times New Roman" w:eastAsia="var(--dsw-font-markdown-table)" w:cs="Times New Roman"/>
                <w:sz w:val="20"/>
                <w:szCs w:val="20"/>
              </w:rPr>
            </w:pPr>
          </w:p>
        </w:tc>
      </w:tr>
      <w:tr w14:paraId="3F49C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644" w:type="dxa"/>
            <w:shd w:val="clear"/>
            <w:tcMar>
              <w:top w:w="75" w:type="dxa"/>
              <w:left w:w="0" w:type="dxa"/>
              <w:bottom w:w="75" w:type="dxa"/>
              <w:right w:w="120" w:type="dxa"/>
            </w:tcMar>
            <w:vAlign w:val="center"/>
          </w:tcPr>
          <w:p w14:paraId="2A7DC224">
            <w:pPr>
              <w:rPr>
                <w:rFonts w:hint="default" w:ascii="Times New Roman" w:hAnsi="Times New Roman" w:eastAsia="var(--dsw-font-markdown-table)" w:cs="Times New Roman"/>
                <w:sz w:val="20"/>
                <w:szCs w:val="20"/>
              </w:rPr>
            </w:pPr>
          </w:p>
        </w:tc>
        <w:tc>
          <w:tcPr>
            <w:tcW w:w="2359" w:type="dxa"/>
            <w:shd w:val="clear"/>
            <w:tcMar>
              <w:top w:w="75" w:type="dxa"/>
              <w:left w:w="120" w:type="dxa"/>
              <w:bottom w:w="75" w:type="dxa"/>
              <w:right w:w="120" w:type="dxa"/>
            </w:tcMar>
            <w:vAlign w:val="center"/>
          </w:tcPr>
          <w:p w14:paraId="04823E48">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5.3 Methods of continuity of care</w:t>
            </w:r>
          </w:p>
        </w:tc>
        <w:tc>
          <w:tcPr>
            <w:tcW w:w="4930" w:type="dxa"/>
            <w:shd w:val="clear"/>
            <w:tcMar>
              <w:top w:w="75" w:type="dxa"/>
              <w:left w:w="120" w:type="dxa"/>
              <w:bottom w:w="75" w:type="dxa"/>
              <w:right w:w="120" w:type="dxa"/>
            </w:tcMar>
            <w:vAlign w:val="center"/>
          </w:tcPr>
          <w:p w14:paraId="4A17997D">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5.3.1 Use diversified follow</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up modalities selected according to the patient’s situation: video follow</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up, telephone follow</w:t>
            </w:r>
            <w:r>
              <w:rPr>
                <w:rFonts w:hint="default" w:ascii="Times New Roman" w:hAnsi="Times New Roman" w:eastAsia="var(--dsw-font-markdown-table)" w:cs="Times New Roman"/>
                <w:kern w:val="0"/>
                <w:sz w:val="20"/>
                <w:szCs w:val="20"/>
                <w:bdr w:val="none" w:color="auto" w:sz="0" w:space="0"/>
                <w:lang w:val="en-US" w:eastAsia="zh-CN" w:bidi="ar"/>
              </w:rPr>
              <w:noBreakHyphen/>
            </w:r>
            <w:r>
              <w:rPr>
                <w:rFonts w:hint="default" w:ascii="Times New Roman" w:hAnsi="Times New Roman" w:eastAsia="var(--dsw-font-markdown-table)" w:cs="Times New Roman"/>
                <w:kern w:val="0"/>
                <w:sz w:val="20"/>
                <w:szCs w:val="20"/>
                <w:bdr w:val="none" w:color="auto" w:sz="0" w:space="0"/>
                <w:lang w:val="en-US" w:eastAsia="zh-CN" w:bidi="ar"/>
              </w:rPr>
              <w:t>up, home visit, etc.</w:t>
            </w:r>
          </w:p>
        </w:tc>
        <w:tc>
          <w:tcPr>
            <w:tcW w:w="3963" w:type="dxa"/>
            <w:shd w:val="clear"/>
            <w:tcMar>
              <w:top w:w="75" w:type="dxa"/>
              <w:left w:w="120" w:type="dxa"/>
              <w:bottom w:w="75" w:type="dxa"/>
              <w:right w:w="120" w:type="dxa"/>
            </w:tcMar>
            <w:vAlign w:val="center"/>
          </w:tcPr>
          <w:p w14:paraId="23862602">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bdr w:val="none" w:color="auto" w:sz="0" w:space="0"/>
                <w:lang w:val="en-US" w:eastAsia="zh-CN" w:bidi="ar"/>
              </w:rPr>
              <w:t>□5 □4 □3 □2 □1</w:t>
            </w:r>
          </w:p>
        </w:tc>
        <w:tc>
          <w:tcPr>
            <w:tcW w:w="1130" w:type="dxa"/>
            <w:shd w:val="clear"/>
            <w:tcMar>
              <w:top w:w="75" w:type="dxa"/>
              <w:left w:w="120" w:type="dxa"/>
              <w:bottom w:w="75" w:type="dxa"/>
              <w:right w:w="0" w:type="dxa"/>
            </w:tcMar>
            <w:vAlign w:val="center"/>
          </w:tcPr>
          <w:p w14:paraId="1A976CC2">
            <w:pPr>
              <w:rPr>
                <w:rFonts w:hint="default" w:ascii="Times New Roman" w:hAnsi="Times New Roman" w:eastAsia="var(--dsw-font-markdown-table)" w:cs="Times New Roman"/>
                <w:sz w:val="20"/>
                <w:szCs w:val="20"/>
              </w:rPr>
            </w:pPr>
          </w:p>
        </w:tc>
      </w:tr>
      <w:tr w14:paraId="7D712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47" w:hRule="atLeast"/>
        </w:trPr>
        <w:tc>
          <w:tcPr>
            <w:tcW w:w="1644" w:type="dxa"/>
            <w:shd w:val="clear" w:color="auto" w:fill="FFFFFF"/>
            <w:tcMar>
              <w:top w:w="75" w:type="dxa"/>
              <w:left w:w="0" w:type="dxa"/>
              <w:bottom w:w="75" w:type="dxa"/>
              <w:right w:w="120" w:type="dxa"/>
            </w:tcMar>
            <w:vAlign w:val="center"/>
          </w:tcPr>
          <w:p w14:paraId="5243ABE5">
            <w:pPr>
              <w:keepNext w:val="0"/>
              <w:keepLines w:val="0"/>
              <w:widowControl/>
              <w:suppressLineNumbers w:val="0"/>
              <w:ind w:left="0" w:firstLine="0"/>
              <w:jc w:val="left"/>
              <w:rPr>
                <w:rFonts w:hint="default" w:ascii="Times New Roman" w:hAnsi="Times New Roman" w:eastAsia="Segoe UI" w:cs="Times New Roman"/>
                <w:i w:val="0"/>
                <w:iCs w:val="0"/>
                <w:caps w:val="0"/>
                <w:color w:val="0F1115"/>
                <w:spacing w:val="0"/>
                <w:sz w:val="20"/>
                <w:szCs w:val="20"/>
              </w:rPr>
            </w:pPr>
            <w:r>
              <w:rPr>
                <w:rStyle w:val="8"/>
                <w:rFonts w:hint="default" w:ascii="Times New Roman" w:hAnsi="Times New Roman" w:eastAsia="Segoe UI" w:cs="Times New Roman"/>
                <w:b/>
                <w:bCs/>
                <w:i w:val="0"/>
                <w:iCs w:val="0"/>
                <w:caps w:val="0"/>
                <w:color w:val="0F1115"/>
                <w:spacing w:val="0"/>
                <w:kern w:val="0"/>
                <w:sz w:val="20"/>
                <w:szCs w:val="20"/>
                <w:bdr w:val="none" w:color="auto" w:sz="0" w:space="0"/>
                <w:lang w:val="en-US" w:eastAsia="zh-CN" w:bidi="ar"/>
              </w:rPr>
              <w:t>Items to be added</w:t>
            </w:r>
          </w:p>
        </w:tc>
        <w:tc>
          <w:tcPr>
            <w:tcW w:w="12382" w:type="dxa"/>
            <w:gridSpan w:val="4"/>
            <w:shd w:val="clear" w:color="auto" w:fill="FFFFFF"/>
            <w:tcMar>
              <w:top w:w="75" w:type="dxa"/>
              <w:left w:w="120" w:type="dxa"/>
              <w:bottom w:w="75" w:type="dxa"/>
              <w:right w:w="120" w:type="dxa"/>
            </w:tcMar>
            <w:vAlign w:val="center"/>
          </w:tcPr>
          <w:p w14:paraId="1D813914">
            <w:pPr>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br w:type="textWrapping"/>
            </w:r>
          </w:p>
        </w:tc>
      </w:tr>
    </w:tbl>
    <w:p w14:paraId="19E99D00"/>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Segoe UI Historic">
    <w:panose1 w:val="020B0502040204020203"/>
    <w:charset w:val="00"/>
    <w:family w:val="auto"/>
    <w:pitch w:val="default"/>
    <w:sig w:usb0="800001EF" w:usb1="02000002" w:usb2="0060C080" w:usb3="00000002" w:csb0="00000001" w:csb1="40000000"/>
  </w:font>
  <w:font w:name="Sitka Banner Semibold">
    <w:panose1 w:val="00000000000000000000"/>
    <w:charset w:val="00"/>
    <w:family w:val="auto"/>
    <w:pitch w:val="default"/>
    <w:sig w:usb0="A00002EF" w:usb1="4000204B" w:usb2="00000000" w:usb3="00000000" w:csb0="2000019F" w:csb1="00000000"/>
  </w:font>
  <w:font w:name="Vivaldi">
    <w:panose1 w:val="03020602050506090804"/>
    <w:charset w:val="00"/>
    <w:family w:val="auto"/>
    <w:pitch w:val="default"/>
    <w:sig w:usb0="00000003" w:usb1="00000000" w:usb2="00000000" w:usb3="00000000" w:csb0="20000001" w:csb1="00000000"/>
  </w:font>
  <w:font w:name="Segoe UI Variable Display Semilight">
    <w:panose1 w:val="00000000000000000000"/>
    <w:charset w:val="00"/>
    <w:family w:val="auto"/>
    <w:pitch w:val="default"/>
    <w:sig w:usb0="A00002FF" w:usb1="0000000B" w:usb2="00000000" w:usb3="00000000" w:csb0="2000019F" w:csb1="00000000"/>
  </w:font>
  <w:font w:name="Sitka Text">
    <w:panose1 w:val="00000000000000000000"/>
    <w:charset w:val="00"/>
    <w:family w:val="auto"/>
    <w:pitch w:val="default"/>
    <w:sig w:usb0="A00002EF" w:usb1="4000204B" w:usb2="00000000" w:usb3="00000000" w:csb0="2000019F" w:csb1="00000000"/>
  </w:font>
  <w:font w:name="Rockwell Extra Bold">
    <w:panose1 w:val="02060903040505020403"/>
    <w:charset w:val="00"/>
    <w:family w:val="auto"/>
    <w:pitch w:val="default"/>
    <w:sig w:usb0="00000003" w:usb1="00000000" w:usb2="00000000" w:usb3="00000000" w:csb0="20000001" w:csb1="00000000"/>
  </w:font>
  <w:font w:name="var(--dsw-font-markdown-table-hea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ar(--dsw-font-markdown-h3)">
    <w:altName w:val="Segoe Print"/>
    <w:panose1 w:val="00000000000000000000"/>
    <w:charset w:val="00"/>
    <w:family w:val="auto"/>
    <w:pitch w:val="default"/>
    <w:sig w:usb0="00000000" w:usb1="00000000" w:usb2="00000000" w:usb3="00000000" w:csb0="00000000" w:csb1="00000000"/>
  </w:font>
  <w:font w:name="var(--dsw-font-markdown-table)">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BE8273"/>
    <w:multiLevelType w:val="singleLevel"/>
    <w:tmpl w:val="6ABE8273"/>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567BA8"/>
    <w:rsid w:val="5C567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4</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2026-04-29T03:16:00Z</dcterms:created>
  <dc:creator>余鑫</dc:creator>
  <cp:lastModifiedBy>余鑫</cp:lastModifiedBy>
  <dcterms:modified xsi:type="dcterms:W3CDTF">2026-04-29T03:36:49Z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99264188ECD24AAFBC4F61DF5E7D968A_11</vt:lpwstr>
  </property>
  <property fmtid="{D5CDD505-2E9C-101B-9397-08002B2CF9AE}" pid="4" name="KSOTemplateDocerSaveRecord">
    <vt:lpwstr>eyJoZGlkIjoiNDE2Y2UyMzM3NTdjM2Y2M2IxNzQ1ZTdhNTdlMDMxZjMiLCJ1c2VySWQiOiIzOTg0NDcwMzQifQ==</vt:lpwstr>
  </property>
</Properties>
</file>