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Supporting Information</w:t>
      </w:r>
    </w:p>
    <w:p>
      <w:pPr>
        <w:pStyle w:val="Subtitle"/>
      </w:pPr>
      <w:r>
        <w:t xml:space="preserve">Rapid Urease Test Performance in Advanced Gastric Atrophy: A Diagnostic Accuracy Study Using OLGA Staging</w:t>
      </w:r>
    </w:p>
    <w:p>
      <w:r>
        <w:pict>
          <v:rect style="width:0;height:1.5pt" o:hralign="center" o:hrstd="t" o:hr="t"/>
        </w:pict>
      </w:r>
    </w:p>
    <w:bookmarkStart w:id="21" w:name="supplementary-table-s1"/>
    <w:p>
      <w:pPr>
        <w:pStyle w:val="Heading1"/>
      </w:pPr>
      <w:r>
        <w:t xml:space="preserve">Supplementary Table S1</w:t>
      </w:r>
    </w:p>
    <w:tbl>
      <w:tblPr>
        <w:tblStyle w:val="Table"/>
        <w:tblW w:type="pct" w:w="5000"/>
        <w:tblLayout w:type="fixed"/>
        <w:tblLook w:firstRow="0" w:lastRow="0" w:firstColumn="0" w:lastColumn="0" w:noHBand="0" w:noVBand="0" w:val="0000"/>
      </w:tblPr>
      <w:tblGrid>
        <w:gridCol w:w="7920"/>
      </w:tblGrid>
      <w:tr>
        <w:tc>
          <w:tcPr/>
          <w:bookmarkStart w:id="20" w:name="tbl-firth-supp"/>
          <w:p>
            <w:pPr>
              <w:jc w:val="center"/>
            </w:pPr>
            <w:pPr>
              <w:jc w:val="left"/>
              <w:spacing w:before="200"/>
              <w:pStyle w:val="ImageCaption"/>
            </w:pPr>
            <w:r>
              <w:t xml:space="preserve">Table 1: Supplementary Table S1. Multivariable Firth penalized logistic regression for false-negative rapid urease test results among histopathology-positive patients with available OLGA and covariate data (n = 202; false-negative events = 21). Firth penalization was used to address sparse-data bias.</w:t>
            </w:r>
          </w:p>
          <w:tbl>
            <w:tblPr>
              <w:tblStyle w:val="Table"/>
              <w:tblW w:type="pct" w:w="5000"/>
              <w:tblLayout w:type="fixed"/>
              <w:tblLook w:firstRow="1" w:lastRow="0" w:firstColumn="0" w:lastColumn="0" w:noHBand="0" w:noVBand="0" w:val="0020"/>
            </w:tblPr>
            <w:tblGrid>
              <w:gridCol w:w="4888"/>
              <w:gridCol w:w="2151"/>
              <w:gridCol w:w="880"/>
            </w:tblGrid>
            <w:tr>
              <w:trPr>
                <w:tblHeader w:val="on"/>
              </w:trPr>
              <w:tc>
                <w:tcPr/>
                <w:p>
                  <w:pPr>
                    <w:pStyle w:val="Compact"/>
                    <w:jc w:val="left"/>
                    <w:jc w:val="center"/>
                  </w:pPr>
                  <w:r>
                    <w:t xml:space="preserve">Variable</w:t>
                  </w:r>
                </w:p>
              </w:tc>
              <w:tc>
                <w:tcPr/>
                <w:p>
                  <w:pPr>
                    <w:pStyle w:val="Compact"/>
                    <w:jc w:val="center"/>
                    <w:jc w:val="center"/>
                  </w:pPr>
                  <w:r>
                    <w:t xml:space="preserve">Adjusted OR (95% CI)</w:t>
                  </w:r>
                </w:p>
              </w:tc>
              <w:tc>
                <w:tcPr/>
                <w:p>
                  <w:pPr>
                    <w:pStyle w:val="Compact"/>
                    <w:jc w:val="center"/>
                    <w:jc w:val="center"/>
                  </w:pPr>
                  <w:r>
                    <w:t xml:space="preserve">p-value</w:t>
                  </w:r>
                </w:p>
              </w:tc>
            </w:tr>
            <w:tr>
              <w:tc>
                <w:tcPr/>
                <w:p>
                  <w:pPr>
                    <w:pStyle w:val="Compact"/>
                    <w:jc w:val="left"/>
                    <w:jc w:val="center"/>
                  </w:pPr>
                  <w:r>
                    <w:t xml:space="preserve">OLGA III–IV vs OLGA 0–II</w:t>
                  </w:r>
                </w:p>
              </w:tc>
              <w:tc>
                <w:tcPr/>
                <w:p>
                  <w:pPr>
                    <w:pStyle w:val="Compact"/>
                    <w:jc w:val="center"/>
                    <w:jc w:val="center"/>
                  </w:pPr>
                  <w:r>
                    <w:t xml:space="preserve">4.41 (1.25–14.99)</w:t>
                  </w:r>
                </w:p>
              </w:tc>
              <w:tc>
                <w:tcPr/>
                <w:p>
                  <w:pPr>
                    <w:pStyle w:val="Compact"/>
                    <w:jc w:val="center"/>
                    <w:jc w:val="center"/>
                  </w:pPr>
                  <w:r>
                    <w:t xml:space="preserve">0.022</w:t>
                  </w:r>
                </w:p>
              </w:tc>
            </w:tr>
            <w:tr>
              <w:tc>
                <w:tcPr/>
                <w:p>
                  <w:pPr>
                    <w:pStyle w:val="Compact"/>
                    <w:jc w:val="left"/>
                    <w:jc w:val="center"/>
                  </w:pPr>
                  <w:r>
                    <w:t xml:space="preserve">Age, per year</w:t>
                  </w:r>
                </w:p>
              </w:tc>
              <w:tc>
                <w:tcPr/>
                <w:p>
                  <w:pPr>
                    <w:pStyle w:val="Compact"/>
                    <w:jc w:val="center"/>
                    <w:jc w:val="center"/>
                  </w:pPr>
                  <w:r>
                    <w:t xml:space="preserve">1.00 (0.96–1.05)</w:t>
                  </w:r>
                </w:p>
              </w:tc>
              <w:tc>
                <w:tcPr/>
                <w:p>
                  <w:pPr>
                    <w:pStyle w:val="Compact"/>
                    <w:jc w:val="center"/>
                    <w:jc w:val="center"/>
                  </w:pPr>
                  <w:r>
                    <w:t xml:space="preserve">0.904</w:t>
                  </w:r>
                </w:p>
              </w:tc>
            </w:tr>
            <w:tr>
              <w:tc>
                <w:tcPr/>
                <w:p>
                  <w:pPr>
                    <w:pStyle w:val="Compact"/>
                    <w:jc w:val="left"/>
                    <w:jc w:val="center"/>
                  </w:pPr>
                  <w:r>
                    <w:t xml:space="preserve">Male vs Female</w:t>
                  </w:r>
                </w:p>
              </w:tc>
              <w:tc>
                <w:tcPr/>
                <w:p>
                  <w:pPr>
                    <w:pStyle w:val="Compact"/>
                    <w:jc w:val="center"/>
                    <w:jc w:val="center"/>
                  </w:pPr>
                  <w:r>
                    <w:t xml:space="preserve">1.30 (0.49–3.46)</w:t>
                  </w:r>
                </w:p>
              </w:tc>
              <w:tc>
                <w:tcPr/>
                <w:p>
                  <w:pPr>
                    <w:pStyle w:val="Compact"/>
                    <w:jc w:val="center"/>
                    <w:jc w:val="center"/>
                  </w:pPr>
                  <w:r>
                    <w:t xml:space="preserve">0.595</w:t>
                  </w:r>
                </w:p>
              </w:tc>
            </w:tr>
            <w:tr>
              <w:tc>
                <w:tcPr/>
                <w:p>
                  <w:pPr>
                    <w:pStyle w:val="Compact"/>
                    <w:jc w:val="left"/>
                    <w:jc w:val="center"/>
                  </w:pPr>
                  <w:r>
                    <w:t xml:space="preserve">Endoscopic atrophic gastropathy present vs absent</w:t>
                  </w:r>
                </w:p>
              </w:tc>
              <w:tc>
                <w:tcPr/>
                <w:p>
                  <w:pPr>
                    <w:pStyle w:val="Compact"/>
                    <w:jc w:val="center"/>
                    <w:jc w:val="center"/>
                  </w:pPr>
                  <w:r>
                    <w:t xml:space="preserve">3.41 (1.31–9.09)</w:t>
                  </w:r>
                </w:p>
              </w:tc>
              <w:tc>
                <w:tcPr/>
                <w:p>
                  <w:pPr>
                    <w:pStyle w:val="Compact"/>
                    <w:jc w:val="center"/>
                    <w:jc w:val="center"/>
                  </w:pPr>
                  <w:r>
                    <w:t xml:space="preserve">0.012</w:t>
                  </w:r>
                </w:p>
              </w:tc>
            </w:tr>
          </w:tbl>
          <w:bookmarkEnd w:id="20"/>
          <w:p/>
        </w:tc>
      </w:tr>
    </w:tbl>
    <w:p>
      <w:pPr>
        <w:pStyle w:val="BodyText"/>
      </w:pPr>
      <w:r>
        <w:t xml:space="preserve">OR, odds ratio; CI, confidence interval.</w:t>
      </w:r>
    </w:p>
    <w:p>
      <w:r>
        <w:pict>
          <v:rect style="width:0;height:1.5pt" o:hralign="center" o:hrstd="t" o:hr="t"/>
        </w:pict>
      </w:r>
    </w:p>
    <w:bookmarkEnd w:id="21"/>
    <w:bookmarkStart w:id="25" w:name="supplementary-tables-s2as2c"/>
    <w:p>
      <w:pPr>
        <w:pStyle w:val="Heading1"/>
      </w:pPr>
      <w:r>
        <w:t xml:space="preserve">Supplementary Tables S2A–S2C</w:t>
      </w:r>
    </w:p>
    <w:tbl>
      <w:tblPr>
        <w:tblStyle w:val="Table"/>
        <w:tblW w:type="pct" w:w="5000"/>
        <w:tblLayout w:type="fixed"/>
        <w:tblLook w:firstRow="0" w:lastRow="0" w:firstColumn="0" w:lastColumn="0" w:noHBand="0" w:noVBand="0" w:val="0000"/>
      </w:tblPr>
      <w:tblGrid>
        <w:gridCol w:w="7920"/>
      </w:tblGrid>
      <w:tr>
        <w:tc>
          <w:tcPr/>
          <w:bookmarkStart w:id="22" w:name="tbl-subgroups-sex-supp"/>
          <w:p>
            <w:pPr>
              <w:jc w:val="center"/>
            </w:pPr>
            <w:pPr>
              <w:jc w:val="left"/>
              <w:spacing w:before="200"/>
              <w:pStyle w:val="ImageCaption"/>
            </w:pPr>
            <w:r>
              <w:t xml:space="preserve">Table 2: Supplementary Table S2A. Descriptive diagnostic performance of the rapid urease test across sex subgroups.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left"/>
                    <w:jc w:val="center"/>
                  </w:pPr>
                  <w:r>
                    <w:t xml:space="preserve">Group</w:t>
                  </w:r>
                </w:p>
              </w:tc>
              <w:tc>
                <w:tcPr/>
                <w:p>
                  <w:pPr>
                    <w:pStyle w:val="Compact"/>
                    <w:jc w:val="center"/>
                    <w:jc w:val="center"/>
                  </w:pPr>
                  <w:r>
                    <w:t xml:space="preserve">Total</w:t>
                  </w:r>
                </w:p>
              </w:tc>
              <w:tc>
                <w:tcPr/>
                <w:p>
                  <w:pPr>
                    <w:pStyle w:val="Compact"/>
                    <w:jc w:val="center"/>
                    <w:jc w:val="center"/>
                  </w:pPr>
                  <w:r>
                    <w:t xml:space="preserve">H. pylori +</w:t>
                  </w:r>
                </w:p>
              </w:tc>
              <w:tc>
                <w:tcPr/>
                <w:p>
                  <w:pPr>
                    <w:pStyle w:val="Compact"/>
                    <w:jc w:val="center"/>
                    <w:jc w:val="center"/>
                  </w:pPr>
                  <w:r>
                    <w:t xml:space="preserve">Sensitivity</w:t>
                  </w:r>
                </w:p>
              </w:tc>
              <w:tc>
                <w:tcPr/>
                <w:p>
                  <w:pPr>
                    <w:pStyle w:val="Compact"/>
                    <w:jc w:val="center"/>
                    <w:jc w:val="center"/>
                  </w:pPr>
                  <w:r>
                    <w:t xml:space="preserve">Specificity</w:t>
                  </w:r>
                </w:p>
              </w:tc>
            </w:tr>
            <w:tr>
              <w:tc>
                <w:tcPr/>
                <w:p>
                  <w:pPr>
                    <w:pStyle w:val="Compact"/>
                    <w:jc w:val="left"/>
                    <w:jc w:val="center"/>
                  </w:pPr>
                  <w:r>
                    <w:t xml:space="preserve">Female</w:t>
                  </w:r>
                </w:p>
              </w:tc>
              <w:tc>
                <w:tcPr/>
                <w:p>
                  <w:pPr>
                    <w:pStyle w:val="Compact"/>
                    <w:jc w:val="center"/>
                    <w:jc w:val="center"/>
                  </w:pPr>
                  <w:r>
                    <w:t xml:space="preserve">454</w:t>
                  </w:r>
                </w:p>
              </w:tc>
              <w:tc>
                <w:tcPr/>
                <w:p>
                  <w:pPr>
                    <w:pStyle w:val="Compact"/>
                    <w:jc w:val="center"/>
                    <w:jc w:val="center"/>
                  </w:pPr>
                  <w:r>
                    <w:t xml:space="preserve">115</w:t>
                  </w:r>
                </w:p>
              </w:tc>
              <w:tc>
                <w:tcPr/>
                <w:p>
                  <w:pPr>
                    <w:pStyle w:val="Compact"/>
                    <w:jc w:val="center"/>
                    <w:jc w:val="center"/>
                  </w:pPr>
                  <w:r>
                    <w:t xml:space="preserve">89.6% (82.6–93.9)</w:t>
                  </w:r>
                </w:p>
              </w:tc>
              <w:tc>
                <w:tcPr/>
                <w:p>
                  <w:pPr>
                    <w:pStyle w:val="Compact"/>
                    <w:jc w:val="center"/>
                    <w:jc w:val="center"/>
                  </w:pPr>
                  <w:r>
                    <w:t xml:space="preserve">93.2% (90.0–95.4)</w:t>
                  </w:r>
                </w:p>
              </w:tc>
            </w:tr>
            <w:tr>
              <w:tc>
                <w:tcPr/>
                <w:p>
                  <w:pPr>
                    <w:pStyle w:val="Compact"/>
                    <w:jc w:val="left"/>
                    <w:jc w:val="center"/>
                  </w:pPr>
                  <w:r>
                    <w:t xml:space="preserve">Male</w:t>
                  </w:r>
                </w:p>
              </w:tc>
              <w:tc>
                <w:tcPr/>
                <w:p>
                  <w:pPr>
                    <w:pStyle w:val="Compact"/>
                    <w:jc w:val="center"/>
                    <w:jc w:val="center"/>
                  </w:pPr>
                  <w:r>
                    <w:t xml:space="preserve">270</w:t>
                  </w:r>
                </w:p>
              </w:tc>
              <w:tc>
                <w:tcPr/>
                <w:p>
                  <w:pPr>
                    <w:pStyle w:val="Compact"/>
                    <w:jc w:val="center"/>
                    <w:jc w:val="center"/>
                  </w:pPr>
                  <w:r>
                    <w:t xml:space="preserve">88</w:t>
                  </w:r>
                </w:p>
              </w:tc>
              <w:tc>
                <w:tcPr/>
                <w:p>
                  <w:pPr>
                    <w:pStyle w:val="Compact"/>
                    <w:jc w:val="center"/>
                    <w:jc w:val="center"/>
                  </w:pPr>
                  <w:r>
                    <w:t xml:space="preserve">88.6% (80.3–93.7)</w:t>
                  </w:r>
                </w:p>
              </w:tc>
              <w:tc>
                <w:tcPr/>
                <w:p>
                  <w:pPr>
                    <w:pStyle w:val="Compact"/>
                    <w:jc w:val="center"/>
                    <w:jc w:val="center"/>
                  </w:pPr>
                  <w:r>
                    <w:t xml:space="preserve">89.6% (84.3–93.2)</w:t>
                  </w:r>
                </w:p>
              </w:tc>
            </w:tr>
          </w:tbl>
          <w:bookmarkEnd w:id="22"/>
          <w:p/>
        </w:tc>
      </w:tr>
    </w:tbl>
    <w:p>
      <w:pPr>
        <w:pStyle w:val="BodyText"/>
      </w:pPr>
      <w:r>
        <w:t xml:space="preserve"> </w:t>
      </w:r>
    </w:p>
    <w:tbl>
      <w:tblPr>
        <w:tblStyle w:val="Table"/>
        <w:tblW w:type="pct" w:w="5000"/>
        <w:tblLayout w:type="fixed"/>
        <w:tblLook w:firstRow="0" w:lastRow="0" w:firstColumn="0" w:lastColumn="0" w:noHBand="0" w:noVBand="0" w:val="0000"/>
      </w:tblPr>
      <w:tblGrid>
        <w:gridCol w:w="7920"/>
      </w:tblGrid>
      <w:tr>
        <w:tc>
          <w:tcPr/>
          <w:bookmarkStart w:id="23" w:name="tbl-subgroups-age-supp"/>
          <w:p>
            <w:pPr>
              <w:jc w:val="center"/>
            </w:pPr>
            <w:pPr>
              <w:jc w:val="left"/>
              <w:spacing w:before="200"/>
              <w:pStyle w:val="ImageCaption"/>
            </w:pPr>
            <w:r>
              <w:t xml:space="preserve">Table 3: Supplementary Table S2B. Descriptive diagnostic performance of the rapid urease test across age-group subgroups.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left"/>
                    <w:jc w:val="center"/>
                  </w:pPr>
                  <w:r>
                    <w:t xml:space="preserve">Group</w:t>
                  </w:r>
                </w:p>
              </w:tc>
              <w:tc>
                <w:tcPr/>
                <w:p>
                  <w:pPr>
                    <w:pStyle w:val="Compact"/>
                    <w:jc w:val="center"/>
                    <w:jc w:val="center"/>
                  </w:pPr>
                  <w:r>
                    <w:t xml:space="preserve">Total</w:t>
                  </w:r>
                </w:p>
              </w:tc>
              <w:tc>
                <w:tcPr/>
                <w:p>
                  <w:pPr>
                    <w:pStyle w:val="Compact"/>
                    <w:jc w:val="center"/>
                    <w:jc w:val="center"/>
                  </w:pPr>
                  <w:r>
                    <w:t xml:space="preserve">H. pylori +</w:t>
                  </w:r>
                </w:p>
              </w:tc>
              <w:tc>
                <w:tcPr/>
                <w:p>
                  <w:pPr>
                    <w:pStyle w:val="Compact"/>
                    <w:jc w:val="center"/>
                    <w:jc w:val="center"/>
                  </w:pPr>
                  <w:r>
                    <w:t xml:space="preserve">Sensitivity</w:t>
                  </w:r>
                </w:p>
              </w:tc>
              <w:tc>
                <w:tcPr/>
                <w:p>
                  <w:pPr>
                    <w:pStyle w:val="Compact"/>
                    <w:jc w:val="center"/>
                    <w:jc w:val="center"/>
                  </w:pPr>
                  <w:r>
                    <w:t xml:space="preserve">Specificity</w:t>
                  </w:r>
                </w:p>
              </w:tc>
            </w:tr>
            <w:tr>
              <w:tc>
                <w:tcPr/>
                <w:p>
                  <w:pPr>
                    <w:pStyle w:val="Compact"/>
                    <w:jc w:val="left"/>
                    <w:jc w:val="center"/>
                  </w:pPr>
                  <w:r>
                    <w:t xml:space="preserve">18–40</w:t>
                  </w:r>
                </w:p>
              </w:tc>
              <w:tc>
                <w:tcPr/>
                <w:p>
                  <w:pPr>
                    <w:pStyle w:val="Compact"/>
                    <w:jc w:val="center"/>
                    <w:jc w:val="center"/>
                  </w:pPr>
                  <w:r>
                    <w:t xml:space="preserve">66</w:t>
                  </w:r>
                </w:p>
              </w:tc>
              <w:tc>
                <w:tcPr/>
                <w:p>
                  <w:pPr>
                    <w:pStyle w:val="Compact"/>
                    <w:jc w:val="center"/>
                    <w:jc w:val="center"/>
                  </w:pPr>
                  <w:r>
                    <w:t xml:space="preserve">30</w:t>
                  </w:r>
                </w:p>
              </w:tc>
              <w:tc>
                <w:tcPr/>
                <w:p>
                  <w:pPr>
                    <w:pStyle w:val="Compact"/>
                    <w:jc w:val="center"/>
                    <w:jc w:val="center"/>
                  </w:pPr>
                  <w:r>
                    <w:t xml:space="preserve">100.0% (88.6–100.0)</w:t>
                  </w:r>
                </w:p>
              </w:tc>
              <w:tc>
                <w:tcPr/>
                <w:p>
                  <w:pPr>
                    <w:pStyle w:val="Compact"/>
                    <w:jc w:val="center"/>
                    <w:jc w:val="center"/>
                  </w:pPr>
                  <w:r>
                    <w:t xml:space="preserve">80.6% (65.0–90.2)</w:t>
                  </w:r>
                </w:p>
              </w:tc>
            </w:tr>
            <w:tr>
              <w:tc>
                <w:tcPr/>
                <w:p>
                  <w:pPr>
                    <w:pStyle w:val="Compact"/>
                    <w:jc w:val="left"/>
                    <w:jc w:val="center"/>
                  </w:pPr>
                  <w:r>
                    <w:t xml:space="preserve">41–60</w:t>
                  </w:r>
                </w:p>
              </w:tc>
              <w:tc>
                <w:tcPr/>
                <w:p>
                  <w:pPr>
                    <w:pStyle w:val="Compact"/>
                    <w:jc w:val="center"/>
                    <w:jc w:val="center"/>
                  </w:pPr>
                  <w:r>
                    <w:t xml:space="preserve">368</w:t>
                  </w:r>
                </w:p>
              </w:tc>
              <w:tc>
                <w:tcPr/>
                <w:p>
                  <w:pPr>
                    <w:pStyle w:val="Compact"/>
                    <w:jc w:val="center"/>
                    <w:jc w:val="center"/>
                  </w:pPr>
                  <w:r>
                    <w:t xml:space="preserve">128</w:t>
                  </w:r>
                </w:p>
              </w:tc>
              <w:tc>
                <w:tcPr/>
                <w:p>
                  <w:pPr>
                    <w:pStyle w:val="Compact"/>
                    <w:jc w:val="center"/>
                    <w:jc w:val="center"/>
                  </w:pPr>
                  <w:r>
                    <w:t xml:space="preserve">87.5% (80.7–92.2)</w:t>
                  </w:r>
                </w:p>
              </w:tc>
              <w:tc>
                <w:tcPr/>
                <w:p>
                  <w:pPr>
                    <w:pStyle w:val="Compact"/>
                    <w:jc w:val="center"/>
                    <w:jc w:val="center"/>
                  </w:pPr>
                  <w:r>
                    <w:t xml:space="preserve">91.2% (87.0–94.2)</w:t>
                  </w:r>
                </w:p>
              </w:tc>
            </w:tr>
            <w:tr>
              <w:tc>
                <w:tcPr/>
                <w:p>
                  <w:pPr>
                    <w:pStyle w:val="Compact"/>
                    <w:jc w:val="left"/>
                    <w:jc w:val="center"/>
                  </w:pPr>
                  <w:r>
                    <w:t xml:space="preserve">&gt;60</w:t>
                  </w:r>
                </w:p>
              </w:tc>
              <w:tc>
                <w:tcPr/>
                <w:p>
                  <w:pPr>
                    <w:pStyle w:val="Compact"/>
                    <w:jc w:val="center"/>
                    <w:jc w:val="center"/>
                  </w:pPr>
                  <w:r>
                    <w:t xml:space="preserve">310</w:t>
                  </w:r>
                </w:p>
              </w:tc>
              <w:tc>
                <w:tcPr/>
                <w:p>
                  <w:pPr>
                    <w:pStyle w:val="Compact"/>
                    <w:jc w:val="center"/>
                    <w:jc w:val="center"/>
                  </w:pPr>
                  <w:r>
                    <w:t xml:space="preserve">52</w:t>
                  </w:r>
                </w:p>
              </w:tc>
              <w:tc>
                <w:tcPr/>
                <w:p>
                  <w:pPr>
                    <w:pStyle w:val="Compact"/>
                    <w:jc w:val="center"/>
                    <w:jc w:val="center"/>
                  </w:pPr>
                  <w:r>
                    <w:t xml:space="preserve">88.5% (77.0–94.6)</w:t>
                  </w:r>
                </w:p>
              </w:tc>
              <w:tc>
                <w:tcPr/>
                <w:p>
                  <w:pPr>
                    <w:pStyle w:val="Compact"/>
                    <w:jc w:val="center"/>
                    <w:jc w:val="center"/>
                  </w:pPr>
                  <w:r>
                    <w:t xml:space="preserve">94.2% (90.6–96.4)</w:t>
                  </w:r>
                </w:p>
              </w:tc>
            </w:tr>
          </w:tbl>
          <w:bookmarkEnd w:id="23"/>
          <w:p/>
        </w:tc>
      </w:tr>
    </w:tbl>
    <w:p>
      <w:pPr>
        <w:pStyle w:val="BodyText"/>
      </w:pPr>
      <w:r>
        <w:t xml:space="preserve"> </w:t>
      </w:r>
    </w:p>
    <w:tbl>
      <w:tblPr>
        <w:tblStyle w:val="Table"/>
        <w:tblW w:type="pct" w:w="5000"/>
        <w:tblLayout w:type="fixed"/>
        <w:tblLook w:firstRow="0" w:lastRow="0" w:firstColumn="0" w:lastColumn="0" w:noHBand="0" w:noVBand="0" w:val="0000"/>
      </w:tblPr>
      <w:tblGrid>
        <w:gridCol w:w="7920"/>
      </w:tblGrid>
      <w:tr>
        <w:tc>
          <w:tcPr/>
          <w:bookmarkStart w:id="24" w:name="tbl-subgroups-indication-supp"/>
          <w:p>
            <w:pPr>
              <w:jc w:val="center"/>
            </w:pPr>
            <w:pPr>
              <w:jc w:val="left"/>
              <w:spacing w:before="200"/>
              <w:pStyle w:val="ImageCaption"/>
            </w:pPr>
            <w:r>
              <w:t xml:space="preserve">Table 4: Supplementary Table S2C. Descriptive diagnostic performance of the rapid urease test across clinical-indication subgroups.</w:t>
            </w:r>
          </w:p>
          <w:tbl>
            <w:tblPr>
              <w:tblStyle w:val="Table"/>
              <w:tblW w:type="pct" w:w="5000"/>
              <w:tblLayout w:type="fixed"/>
              <w:tblLook w:firstRow="1" w:lastRow="0" w:firstColumn="0" w:lastColumn="0" w:noHBand="0" w:noVBand="0" w:val="0020"/>
            </w:tblPr>
            <w:tblGrid>
              <w:gridCol w:w="2394"/>
              <w:gridCol w:w="644"/>
              <w:gridCol w:w="1197"/>
              <w:gridCol w:w="1749"/>
              <w:gridCol w:w="1933"/>
            </w:tblGrid>
            <w:tr>
              <w:trPr>
                <w:tblHeader w:val="on"/>
              </w:trPr>
              <w:tc>
                <w:tcPr/>
                <w:p>
                  <w:pPr>
                    <w:pStyle w:val="Compact"/>
                    <w:jc w:val="left"/>
                    <w:jc w:val="center"/>
                  </w:pPr>
                  <w:r>
                    <w:t xml:space="preserve">Group</w:t>
                  </w:r>
                </w:p>
              </w:tc>
              <w:tc>
                <w:tcPr/>
                <w:p>
                  <w:pPr>
                    <w:pStyle w:val="Compact"/>
                    <w:jc w:val="center"/>
                    <w:jc w:val="center"/>
                  </w:pPr>
                  <w:r>
                    <w:t xml:space="preserve">Total</w:t>
                  </w:r>
                </w:p>
              </w:tc>
              <w:tc>
                <w:tcPr/>
                <w:p>
                  <w:pPr>
                    <w:pStyle w:val="Compact"/>
                    <w:jc w:val="center"/>
                    <w:jc w:val="center"/>
                  </w:pPr>
                  <w:r>
                    <w:t xml:space="preserve">H. pylori +</w:t>
                  </w:r>
                </w:p>
              </w:tc>
              <w:tc>
                <w:tcPr/>
                <w:p>
                  <w:pPr>
                    <w:pStyle w:val="Compact"/>
                    <w:jc w:val="center"/>
                    <w:jc w:val="center"/>
                  </w:pPr>
                  <w:r>
                    <w:t xml:space="preserve">Sensitivity</w:t>
                  </w:r>
                </w:p>
              </w:tc>
              <w:tc>
                <w:tcPr/>
                <w:p>
                  <w:pPr>
                    <w:pStyle w:val="Compact"/>
                    <w:jc w:val="center"/>
                    <w:jc w:val="center"/>
                  </w:pPr>
                  <w:r>
                    <w:t xml:space="preserve">Specificity</w:t>
                  </w:r>
                </w:p>
              </w:tc>
            </w:tr>
            <w:tr>
              <w:tc>
                <w:tcPr/>
                <w:p>
                  <w:pPr>
                    <w:pStyle w:val="Compact"/>
                    <w:jc w:val="left"/>
                    <w:jc w:val="center"/>
                  </w:pPr>
                  <w:r>
                    <w:t xml:space="preserve">Dyspepsia/abdominal pain</w:t>
                  </w:r>
                </w:p>
              </w:tc>
              <w:tc>
                <w:tcPr/>
                <w:p>
                  <w:pPr>
                    <w:pStyle w:val="Compact"/>
                    <w:jc w:val="center"/>
                    <w:jc w:val="center"/>
                  </w:pPr>
                  <w:r>
                    <w:t xml:space="preserve">170</w:t>
                  </w:r>
                </w:p>
              </w:tc>
              <w:tc>
                <w:tcPr/>
                <w:p>
                  <w:pPr>
                    <w:pStyle w:val="Compact"/>
                    <w:jc w:val="center"/>
                    <w:jc w:val="center"/>
                  </w:pPr>
                  <w:r>
                    <w:t xml:space="preserve">59</w:t>
                  </w:r>
                </w:p>
              </w:tc>
              <w:tc>
                <w:tcPr/>
                <w:p>
                  <w:pPr>
                    <w:pStyle w:val="Compact"/>
                    <w:jc w:val="center"/>
                    <w:jc w:val="center"/>
                  </w:pPr>
                  <w:r>
                    <w:t xml:space="preserve">91.5% (81.6–96.3)</w:t>
                  </w:r>
                </w:p>
              </w:tc>
              <w:tc>
                <w:tcPr/>
                <w:p>
                  <w:pPr>
                    <w:pStyle w:val="Compact"/>
                    <w:jc w:val="center"/>
                    <w:jc w:val="center"/>
                  </w:pPr>
                  <w:r>
                    <w:t xml:space="preserve">92.8% (86.4–96.3)</w:t>
                  </w:r>
                </w:p>
              </w:tc>
            </w:tr>
            <w:tr>
              <w:tc>
                <w:tcPr/>
                <w:p>
                  <w:pPr>
                    <w:pStyle w:val="Compact"/>
                    <w:jc w:val="left"/>
                    <w:jc w:val="center"/>
                  </w:pPr>
                  <w:r>
                    <w:t xml:space="preserve">Follow-up gastric lesions</w:t>
                  </w:r>
                </w:p>
              </w:tc>
              <w:tc>
                <w:tcPr/>
                <w:p>
                  <w:pPr>
                    <w:pStyle w:val="Compact"/>
                    <w:jc w:val="center"/>
                    <w:jc w:val="center"/>
                  </w:pPr>
                  <w:r>
                    <w:t xml:space="preserve">49</w:t>
                  </w:r>
                </w:p>
              </w:tc>
              <w:tc>
                <w:tcPr/>
                <w:p>
                  <w:pPr>
                    <w:pStyle w:val="Compact"/>
                    <w:jc w:val="center"/>
                    <w:jc w:val="center"/>
                  </w:pPr>
                  <w:r>
                    <w:t xml:space="preserve">8</w:t>
                  </w:r>
                </w:p>
              </w:tc>
              <w:tc>
                <w:tcPr/>
                <w:p>
                  <w:pPr>
                    <w:pStyle w:val="Compact"/>
                    <w:jc w:val="center"/>
                    <w:jc w:val="center"/>
                  </w:pPr>
                  <w:r>
                    <w:t xml:space="preserve">75.0% (40.9–92.9)</w:t>
                  </w:r>
                </w:p>
              </w:tc>
              <w:tc>
                <w:tcPr/>
                <w:p>
                  <w:pPr>
                    <w:pStyle w:val="Compact"/>
                    <w:jc w:val="center"/>
                    <w:jc w:val="center"/>
                  </w:pPr>
                  <w:r>
                    <w:t xml:space="preserve">100.0% (91.4–100.0)</w:t>
                  </w:r>
                </w:p>
              </w:tc>
            </w:tr>
            <w:tr>
              <w:tc>
                <w:tcPr/>
                <w:p>
                  <w:pPr>
                    <w:pStyle w:val="Compact"/>
                    <w:jc w:val="left"/>
                    <w:jc w:val="center"/>
                  </w:pPr>
                  <w:r>
                    <w:t xml:space="preserve">Gastric cancer screening</w:t>
                  </w:r>
                </w:p>
              </w:tc>
              <w:tc>
                <w:tcPr/>
                <w:p>
                  <w:pPr>
                    <w:pStyle w:val="Compact"/>
                    <w:jc w:val="center"/>
                    <w:jc w:val="center"/>
                  </w:pPr>
                  <w:r>
                    <w:t xml:space="preserve">114</w:t>
                  </w:r>
                </w:p>
              </w:tc>
              <w:tc>
                <w:tcPr/>
                <w:p>
                  <w:pPr>
                    <w:pStyle w:val="Compact"/>
                    <w:jc w:val="center"/>
                    <w:jc w:val="center"/>
                  </w:pPr>
                  <w:r>
                    <w:t xml:space="preserve">25</w:t>
                  </w:r>
                </w:p>
              </w:tc>
              <w:tc>
                <w:tcPr/>
                <w:p>
                  <w:pPr>
                    <w:pStyle w:val="Compact"/>
                    <w:jc w:val="center"/>
                    <w:jc w:val="center"/>
                  </w:pPr>
                  <w:r>
                    <w:t xml:space="preserve">88.0% (70.0–95.8)</w:t>
                  </w:r>
                </w:p>
              </w:tc>
              <w:tc>
                <w:tcPr/>
                <w:p>
                  <w:pPr>
                    <w:pStyle w:val="Compact"/>
                    <w:jc w:val="center"/>
                    <w:jc w:val="center"/>
                  </w:pPr>
                  <w:r>
                    <w:t xml:space="preserve">88.8% (80.5–93.8)</w:t>
                  </w:r>
                </w:p>
              </w:tc>
            </w:tr>
            <w:tr>
              <w:tc>
                <w:tcPr/>
                <w:p>
                  <w:pPr>
                    <w:pStyle w:val="Compact"/>
                    <w:jc w:val="left"/>
                    <w:jc w:val="center"/>
                  </w:pPr>
                  <w:r>
                    <w:t xml:space="preserve">Gastroesophageal reflux</w:t>
                  </w:r>
                </w:p>
              </w:tc>
              <w:tc>
                <w:tcPr/>
                <w:p>
                  <w:pPr>
                    <w:pStyle w:val="Compact"/>
                    <w:jc w:val="center"/>
                    <w:jc w:val="center"/>
                  </w:pPr>
                  <w:r>
                    <w:t xml:space="preserve">54</w:t>
                  </w:r>
                </w:p>
              </w:tc>
              <w:tc>
                <w:tcPr/>
                <w:p>
                  <w:pPr>
                    <w:pStyle w:val="Compact"/>
                    <w:jc w:val="center"/>
                    <w:jc w:val="center"/>
                  </w:pPr>
                  <w:r>
                    <w:t xml:space="preserve">10</w:t>
                  </w:r>
                </w:p>
              </w:tc>
              <w:tc>
                <w:tcPr/>
                <w:p>
                  <w:pPr>
                    <w:pStyle w:val="Compact"/>
                    <w:jc w:val="center"/>
                    <w:jc w:val="center"/>
                  </w:pPr>
                  <w:r>
                    <w:t xml:space="preserve">90.0% (59.6–98.2)</w:t>
                  </w:r>
                </w:p>
              </w:tc>
              <w:tc>
                <w:tcPr/>
                <w:p>
                  <w:pPr>
                    <w:pStyle w:val="Compact"/>
                    <w:jc w:val="center"/>
                    <w:jc w:val="center"/>
                  </w:pPr>
                  <w:r>
                    <w:t xml:space="preserve">93.2% (81.8–97.7)</w:t>
                  </w:r>
                </w:p>
              </w:tc>
            </w:tr>
            <w:tr>
              <w:tc>
                <w:tcPr/>
                <w:p>
                  <w:pPr>
                    <w:pStyle w:val="Compact"/>
                    <w:jc w:val="left"/>
                    <w:jc w:val="center"/>
                  </w:pPr>
                  <w:r>
                    <w:t xml:space="preserve">Other/unspecified</w:t>
                  </w:r>
                </w:p>
              </w:tc>
              <w:tc>
                <w:tcPr/>
                <w:p>
                  <w:pPr>
                    <w:pStyle w:val="Compact"/>
                    <w:jc w:val="center"/>
                    <w:jc w:val="center"/>
                  </w:pPr>
                  <w:r>
                    <w:t xml:space="preserve">341</w:t>
                  </w:r>
                </w:p>
              </w:tc>
              <w:tc>
                <w:tcPr/>
                <w:p>
                  <w:pPr>
                    <w:pStyle w:val="Compact"/>
                    <w:jc w:val="center"/>
                    <w:jc w:val="center"/>
                  </w:pPr>
                  <w:r>
                    <w:t xml:space="preserve">97</w:t>
                  </w:r>
                </w:p>
              </w:tc>
              <w:tc>
                <w:tcPr/>
                <w:p>
                  <w:pPr>
                    <w:pStyle w:val="Compact"/>
                    <w:jc w:val="center"/>
                    <w:jc w:val="center"/>
                  </w:pPr>
                  <w:r>
                    <w:t xml:space="preserve">89.7% (82.1–94.3)</w:t>
                  </w:r>
                </w:p>
              </w:tc>
              <w:tc>
                <w:tcPr/>
                <w:p>
                  <w:pPr>
                    <w:pStyle w:val="Compact"/>
                    <w:jc w:val="center"/>
                    <w:jc w:val="center"/>
                  </w:pPr>
                  <w:r>
                    <w:t xml:space="preserve">91.4% (87.2–94.3)</w:t>
                  </w:r>
                </w:p>
              </w:tc>
            </w:tr>
            <w:tr>
              <w:tc>
                <w:tcPr/>
                <w:p>
                  <w:pPr>
                    <w:pStyle w:val="Compact"/>
                    <w:jc w:val="left"/>
                    <w:jc w:val="center"/>
                  </w:pPr>
                  <w:r>
                    <w:t xml:space="preserve">Pre-bariatric evaluation</w:t>
                  </w:r>
                </w:p>
              </w:tc>
              <w:tc>
                <w:tcPr/>
                <w:p>
                  <w:pPr>
                    <w:pStyle w:val="Compact"/>
                    <w:jc w:val="center"/>
                    <w:jc w:val="center"/>
                  </w:pPr>
                  <w:r>
                    <w:t xml:space="preserve">16</w:t>
                  </w:r>
                </w:p>
              </w:tc>
              <w:tc>
                <w:tcPr/>
                <w:p>
                  <w:pPr>
                    <w:pStyle w:val="Compact"/>
                    <w:jc w:val="center"/>
                    <w:jc w:val="center"/>
                  </w:pPr>
                  <w:r>
                    <w:t xml:space="preserve">11</w:t>
                  </w:r>
                </w:p>
              </w:tc>
              <w:tc>
                <w:tcPr/>
                <w:p>
                  <w:pPr>
                    <w:pStyle w:val="Compact"/>
                    <w:jc w:val="center"/>
                    <w:jc w:val="center"/>
                  </w:pPr>
                  <w:r>
                    <w:t xml:space="preserve">90.9% (62.3–98.4)</w:t>
                  </w:r>
                </w:p>
              </w:tc>
              <w:tc>
                <w:tcPr/>
                <w:p>
                  <w:pPr>
                    <w:pStyle w:val="Compact"/>
                    <w:jc w:val="center"/>
                    <w:jc w:val="center"/>
                  </w:pPr>
                  <w:r>
                    <w:t xml:space="preserve">80.0% (37.6–96.4)</w:t>
                  </w:r>
                </w:p>
              </w:tc>
            </w:tr>
          </w:tbl>
          <w:bookmarkEnd w:id="24"/>
          <w:p/>
        </w:tc>
      </w:tr>
    </w:tbl>
    <w:p>
      <w:r>
        <w:pict>
          <v:rect style="width:0;height:1.5pt" o:hralign="center" o:hrstd="t" o:hr="t"/>
        </w:pict>
      </w:r>
    </w:p>
    <w:bookmarkEnd w:id="25"/>
    <w:bookmarkStart w:id="30" w:name="supplementary-figure-s1"/>
    <w:p>
      <w:pPr>
        <w:pStyle w:val="Heading1"/>
      </w:pPr>
      <w:r>
        <w:t xml:space="preserve">Supplementary Figure S1</w:t>
      </w:r>
    </w:p>
    <w:tbl>
      <w:tblPr>
        <w:tblStyle w:val="Table"/>
        <w:tblW w:type="pct" w:w="5000"/>
        <w:tblLayout w:type="fixed"/>
        <w:tblLook w:firstRow="0" w:lastRow="0" w:firstColumn="0" w:lastColumn="0" w:noHBand="0" w:noVBand="0" w:val="0000"/>
      </w:tblPr>
      <w:tblGrid>
        <w:gridCol w:w="7920"/>
      </w:tblGrid>
      <w:tr>
        <w:tc>
          <w:tcPr/>
          <w:bookmarkStart w:id="29" w:name="fig-algorithm-supp"/>
          <w:p>
            <w:pPr>
              <w:pStyle w:val="Compact"/>
              <w:jc w:val="center"/>
            </w:pPr>
            <w:r>
              <w:drawing>
                <wp:inline>
                  <wp:extent cx="4800600" cy="4667250"/>
                  <wp:effectExtent b="0" l="0" r="0" t="0"/>
                  <wp:docPr descr="" title="" id="27" name="Picture"/>
                  <a:graphic>
                    <a:graphicData uri="http://schemas.openxmlformats.org/drawingml/2006/picture">
                      <pic:pic>
                        <pic:nvPicPr>
                          <pic:cNvPr descr="supporting_information_files/figure-docx/fig-algorithm-supp-1.png" id="28" name="Picture"/>
                          <pic:cNvPicPr>
                            <a:picLocks noChangeArrowheads="1" noChangeAspect="1"/>
                          </pic:cNvPicPr>
                        </pic:nvPicPr>
                        <pic:blipFill>
                          <a:blip r:embed="rId26"/>
                          <a:stretch>
                            <a:fillRect/>
                          </a:stretch>
                        </pic:blipFill>
                        <pic:spPr bwMode="auto">
                          <a:xfrm>
                            <a:off x="0" y="0"/>
                            <a:ext cx="4800600" cy="466725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Supplementary Figure S1. Clinical decision algorithm for</w:t>
            </w:r>
            <w:r>
              <w:t xml:space="preserve"> </w:t>
            </w:r>
            <w:r>
              <w:rPr>
                <w:i/>
                <w:iCs/>
              </w:rPr>
              <w:t xml:space="preserve">Helicobacter pylori</w:t>
            </w:r>
            <w:r>
              <w:t xml:space="preserve"> </w:t>
            </w:r>
            <w:r>
              <w:t xml:space="preserve">diagnosis based on rapid urease test result and OLGA stage at upper gastrointestinal endoscopy. OLGA, Operative Link on Gastritis Assessment; RUT, rapid urease test; UBT, 13C-urea breath test.</w:t>
            </w:r>
          </w:p>
          <w:bookmarkEnd w:id="29"/>
        </w:tc>
      </w:tr>
    </w:tbl>
    <w:p>
      <w:r>
        <w:pict>
          <v:rect style="width:0;height:1.5pt" o:hralign="center" o:hrstd="t" o:hr="t"/>
        </w:pict>
      </w:r>
    </w:p>
    <w:bookmarkEnd w:id="30"/>
    <w:bookmarkStart w:id="31" w:name="stard-2015-checklist"/>
    <w:p>
      <w:pPr>
        <w:pStyle w:val="Heading1"/>
      </w:pPr>
      <w:r>
        <w:t xml:space="preserve">STARD 2015 Checklist</w:t>
      </w:r>
    </w:p>
    <w:p>
      <w:pPr>
        <w:pStyle w:val="FirstParagraph"/>
      </w:pPr>
      <w:r>
        <w:rPr>
          <w:b/>
          <w:bCs/>
        </w:rPr>
        <w:t xml:space="preserve">Manuscript:</w:t>
      </w:r>
      <w:r>
        <w:t xml:space="preserve"> </w:t>
      </w:r>
      <w:r>
        <w:t xml:space="preserve">Rapid Urease Test Performance in Advanced Gastric Atrophy: A Diagnostic Accuracy Study Using OLGA Staging</w:t>
      </w:r>
    </w:p>
    <w:p>
      <w:pPr>
        <w:pStyle w:val="BodyText"/>
      </w:pPr>
      <w:r>
        <w:t xml:space="preserve">Reported following: Bossuyt PM, et al. STARD 2015: an updated list of essential items for reporting diagnostic accuracy studies.</w:t>
      </w:r>
      <w:r>
        <w:t xml:space="preserve"> </w:t>
      </w:r>
      <w:r>
        <w:rPr>
          <w:i/>
          <w:iCs/>
        </w:rPr>
        <w:t xml:space="preserve">BMJ</w:t>
      </w:r>
      <w:r>
        <w:t xml:space="preserve">. 2015;351:h5527.</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Section</w:t>
            </w:r>
          </w:p>
        </w:tc>
        <w:tc>
          <w:tcPr/>
          <w:p>
            <w:pPr>
              <w:pStyle w:val="Compact"/>
            </w:pPr>
            <w:r>
              <w:t xml:space="preserve">Item</w:t>
            </w:r>
          </w:p>
        </w:tc>
        <w:tc>
          <w:tcPr/>
          <w:p>
            <w:pPr>
              <w:pStyle w:val="Compact"/>
            </w:pPr>
            <w:r>
              <w:t xml:space="preserve">Reported</w:t>
            </w:r>
          </w:p>
        </w:tc>
        <w:tc>
          <w:tcPr/>
          <w:p>
            <w:pPr>
              <w:pStyle w:val="Compact"/>
            </w:pPr>
            <w:r>
              <w:t xml:space="preserve">Location in manuscript</w:t>
            </w:r>
          </w:p>
        </w:tc>
      </w:tr>
      <w:tr>
        <w:tc>
          <w:tcPr/>
          <w:p>
            <w:pPr>
              <w:pStyle w:val="Compact"/>
            </w:pPr>
            <w:r>
              <w:rPr>
                <w:b/>
                <w:bCs/>
              </w:rPr>
              <w:t xml:space="preserve">TITLE AND ABSTRACT</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1</w:t>
            </w:r>
          </w:p>
        </w:tc>
        <w:tc>
          <w:tcPr/>
          <w:p>
            <w:pPr>
              <w:pStyle w:val="Compact"/>
            </w:pPr>
            <w:r>
              <w:t xml:space="preserve">Title</w:t>
            </w:r>
          </w:p>
        </w:tc>
        <w:tc>
          <w:tcPr/>
          <w:p>
            <w:pPr>
              <w:pStyle w:val="Compact"/>
            </w:pPr>
            <w:r>
              <w:t xml:space="preserve">Identification as a study of diagnostic accuracy (sensitivity, specificity, predictive values, AUC, etc.)</w:t>
            </w:r>
          </w:p>
        </w:tc>
        <w:tc>
          <w:tcPr/>
          <w:p>
            <w:pPr>
              <w:pStyle w:val="Compact"/>
            </w:pPr>
            <w:r>
              <w:t xml:space="preserve">Yes</w:t>
            </w:r>
          </w:p>
        </w:tc>
        <w:tc>
          <w:tcPr/>
          <w:p>
            <w:pPr>
              <w:pStyle w:val="Compact"/>
            </w:pPr>
            <w:r>
              <w:t xml:space="preserve">Title:</w:t>
            </w:r>
            <w:r>
              <w:t xml:space="preserve"> </w:t>
            </w:r>
            <w:r>
              <w:t xml:space="preserve">“…A Diagnostic Accuracy Study…”</w:t>
            </w:r>
          </w:p>
        </w:tc>
      </w:tr>
      <w:tr>
        <w:tc>
          <w:tcPr/>
          <w:p>
            <w:pPr>
              <w:pStyle w:val="Compact"/>
            </w:pPr>
            <w:r>
              <w:t xml:space="preserve">2</w:t>
            </w:r>
          </w:p>
        </w:tc>
        <w:tc>
          <w:tcPr/>
          <w:p>
            <w:pPr>
              <w:pStyle w:val="Compact"/>
            </w:pPr>
            <w:r>
              <w:t xml:space="preserve">Abstract</w:t>
            </w:r>
          </w:p>
        </w:tc>
        <w:tc>
          <w:tcPr/>
          <w:p>
            <w:pPr>
              <w:pStyle w:val="Compact"/>
            </w:pPr>
            <w:r>
              <w:t xml:space="preserve">Structured summary of study design, methods, results, and conclusions</w:t>
            </w:r>
          </w:p>
        </w:tc>
        <w:tc>
          <w:tcPr/>
          <w:p>
            <w:pPr>
              <w:pStyle w:val="Compact"/>
            </w:pPr>
            <w:r>
              <w:t xml:space="preserve">Yes</w:t>
            </w:r>
          </w:p>
        </w:tc>
        <w:tc>
          <w:tcPr/>
          <w:p>
            <w:pPr>
              <w:pStyle w:val="Compact"/>
            </w:pPr>
            <w:r>
              <w:t xml:space="preserve">Abstract (Background / Materials and Methods / Results / Conclusions)</w:t>
            </w:r>
          </w:p>
        </w:tc>
      </w:tr>
      <w:tr>
        <w:tc>
          <w:tcPr/>
          <w:p>
            <w:pPr>
              <w:pStyle w:val="Compact"/>
            </w:pPr>
            <w:r>
              <w:rPr>
                <w:b/>
                <w:bCs/>
              </w:rPr>
              <w:t xml:space="preserve">INTRODUCTION</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3</w:t>
            </w:r>
          </w:p>
        </w:tc>
        <w:tc>
          <w:tcPr/>
          <w:p>
            <w:pPr>
              <w:pStyle w:val="Compact"/>
            </w:pPr>
            <w:r>
              <w:t xml:space="preserve">Introduction</w:t>
            </w:r>
          </w:p>
        </w:tc>
        <w:tc>
          <w:tcPr/>
          <w:p>
            <w:pPr>
              <w:pStyle w:val="Compact"/>
            </w:pPr>
            <w:r>
              <w:t xml:space="preserve">Scientific and clinical background, including the intended use and clinical role of the index test</w:t>
            </w:r>
          </w:p>
        </w:tc>
        <w:tc>
          <w:tcPr/>
          <w:p>
            <w:pPr>
              <w:pStyle w:val="Compact"/>
            </w:pPr>
            <w:r>
              <w:t xml:space="preserve">Yes</w:t>
            </w:r>
          </w:p>
        </w:tc>
        <w:tc>
          <w:tcPr/>
          <w:p>
            <w:pPr>
              <w:pStyle w:val="Compact"/>
            </w:pPr>
            <w:r>
              <w:t xml:space="preserve">Introduction, paragraphs 1–3</w:t>
            </w:r>
          </w:p>
        </w:tc>
      </w:tr>
      <w:tr>
        <w:tc>
          <w:tcPr/>
          <w:p>
            <w:pPr>
              <w:pStyle w:val="Compact"/>
            </w:pPr>
            <w:r>
              <w:t xml:space="preserve">4</w:t>
            </w:r>
          </w:p>
        </w:tc>
        <w:tc>
          <w:tcPr/>
          <w:p>
            <w:pPr>
              <w:pStyle w:val="Compact"/>
            </w:pPr>
            <w:r>
              <w:t xml:space="preserve">Introduction</w:t>
            </w:r>
          </w:p>
        </w:tc>
        <w:tc>
          <w:tcPr/>
          <w:p>
            <w:pPr>
              <w:pStyle w:val="Compact"/>
            </w:pPr>
            <w:r>
              <w:t xml:space="preserve">Study objectives and hypotheses</w:t>
            </w:r>
          </w:p>
        </w:tc>
        <w:tc>
          <w:tcPr/>
          <w:p>
            <w:pPr>
              <w:pStyle w:val="Compact"/>
            </w:pPr>
            <w:r>
              <w:t xml:space="preserve">Yes</w:t>
            </w:r>
          </w:p>
        </w:tc>
        <w:tc>
          <w:tcPr/>
          <w:p>
            <w:pPr>
              <w:pStyle w:val="Compact"/>
            </w:pPr>
            <w:r>
              <w:t xml:space="preserve">Introduction, final paragraph</w:t>
            </w:r>
          </w:p>
        </w:tc>
      </w:tr>
      <w:tr>
        <w:tc>
          <w:tcPr/>
          <w:p>
            <w:pPr>
              <w:pStyle w:val="Compact"/>
            </w:pPr>
            <w:r>
              <w:rPr>
                <w:b/>
                <w:bCs/>
              </w:rPr>
              <w:t xml:space="preserve">METHODS</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5</w:t>
            </w:r>
          </w:p>
        </w:tc>
        <w:tc>
          <w:tcPr/>
          <w:p>
            <w:pPr>
              <w:pStyle w:val="Compact"/>
            </w:pPr>
            <w:r>
              <w:t xml:space="preserve">Study design</w:t>
            </w:r>
          </w:p>
        </w:tc>
        <w:tc>
          <w:tcPr/>
          <w:p>
            <w:pPr>
              <w:pStyle w:val="Compact"/>
            </w:pPr>
            <w:r>
              <w:t xml:space="preserve">Whether data collection was planned before the index test and reference standard were performed (prospective study) or after (retrospective study)</w:t>
            </w:r>
          </w:p>
        </w:tc>
        <w:tc>
          <w:tcPr/>
          <w:p>
            <w:pPr>
              <w:pStyle w:val="Compact"/>
            </w:pPr>
            <w:r>
              <w:t xml:space="preserve">Yes</w:t>
            </w:r>
          </w:p>
        </w:tc>
        <w:tc>
          <w:tcPr/>
          <w:p>
            <w:pPr>
              <w:pStyle w:val="Compact"/>
            </w:pPr>
            <w:r>
              <w:t xml:space="preserve">M&amp;M: Study design —</w:t>
            </w:r>
            <w:r>
              <w:t xml:space="preserve"> </w:t>
            </w:r>
            <w:r>
              <w:t xml:space="preserve">“retrospective cross-sectional”</w:t>
            </w:r>
          </w:p>
        </w:tc>
      </w:tr>
      <w:tr>
        <w:tc>
          <w:tcPr/>
          <w:p>
            <w:pPr>
              <w:pStyle w:val="Compact"/>
            </w:pPr>
            <w:r>
              <w:t xml:space="preserve">6</w:t>
            </w:r>
          </w:p>
        </w:tc>
        <w:tc>
          <w:tcPr/>
          <w:p>
            <w:pPr>
              <w:pStyle w:val="Compact"/>
            </w:pPr>
            <w:r>
              <w:t xml:space="preserve">Participants</w:t>
            </w:r>
          </w:p>
        </w:tc>
        <w:tc>
          <w:tcPr/>
          <w:p>
            <w:pPr>
              <w:pStyle w:val="Compact"/>
            </w:pPr>
            <w:r>
              <w:t xml:space="preserve">Eligibility criteria</w:t>
            </w:r>
          </w:p>
        </w:tc>
        <w:tc>
          <w:tcPr/>
          <w:p>
            <w:pPr>
              <w:pStyle w:val="Compact"/>
            </w:pPr>
            <w:r>
              <w:t xml:space="preserve">Yes</w:t>
            </w:r>
          </w:p>
        </w:tc>
        <w:tc>
          <w:tcPr/>
          <w:p>
            <w:pPr>
              <w:pStyle w:val="Compact"/>
            </w:pPr>
            <w:r>
              <w:t xml:space="preserve">M&amp;M: Study population — adults ≥18 y, simultaneous RUT + Sydney biopsies</w:t>
            </w:r>
          </w:p>
        </w:tc>
      </w:tr>
      <w:tr>
        <w:tc>
          <w:tcPr/>
          <w:p>
            <w:pPr>
              <w:pStyle w:val="Compact"/>
            </w:pPr>
            <w:r>
              <w:t xml:space="preserve">7</w:t>
            </w:r>
          </w:p>
        </w:tc>
        <w:tc>
          <w:tcPr/>
          <w:p>
            <w:pPr>
              <w:pStyle w:val="Compact"/>
            </w:pPr>
            <w:r>
              <w:t xml:space="preserve">Participants</w:t>
            </w:r>
          </w:p>
        </w:tc>
        <w:tc>
          <w:tcPr/>
          <w:p>
            <w:pPr>
              <w:pStyle w:val="Compact"/>
            </w:pPr>
            <w:r>
              <w:t xml:space="preserve">How potentially eligible participants were identified (consecutive, random, convenience sample)</w:t>
            </w:r>
          </w:p>
        </w:tc>
        <w:tc>
          <w:tcPr/>
          <w:p>
            <w:pPr>
              <w:pStyle w:val="Compact"/>
            </w:pPr>
            <w:r>
              <w:t xml:space="preserve">Yes</w:t>
            </w:r>
          </w:p>
        </w:tc>
        <w:tc>
          <w:tcPr/>
          <w:p>
            <w:pPr>
              <w:pStyle w:val="Compact"/>
            </w:pPr>
            <w:r>
              <w:t xml:space="preserve">M&amp;M: Study population —</w:t>
            </w:r>
            <w:r>
              <w:t xml:space="preserve"> </w:t>
            </w:r>
            <w:r>
              <w:t xml:space="preserve">“non-consecutive”</w:t>
            </w:r>
            <w:r>
              <w:t xml:space="preserve">; endoscopist-selected</w:t>
            </w:r>
          </w:p>
        </w:tc>
      </w:tr>
      <w:tr>
        <w:tc>
          <w:tcPr/>
          <w:p>
            <w:pPr>
              <w:pStyle w:val="Compact"/>
            </w:pPr>
            <w:r>
              <w:t xml:space="preserve">8</w:t>
            </w:r>
          </w:p>
        </w:tc>
        <w:tc>
          <w:tcPr/>
          <w:p>
            <w:pPr>
              <w:pStyle w:val="Compact"/>
            </w:pPr>
            <w:r>
              <w:t xml:space="preserve">Participants</w:t>
            </w:r>
          </w:p>
        </w:tc>
        <w:tc>
          <w:tcPr/>
          <w:p>
            <w:pPr>
              <w:pStyle w:val="Compact"/>
            </w:pPr>
            <w:r>
              <w:t xml:space="preserve">Where and when potentially eligible participants were identified (setting, location and dates)</w:t>
            </w:r>
          </w:p>
        </w:tc>
        <w:tc>
          <w:tcPr/>
          <w:p>
            <w:pPr>
              <w:pStyle w:val="Compact"/>
            </w:pPr>
            <w:r>
              <w:t xml:space="preserve">Yes</w:t>
            </w:r>
          </w:p>
        </w:tc>
        <w:tc>
          <w:tcPr/>
          <w:p>
            <w:pPr>
              <w:pStyle w:val="Compact"/>
            </w:pPr>
            <w:r>
              <w:t xml:space="preserve">M&amp;M:</w:t>
            </w:r>
            <w:r>
              <w:t xml:space="preserve"> </w:t>
            </w:r>
            <w:r>
              <w:t xml:space="preserve">“Clínica Dávila, Santiago, Chile, January 2024–October 2025”</w:t>
            </w:r>
          </w:p>
        </w:tc>
      </w:tr>
      <w:tr>
        <w:tc>
          <w:tcPr/>
          <w:p>
            <w:pPr>
              <w:pStyle w:val="Compact"/>
            </w:pPr>
            <w:r>
              <w:t xml:space="preserve">9</w:t>
            </w:r>
          </w:p>
        </w:tc>
        <w:tc>
          <w:tcPr/>
          <w:p>
            <w:pPr>
              <w:pStyle w:val="Compact"/>
            </w:pPr>
            <w:r>
              <w:t xml:space="preserve">Test methods</w:t>
            </w:r>
          </w:p>
        </w:tc>
        <w:tc>
          <w:tcPr/>
          <w:p>
            <w:pPr>
              <w:pStyle w:val="Compact"/>
            </w:pPr>
            <w:r>
              <w:t xml:space="preserve">Index test, in sufficient detail to allow replication</w:t>
            </w:r>
          </w:p>
        </w:tc>
        <w:tc>
          <w:tcPr/>
          <w:p>
            <w:pPr>
              <w:pStyle w:val="Compact"/>
            </w:pPr>
            <w:r>
              <w:t xml:space="preserve">Yes</w:t>
            </w:r>
          </w:p>
        </w:tc>
        <w:tc>
          <w:tcPr/>
          <w:p>
            <w:pPr>
              <w:pStyle w:val="Compact"/>
            </w:pPr>
            <w:r>
              <w:t xml:space="preserve">M&amp;M: Rapid urease test — HelicotecUT+ Plus, single antral biopsy, read at 30 min, dichotomous result</w:t>
            </w:r>
          </w:p>
        </w:tc>
      </w:tr>
      <w:tr>
        <w:tc>
          <w:tcPr/>
          <w:p>
            <w:pPr>
              <w:pStyle w:val="Compact"/>
            </w:pPr>
            <w:r>
              <w:t xml:space="preserve">10</w:t>
            </w:r>
          </w:p>
        </w:tc>
        <w:tc>
          <w:tcPr/>
          <w:p>
            <w:pPr>
              <w:pStyle w:val="Compact"/>
            </w:pPr>
            <w:r>
              <w:t xml:space="preserve">Test methods</w:t>
            </w:r>
          </w:p>
        </w:tc>
        <w:tc>
          <w:tcPr/>
          <w:p>
            <w:pPr>
              <w:pStyle w:val="Compact"/>
            </w:pPr>
            <w:r>
              <w:t xml:space="preserve">Reference standard, in sufficient detail to allow replication</w:t>
            </w:r>
          </w:p>
        </w:tc>
        <w:tc>
          <w:tcPr/>
          <w:p>
            <w:pPr>
              <w:pStyle w:val="Compact"/>
            </w:pPr>
            <w:r>
              <w:t xml:space="preserve">Yes</w:t>
            </w:r>
          </w:p>
        </w:tc>
        <w:tc>
          <w:tcPr/>
          <w:p>
            <w:pPr>
              <w:pStyle w:val="Compact"/>
            </w:pPr>
            <w:r>
              <w:t xml:space="preserve">M&amp;M: Histopathological analysis — H&amp;E + modified Giemsa, GI pathologists blinded to RUT</w:t>
            </w:r>
          </w:p>
        </w:tc>
      </w:tr>
      <w:tr>
        <w:tc>
          <w:tcPr/>
          <w:p>
            <w:pPr>
              <w:pStyle w:val="Compact"/>
            </w:pPr>
            <w:r>
              <w:t xml:space="preserve">11</w:t>
            </w:r>
          </w:p>
        </w:tc>
        <w:tc>
          <w:tcPr/>
          <w:p>
            <w:pPr>
              <w:pStyle w:val="Compact"/>
            </w:pPr>
            <w:r>
              <w:t xml:space="preserve">Test methods</w:t>
            </w:r>
          </w:p>
        </w:tc>
        <w:tc>
          <w:tcPr/>
          <w:p>
            <w:pPr>
              <w:pStyle w:val="Compact"/>
            </w:pPr>
            <w:r>
              <w:t xml:space="preserve">Rationale for choosing the reference standard (if alternatives exist)</w:t>
            </w:r>
          </w:p>
        </w:tc>
        <w:tc>
          <w:tcPr/>
          <w:p>
            <w:pPr>
              <w:pStyle w:val="Compact"/>
            </w:pPr>
            <w:r>
              <w:t xml:space="preserve">Yes</w:t>
            </w:r>
          </w:p>
        </w:tc>
        <w:tc>
          <w:tcPr/>
          <w:p>
            <w:pPr>
              <w:pStyle w:val="Compact"/>
            </w:pPr>
            <w:r>
              <w:t xml:space="preserve">M&amp;M:</w:t>
            </w:r>
            <w:r>
              <w:t xml:space="preserve"> </w:t>
            </w:r>
            <w:r>
              <w:t xml:space="preserve">“Histopathology served as the reference standard”</w:t>
            </w:r>
            <w:r>
              <w:t xml:space="preserve">; justified as clinically standard</w:t>
            </w:r>
          </w:p>
        </w:tc>
      </w:tr>
      <w:tr>
        <w:tc>
          <w:tcPr/>
          <w:p>
            <w:pPr>
              <w:pStyle w:val="Compact"/>
            </w:pPr>
            <w:r>
              <w:t xml:space="preserve">12</w:t>
            </w:r>
          </w:p>
        </w:tc>
        <w:tc>
          <w:tcPr/>
          <w:p>
            <w:pPr>
              <w:pStyle w:val="Compact"/>
            </w:pPr>
            <w:r>
              <w:t xml:space="preserve">Test methods</w:t>
            </w:r>
          </w:p>
        </w:tc>
        <w:tc>
          <w:tcPr/>
          <w:p>
            <w:pPr>
              <w:pStyle w:val="Compact"/>
            </w:pPr>
            <w:r>
              <w:t xml:space="preserve">Definition of and rationale for test positivity cut-offs or result categories</w:t>
            </w:r>
          </w:p>
        </w:tc>
        <w:tc>
          <w:tcPr/>
          <w:p>
            <w:pPr>
              <w:pStyle w:val="Compact"/>
            </w:pPr>
            <w:r>
              <w:t xml:space="preserve">Yes</w:t>
            </w:r>
          </w:p>
        </w:tc>
        <w:tc>
          <w:tcPr/>
          <w:p>
            <w:pPr>
              <w:pStyle w:val="Compact"/>
            </w:pPr>
            <w:r>
              <w:t xml:space="preserve">M&amp;M: RUT positive = color change to pink/magenta at 30 min; histopathology: direct visualization of</w:t>
            </w:r>
            <w:r>
              <w:t xml:space="preserve"> </w:t>
            </w:r>
            <w:r>
              <w:rPr>
                <w:i/>
                <w:iCs/>
              </w:rPr>
              <w:t xml:space="preserve">H. pylori</w:t>
            </w:r>
            <w:r>
              <w:t xml:space="preserve"> </w:t>
            </w:r>
            <w:r>
              <w:t xml:space="preserve">organisms</w:t>
            </w:r>
          </w:p>
        </w:tc>
      </w:tr>
      <w:tr>
        <w:tc>
          <w:tcPr/>
          <w:p>
            <w:pPr>
              <w:pStyle w:val="Compact"/>
            </w:pPr>
            <w:r>
              <w:t xml:space="preserve">13</w:t>
            </w:r>
          </w:p>
        </w:tc>
        <w:tc>
          <w:tcPr/>
          <w:p>
            <w:pPr>
              <w:pStyle w:val="Compact"/>
            </w:pPr>
            <w:r>
              <w:t xml:space="preserve">Test methods</w:t>
            </w:r>
          </w:p>
        </w:tc>
        <w:tc>
          <w:tcPr/>
          <w:p>
            <w:pPr>
              <w:pStyle w:val="Compact"/>
            </w:pPr>
            <w:r>
              <w:t xml:space="preserve">Whether clinical information and reference standard results were available to the performers of the index test, and vice versa</w:t>
            </w:r>
          </w:p>
        </w:tc>
        <w:tc>
          <w:tcPr/>
          <w:p>
            <w:pPr>
              <w:pStyle w:val="Compact"/>
            </w:pPr>
            <w:r>
              <w:t xml:space="preserve">Yes</w:t>
            </w:r>
          </w:p>
        </w:tc>
        <w:tc>
          <w:tcPr/>
          <w:p>
            <w:pPr>
              <w:pStyle w:val="Compact"/>
            </w:pPr>
            <w:r>
              <w:t xml:space="preserve">M&amp;M:</w:t>
            </w:r>
            <w:r>
              <w:t xml:space="preserve"> </w:t>
            </w:r>
            <w:r>
              <w:t xml:space="preserve">“Pathologist blinded to RUT result”</w:t>
            </w:r>
            <w:r>
              <w:t xml:space="preserve">;</w:t>
            </w:r>
            <w:r>
              <w:t xml:space="preserve"> </w:t>
            </w:r>
            <w:r>
              <w:t xml:space="preserve">“RUT result not disclosed to the pathologist”</w:t>
            </w:r>
          </w:p>
        </w:tc>
      </w:tr>
      <w:tr>
        <w:tc>
          <w:tcPr/>
          <w:p>
            <w:pPr>
              <w:pStyle w:val="Compact"/>
            </w:pPr>
            <w:r>
              <w:t xml:space="preserve">14</w:t>
            </w:r>
          </w:p>
        </w:tc>
        <w:tc>
          <w:tcPr/>
          <w:p>
            <w:pPr>
              <w:pStyle w:val="Compact"/>
            </w:pPr>
            <w:r>
              <w:t xml:space="preserve">Statistical methods</w:t>
            </w:r>
          </w:p>
        </w:tc>
        <w:tc>
          <w:tcPr/>
          <w:p>
            <w:pPr>
              <w:pStyle w:val="Compact"/>
            </w:pPr>
            <w:r>
              <w:t xml:space="preserve">Methods for estimating or comparing measures of diagnostic accuracy</w:t>
            </w:r>
          </w:p>
        </w:tc>
        <w:tc>
          <w:tcPr/>
          <w:p>
            <w:pPr>
              <w:pStyle w:val="Compact"/>
            </w:pPr>
            <w:r>
              <w:t xml:space="preserve">Yes</w:t>
            </w:r>
          </w:p>
        </w:tc>
        <w:tc>
          <w:tcPr/>
          <w:p>
            <w:pPr>
              <w:pStyle w:val="Compact"/>
            </w:pPr>
            <w:r>
              <w:t xml:space="preserve">M&amp;M: Statistical analysis — Wilson CIs, Cohen’s kappa, Firth penalized logistic regression</w:t>
            </w:r>
          </w:p>
        </w:tc>
      </w:tr>
      <w:tr>
        <w:tc>
          <w:tcPr/>
          <w:p>
            <w:pPr>
              <w:pStyle w:val="Compact"/>
            </w:pPr>
            <w:r>
              <w:t xml:space="preserve">15</w:t>
            </w:r>
          </w:p>
        </w:tc>
        <w:tc>
          <w:tcPr/>
          <w:p>
            <w:pPr>
              <w:pStyle w:val="Compact"/>
            </w:pPr>
            <w:r>
              <w:t xml:space="preserve">Statistical methods</w:t>
            </w:r>
          </w:p>
        </w:tc>
        <w:tc>
          <w:tcPr/>
          <w:p>
            <w:pPr>
              <w:pStyle w:val="Compact"/>
            </w:pPr>
            <w:r>
              <w:t xml:space="preserve">How indeterminate index test or reference standard results were handled</w:t>
            </w:r>
          </w:p>
        </w:tc>
        <w:tc>
          <w:tcPr/>
          <w:p>
            <w:pPr>
              <w:pStyle w:val="Compact"/>
            </w:pPr>
            <w:r>
              <w:t xml:space="preserve">Yes</w:t>
            </w:r>
          </w:p>
        </w:tc>
        <w:tc>
          <w:tcPr/>
          <w:p>
            <w:pPr>
              <w:pStyle w:val="Compact"/>
            </w:pPr>
            <w:r>
              <w:t xml:space="preserve">M&amp;M: RUT is dichotomous (no indeterminate category); missing histopathology = exclusion</w:t>
            </w:r>
          </w:p>
        </w:tc>
      </w:tr>
      <w:tr>
        <w:tc>
          <w:tcPr/>
          <w:p>
            <w:pPr>
              <w:pStyle w:val="Compact"/>
            </w:pPr>
            <w:r>
              <w:t xml:space="preserve">16</w:t>
            </w:r>
          </w:p>
        </w:tc>
        <w:tc>
          <w:tcPr/>
          <w:p>
            <w:pPr>
              <w:pStyle w:val="Compact"/>
            </w:pPr>
            <w:r>
              <w:t xml:space="preserve">Statistical methods</w:t>
            </w:r>
          </w:p>
        </w:tc>
        <w:tc>
          <w:tcPr/>
          <w:p>
            <w:pPr>
              <w:pStyle w:val="Compact"/>
            </w:pPr>
            <w:r>
              <w:t xml:space="preserve">How missing data on the index test and reference standard were handled</w:t>
            </w:r>
          </w:p>
        </w:tc>
        <w:tc>
          <w:tcPr/>
          <w:p>
            <w:pPr>
              <w:pStyle w:val="Compact"/>
            </w:pPr>
            <w:r>
              <w:t xml:space="preserve">Yes</w:t>
            </w:r>
          </w:p>
        </w:tc>
        <w:tc>
          <w:tcPr/>
          <w:p>
            <w:pPr>
              <w:pStyle w:val="Compact"/>
            </w:pPr>
            <w:r>
              <w:t xml:space="preserve">M&amp;M:</w:t>
            </w:r>
            <w:r>
              <w:t xml:space="preserve"> </w:t>
            </w:r>
            <w:r>
              <w:t xml:space="preserve">“No imputation was performed; complete-case data”</w:t>
            </w:r>
          </w:p>
        </w:tc>
      </w:tr>
      <w:tr>
        <w:tc>
          <w:tcPr/>
          <w:p>
            <w:pPr>
              <w:pStyle w:val="Compact"/>
            </w:pPr>
            <w:r>
              <w:t xml:space="preserve">17</w:t>
            </w:r>
          </w:p>
        </w:tc>
        <w:tc>
          <w:tcPr/>
          <w:p>
            <w:pPr>
              <w:pStyle w:val="Compact"/>
            </w:pPr>
            <w:r>
              <w:t xml:space="preserve">Statistical methods</w:t>
            </w:r>
          </w:p>
        </w:tc>
        <w:tc>
          <w:tcPr/>
          <w:p>
            <w:pPr>
              <w:pStyle w:val="Compact"/>
            </w:pPr>
            <w:r>
              <w:t xml:space="preserve">Intended sample size and how it was determined</w:t>
            </w:r>
          </w:p>
        </w:tc>
        <w:tc>
          <w:tcPr/>
          <w:p>
            <w:pPr>
              <w:pStyle w:val="Compact"/>
            </w:pPr>
            <w:r>
              <w:t xml:space="preserve">Yes</w:t>
            </w:r>
          </w:p>
        </w:tc>
        <w:tc>
          <w:tcPr/>
          <w:p>
            <w:pPr>
              <w:pStyle w:val="Compact"/>
            </w:pPr>
            <w:r>
              <w:t xml:space="preserve">M&amp;M:</w:t>
            </w:r>
            <w:r>
              <w:t xml:space="preserve"> </w:t>
            </w:r>
            <w:r>
              <w:t xml:space="preserve">“No formal sample size calculation was performed; all available cases used”</w:t>
            </w:r>
          </w:p>
        </w:tc>
      </w:tr>
      <w:tr>
        <w:tc>
          <w:tcPr/>
          <w:p>
            <w:pPr>
              <w:pStyle w:val="Compact"/>
            </w:pPr>
            <w:r>
              <w:rPr>
                <w:b/>
                <w:bCs/>
              </w:rPr>
              <w:t xml:space="preserve">RESULTS</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18</w:t>
            </w:r>
          </w:p>
        </w:tc>
        <w:tc>
          <w:tcPr/>
          <w:p>
            <w:pPr>
              <w:pStyle w:val="Compact"/>
            </w:pPr>
            <w:r>
              <w:t xml:space="preserve">Participants</w:t>
            </w:r>
          </w:p>
        </w:tc>
        <w:tc>
          <w:tcPr/>
          <w:p>
            <w:pPr>
              <w:pStyle w:val="Compact"/>
            </w:pPr>
            <w:r>
              <w:t xml:space="preserve">Flow of participants, using a diagram</w:t>
            </w:r>
          </w:p>
        </w:tc>
        <w:tc>
          <w:tcPr/>
          <w:p>
            <w:pPr>
              <w:pStyle w:val="Compact"/>
            </w:pPr>
            <w:r>
              <w:t xml:space="preserve">Yes</w:t>
            </w:r>
          </w:p>
        </w:tc>
        <w:tc>
          <w:tcPr/>
          <w:p>
            <w:pPr>
              <w:pStyle w:val="Compact"/>
            </w:pPr>
            <w:r>
              <w:t xml:space="preserve">Figure 1 (flow diagram)</w:t>
            </w:r>
          </w:p>
        </w:tc>
      </w:tr>
      <w:tr>
        <w:tc>
          <w:tcPr/>
          <w:p>
            <w:pPr>
              <w:pStyle w:val="Compact"/>
            </w:pPr>
            <w:r>
              <w:t xml:space="preserve">19</w:t>
            </w:r>
          </w:p>
        </w:tc>
        <w:tc>
          <w:tcPr/>
          <w:p>
            <w:pPr>
              <w:pStyle w:val="Compact"/>
            </w:pPr>
            <w:r>
              <w:t xml:space="preserve">Participants</w:t>
            </w:r>
          </w:p>
        </w:tc>
        <w:tc>
          <w:tcPr/>
          <w:p>
            <w:pPr>
              <w:pStyle w:val="Compact"/>
            </w:pPr>
            <w:r>
              <w:t xml:space="preserve">Baseline characteristics, including clinical and demographic details</w:t>
            </w:r>
          </w:p>
        </w:tc>
        <w:tc>
          <w:tcPr/>
          <w:p>
            <w:pPr>
              <w:pStyle w:val="Compact"/>
            </w:pPr>
            <w:r>
              <w:t xml:space="preserve">Yes</w:t>
            </w:r>
          </w:p>
        </w:tc>
        <w:tc>
          <w:tcPr/>
          <w:p>
            <w:pPr>
              <w:pStyle w:val="Compact"/>
            </w:pPr>
            <w:r>
              <w:t xml:space="preserve">Table 1</w:t>
            </w:r>
          </w:p>
        </w:tc>
      </w:tr>
      <w:tr>
        <w:tc>
          <w:tcPr/>
          <w:p>
            <w:pPr>
              <w:pStyle w:val="Compact"/>
            </w:pPr>
            <w:r>
              <w:t xml:space="preserve">20</w:t>
            </w:r>
          </w:p>
        </w:tc>
        <w:tc>
          <w:tcPr/>
          <w:p>
            <w:pPr>
              <w:pStyle w:val="Compact"/>
            </w:pPr>
            <w:r>
              <w:t xml:space="preserve">Test results</w:t>
            </w:r>
          </w:p>
        </w:tc>
        <w:tc>
          <w:tcPr/>
          <w:p>
            <w:pPr>
              <w:pStyle w:val="Compact"/>
            </w:pPr>
            <w:r>
              <w:t xml:space="preserve">Distribution of severity of disease in those with the target condition; other diagnoses in those without</w:t>
            </w:r>
          </w:p>
        </w:tc>
        <w:tc>
          <w:tcPr/>
          <w:p>
            <w:pPr>
              <w:pStyle w:val="Compact"/>
            </w:pPr>
            <w:r>
              <w:t xml:space="preserve">Yes</w:t>
            </w:r>
          </w:p>
        </w:tc>
        <w:tc>
          <w:tcPr/>
          <w:p>
            <w:pPr>
              <w:pStyle w:val="Compact"/>
            </w:pPr>
            <w:r>
              <w:t xml:space="preserve">Table 1 and Table 3 (OLGA strata)</w:t>
            </w:r>
          </w:p>
        </w:tc>
      </w:tr>
      <w:tr>
        <w:tc>
          <w:tcPr/>
          <w:p>
            <w:pPr>
              <w:pStyle w:val="Compact"/>
            </w:pPr>
            <w:r>
              <w:t xml:space="preserve">21</w:t>
            </w:r>
          </w:p>
        </w:tc>
        <w:tc>
          <w:tcPr/>
          <w:p>
            <w:pPr>
              <w:pStyle w:val="Compact"/>
            </w:pPr>
            <w:r>
              <w:t xml:space="preserve">Test results</w:t>
            </w:r>
          </w:p>
        </w:tc>
        <w:tc>
          <w:tcPr/>
          <w:p>
            <w:pPr>
              <w:pStyle w:val="Compact"/>
            </w:pPr>
            <w:r>
              <w:t xml:space="preserve">Cross-tabulation of the index test results (including indeterminate and missing results) by the results of the reference standard</w:t>
            </w:r>
          </w:p>
        </w:tc>
        <w:tc>
          <w:tcPr/>
          <w:p>
            <w:pPr>
              <w:pStyle w:val="Compact"/>
            </w:pPr>
            <w:r>
              <w:t xml:space="preserve">Yes</w:t>
            </w:r>
          </w:p>
        </w:tc>
        <w:tc>
          <w:tcPr/>
          <w:p>
            <w:pPr>
              <w:pStyle w:val="Compact"/>
            </w:pPr>
            <w:r>
              <w:t xml:space="preserve">Table 2 (TP, FP, FN, TN reported)</w:t>
            </w:r>
          </w:p>
        </w:tc>
      </w:tr>
      <w:tr>
        <w:tc>
          <w:tcPr/>
          <w:p>
            <w:pPr>
              <w:pStyle w:val="Compact"/>
            </w:pPr>
            <w:r>
              <w:t xml:space="preserve">22</w:t>
            </w:r>
          </w:p>
        </w:tc>
        <w:tc>
          <w:tcPr/>
          <w:p>
            <w:pPr>
              <w:pStyle w:val="Compact"/>
            </w:pPr>
            <w:r>
              <w:t xml:space="preserve">Estimates of diagnostic accuracy</w:t>
            </w:r>
          </w:p>
        </w:tc>
        <w:tc>
          <w:tcPr/>
          <w:p>
            <w:pPr>
              <w:pStyle w:val="Compact"/>
            </w:pPr>
            <w:r>
              <w:t xml:space="preserve">Estimates of diagnostic accuracy and their precision (such as 95% CIs)</w:t>
            </w:r>
          </w:p>
        </w:tc>
        <w:tc>
          <w:tcPr/>
          <w:p>
            <w:pPr>
              <w:pStyle w:val="Compact"/>
            </w:pPr>
            <w:r>
              <w:t xml:space="preserve">Yes</w:t>
            </w:r>
          </w:p>
        </w:tc>
        <w:tc>
          <w:tcPr/>
          <w:p>
            <w:pPr>
              <w:pStyle w:val="Compact"/>
            </w:pPr>
            <w:r>
              <w:t xml:space="preserve">Table 2 (overall); Table 3 (OLGA strata); Wilson 95% CIs throughout</w:t>
            </w:r>
          </w:p>
        </w:tc>
      </w:tr>
      <w:tr>
        <w:tc>
          <w:tcPr/>
          <w:p>
            <w:pPr>
              <w:pStyle w:val="Compact"/>
            </w:pPr>
            <w:r>
              <w:t xml:space="preserve">23</w:t>
            </w:r>
          </w:p>
        </w:tc>
        <w:tc>
          <w:tcPr/>
          <w:p>
            <w:pPr>
              <w:pStyle w:val="Compact"/>
            </w:pPr>
            <w:r>
              <w:t xml:space="preserve">Estimates of diagnostic accuracy</w:t>
            </w:r>
          </w:p>
        </w:tc>
        <w:tc>
          <w:tcPr/>
          <w:p>
            <w:pPr>
              <w:pStyle w:val="Compact"/>
            </w:pPr>
            <w:r>
              <w:t xml:space="preserve">Any adverse events from performing the index test or the reference standard</w:t>
            </w:r>
          </w:p>
        </w:tc>
        <w:tc>
          <w:tcPr/>
          <w:p>
            <w:pPr>
              <w:pStyle w:val="Compact"/>
            </w:pPr>
            <w:r>
              <w:t xml:space="preserve">N/A</w:t>
            </w:r>
          </w:p>
        </w:tc>
        <w:tc>
          <w:tcPr/>
          <w:p>
            <w:pPr>
              <w:pStyle w:val="Compact"/>
            </w:pPr>
            <w:r>
              <w:t xml:space="preserve">No adverse events expected or observed from biopsy-based procedures in this dataset</w:t>
            </w:r>
          </w:p>
        </w:tc>
      </w:tr>
      <w:tr>
        <w:tc>
          <w:tcPr/>
          <w:p>
            <w:pPr>
              <w:pStyle w:val="Compact"/>
            </w:pPr>
            <w:r>
              <w:rPr>
                <w:b/>
                <w:bCs/>
              </w:rPr>
              <w:t xml:space="preserve">DISCUSSION</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24</w:t>
            </w:r>
          </w:p>
        </w:tc>
        <w:tc>
          <w:tcPr/>
          <w:p>
            <w:pPr>
              <w:pStyle w:val="Compact"/>
            </w:pPr>
            <w:r>
              <w:t xml:space="preserve">Discussion</w:t>
            </w:r>
          </w:p>
        </w:tc>
        <w:tc>
          <w:tcPr/>
          <w:p>
            <w:pPr>
              <w:pStyle w:val="Compact"/>
            </w:pPr>
            <w:r>
              <w:t xml:space="preserve">A discussion of the clinical implications of the study results, including the intended use and clinical role of the index test</w:t>
            </w:r>
          </w:p>
        </w:tc>
        <w:tc>
          <w:tcPr/>
          <w:p>
            <w:pPr>
              <w:pStyle w:val="Compact"/>
            </w:pPr>
            <w:r>
              <w:t xml:space="preserve">Yes</w:t>
            </w:r>
          </w:p>
        </w:tc>
        <w:tc>
          <w:tcPr/>
          <w:p>
            <w:pPr>
              <w:pStyle w:val="Compact"/>
            </w:pPr>
            <w:r>
              <w:t xml:space="preserve">Discussion, paragraphs 4–5</w:t>
            </w:r>
          </w:p>
        </w:tc>
      </w:tr>
      <w:tr>
        <w:tc>
          <w:tcPr/>
          <w:p>
            <w:pPr>
              <w:pStyle w:val="Compact"/>
            </w:pPr>
            <w:r>
              <w:t xml:space="preserve">25</w:t>
            </w:r>
          </w:p>
        </w:tc>
        <w:tc>
          <w:tcPr/>
          <w:p>
            <w:pPr>
              <w:pStyle w:val="Compact"/>
            </w:pPr>
            <w:r>
              <w:t xml:space="preserve">Discussion</w:t>
            </w:r>
          </w:p>
        </w:tc>
        <w:tc>
          <w:tcPr/>
          <w:p>
            <w:pPr>
              <w:pStyle w:val="Compact"/>
            </w:pPr>
            <w:r>
              <w:t xml:space="preserve">Limitations of the study, including sources of potential bias, statistical uncertainty, and generalisability</w:t>
            </w:r>
          </w:p>
        </w:tc>
        <w:tc>
          <w:tcPr/>
          <w:p>
            <w:pPr>
              <w:pStyle w:val="Compact"/>
            </w:pPr>
            <w:r>
              <w:t xml:space="preserve">Yes</w:t>
            </w:r>
          </w:p>
        </w:tc>
        <w:tc>
          <w:tcPr/>
          <w:p>
            <w:pPr>
              <w:pStyle w:val="Compact"/>
            </w:pPr>
            <w:r>
              <w:t xml:space="preserve">Discussion: Limitations paragraph (retrospective design, non-consecutive sample, PPI adherence, reference standard imperfection, small OLGA IV stratum)</w:t>
            </w:r>
          </w:p>
        </w:tc>
      </w:tr>
      <w:tr>
        <w:tc>
          <w:tcPr/>
          <w:p>
            <w:pPr>
              <w:pStyle w:val="Compact"/>
            </w:pPr>
            <w:r>
              <w:rPr>
                <w:b/>
                <w:bCs/>
              </w:rPr>
              <w:t xml:space="preserve">OTHER INFORMATION</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26</w:t>
            </w:r>
          </w:p>
        </w:tc>
        <w:tc>
          <w:tcPr/>
          <w:p>
            <w:pPr>
              <w:pStyle w:val="Compact"/>
            </w:pPr>
            <w:r>
              <w:t xml:space="preserve">Registration</w:t>
            </w:r>
          </w:p>
        </w:tc>
        <w:tc>
          <w:tcPr/>
          <w:p>
            <w:pPr>
              <w:pStyle w:val="Compact"/>
            </w:pPr>
            <w:r>
              <w:t xml:space="preserve">Registration number and name of registry</w:t>
            </w:r>
          </w:p>
        </w:tc>
        <w:tc>
          <w:tcPr/>
          <w:p>
            <w:pPr>
              <w:pStyle w:val="Compact"/>
            </w:pPr>
            <w:r>
              <w:t xml:space="preserve">No</w:t>
            </w:r>
          </w:p>
        </w:tc>
        <w:tc>
          <w:tcPr/>
          <w:p>
            <w:pPr>
              <w:pStyle w:val="Compact"/>
            </w:pPr>
            <w:r>
              <w:t xml:space="preserve">This retrospective study was not registered. Authors note this limitation.</w:t>
            </w:r>
          </w:p>
        </w:tc>
      </w:tr>
      <w:tr>
        <w:tc>
          <w:tcPr/>
          <w:p>
            <w:pPr>
              <w:pStyle w:val="Compact"/>
            </w:pPr>
            <w:r>
              <w:t xml:space="preserve">27</w:t>
            </w:r>
          </w:p>
        </w:tc>
        <w:tc>
          <w:tcPr/>
          <w:p>
            <w:pPr>
              <w:pStyle w:val="Compact"/>
            </w:pPr>
            <w:r>
              <w:t xml:space="preserve">Protocol</w:t>
            </w:r>
          </w:p>
        </w:tc>
        <w:tc>
          <w:tcPr/>
          <w:p>
            <w:pPr>
              <w:pStyle w:val="Compact"/>
            </w:pPr>
            <w:r>
              <w:t xml:space="preserve">Where the full study protocol can be accessed</w:t>
            </w:r>
          </w:p>
        </w:tc>
        <w:tc>
          <w:tcPr/>
          <w:p>
            <w:pPr>
              <w:pStyle w:val="Compact"/>
            </w:pPr>
            <w:r>
              <w:t xml:space="preserve">N/A</w:t>
            </w:r>
          </w:p>
        </w:tc>
        <w:tc>
          <w:tcPr/>
          <w:p>
            <w:pPr>
              <w:pStyle w:val="Compact"/>
            </w:pPr>
            <w:r>
              <w:t xml:space="preserve">No prospectively registered protocol exists for this retrospective study</w:t>
            </w:r>
          </w:p>
        </w:tc>
      </w:tr>
      <w:tr>
        <w:tc>
          <w:tcPr/>
          <w:p>
            <w:pPr>
              <w:pStyle w:val="Compact"/>
            </w:pPr>
            <w:r>
              <w:t xml:space="preserve">28</w:t>
            </w:r>
          </w:p>
        </w:tc>
        <w:tc>
          <w:tcPr/>
          <w:p>
            <w:pPr>
              <w:pStyle w:val="Compact"/>
            </w:pPr>
            <w:r>
              <w:t xml:space="preserve">Funding</w:t>
            </w:r>
          </w:p>
        </w:tc>
        <w:tc>
          <w:tcPr/>
          <w:p>
            <w:pPr>
              <w:pStyle w:val="Compact"/>
            </w:pPr>
            <w:r>
              <w:t xml:space="preserve">Sources of funding and other support; role of funders</w:t>
            </w:r>
          </w:p>
        </w:tc>
        <w:tc>
          <w:tcPr/>
          <w:p>
            <w:pPr>
              <w:pStyle w:val="Compact"/>
            </w:pPr>
            <w:r>
              <w:t xml:space="preserve">Yes</w:t>
            </w:r>
          </w:p>
        </w:tc>
        <w:tc>
          <w:tcPr/>
          <w:p>
            <w:pPr>
              <w:pStyle w:val="Compact"/>
            </w:pPr>
            <w:r>
              <w:t xml:space="preserve">Funding:</w:t>
            </w:r>
            <w:r>
              <w:t xml:space="preserve"> </w:t>
            </w:r>
            <w:r>
              <w:t xml:space="preserve">“no specific grant from any funding agency”</w:t>
            </w:r>
          </w:p>
        </w:tc>
      </w:tr>
    </w:tbl>
    <w:p>
      <w:r>
        <w:pict>
          <v:rect style="width:0;height:1.5pt" o:hralign="center" o:hrstd="t" o:hr="t"/>
        </w:pict>
      </w:r>
    </w:p>
    <w:p>
      <w:pPr>
        <w:pStyle w:val="FirstParagraph"/>
      </w:pPr>
      <w:r>
        <w:rPr>
          <w:b/>
          <w:bCs/>
        </w:rPr>
        <w:t xml:space="preserve">Note on item 26 (Registration):</w:t>
      </w:r>
      <w:r>
        <w:t xml:space="preserve"> </w:t>
      </w:r>
      <w:r>
        <w:t xml:space="preserve">This was a retrospective diagnostic accuracy study conducted using data collected during routine clinical care. Prospective registration was not performed. The retrospective nature and absence of registration are acknowledged as limitations. Reviewers may wish to note that registration of retrospective diagnostic accuracy studies, while encouraged, is not universally mandated.</w:t>
      </w:r>
    </w:p>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Information</dc:title>
  <dc:creator/>
  <cp:keywords/>
  <dcterms:created xsi:type="dcterms:W3CDTF">2026-04-07T16:11:00Z</dcterms:created>
  <dcterms:modified xsi:type="dcterms:W3CDTF">2026-04-07T16:11:00Z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references.bib</vt:lpwstr>
  </property>
  <property fmtid="{D5CDD505-2E9C-101B-9397-08002B2CF9AE}" pid="4" name="csl">
    <vt:lpwstr>american-medical-association.csl</vt:lpwstr>
  </property>
  <property fmtid="{D5CDD505-2E9C-101B-9397-08002B2CF9AE}" pid="5" name="execute">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Rapid Urease Test Performance in Advanced Gastric Atrophy: A Diagnostic Accuracy Study Using OLGA Staging</vt:lpwstr>
  </property>
  <property fmtid="{D5CDD505-2E9C-101B-9397-08002B2CF9AE}" pid="11" name="toc-title">
    <vt:lpwstr>Table of contents</vt:lpwstr>
  </property>
</Properties>
</file>