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8D0C" w14:textId="77777777" w:rsidR="00FC3205" w:rsidRPr="00FC3205" w:rsidRDefault="00FC3205" w:rsidP="00FC3205">
      <w:pPr>
        <w:rPr>
          <w:b/>
        </w:rPr>
      </w:pPr>
      <w:r w:rsidRPr="00FC3205">
        <w:rPr>
          <w:b/>
        </w:rPr>
        <w:t>Supplementary Material</w:t>
      </w:r>
    </w:p>
    <w:p w14:paraId="1F26FFF2" w14:textId="77777777" w:rsidR="00FC3205" w:rsidRDefault="00FC3205" w:rsidP="00FC3205">
      <w:pPr>
        <w:rPr>
          <w:b/>
        </w:rPr>
      </w:pPr>
      <w:r w:rsidRPr="00FC3205">
        <w:rPr>
          <w:b/>
        </w:rPr>
        <w:t>Supplementary Table S1–S3. Full model parameters, cost inputs, and utility values used in the cost-effectiveness analysis.</w:t>
      </w:r>
    </w:p>
    <w:p w14:paraId="3635A0AF" w14:textId="77777777" w:rsidR="00000000" w:rsidRDefault="00FC3205" w:rsidP="00FC3205">
      <w:pPr>
        <w:rPr>
          <w:b/>
        </w:rPr>
      </w:pPr>
      <w:r w:rsidRPr="00FC3205">
        <w:rPr>
          <w:b/>
        </w:rPr>
        <w:t>Supplementary Table S1</w:t>
      </w:r>
    </w:p>
    <w:p w14:paraId="42623523" w14:textId="77777777" w:rsidR="00FC3205" w:rsidRPr="00FC3205" w:rsidRDefault="00FC3205" w:rsidP="00FC3205">
      <w:pPr>
        <w:rPr>
          <w:lang w:val="en"/>
        </w:rPr>
      </w:pPr>
      <w:r w:rsidRPr="00FC3205">
        <w:rPr>
          <w:b/>
          <w:bCs/>
          <w:lang w:val="en"/>
        </w:rPr>
        <w:t xml:space="preserve">Table 1. Structural and transition parameters used in the Markov model, including time horizon, discount rate, and transition probabilities. </w:t>
      </w:r>
    </w:p>
    <w:tbl>
      <w:tblPr>
        <w:tblW w:w="10670" w:type="dxa"/>
        <w:tblLayout w:type="fixed"/>
        <w:tblLook w:val="0400" w:firstRow="0" w:lastRow="0" w:firstColumn="0" w:lastColumn="0" w:noHBand="0" w:noVBand="1"/>
      </w:tblPr>
      <w:tblGrid>
        <w:gridCol w:w="1524"/>
        <w:gridCol w:w="1446"/>
        <w:gridCol w:w="932"/>
        <w:gridCol w:w="1004"/>
        <w:gridCol w:w="1601"/>
        <w:gridCol w:w="1358"/>
        <w:gridCol w:w="2055"/>
        <w:gridCol w:w="250"/>
        <w:gridCol w:w="250"/>
        <w:gridCol w:w="250"/>
      </w:tblGrid>
      <w:tr w:rsidR="00FC3205" w:rsidRPr="00FC3205" w14:paraId="4B4DB096" w14:textId="77777777" w:rsidTr="00CC2072">
        <w:trPr>
          <w:gridAfter w:val="3"/>
          <w:wAfter w:w="750" w:type="dxa"/>
          <w:trHeight w:val="196"/>
        </w:trPr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4C9D5834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MODEL STRUCTURAL PARAMETERS</w:t>
            </w:r>
          </w:p>
        </w:tc>
      </w:tr>
      <w:tr w:rsidR="00FC3205" w:rsidRPr="00FC3205" w14:paraId="366C3DAD" w14:textId="77777777" w:rsidTr="00CC2072">
        <w:trPr>
          <w:trHeight w:val="196"/>
        </w:trPr>
        <w:tc>
          <w:tcPr>
            <w:tcW w:w="15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E7C4155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Parameter</w:t>
            </w:r>
          </w:p>
        </w:tc>
        <w:tc>
          <w:tcPr>
            <w:tcW w:w="1446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FE347B8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Base-Case Value</w:t>
            </w:r>
          </w:p>
        </w:tc>
        <w:tc>
          <w:tcPr>
            <w:tcW w:w="932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4D4368FC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Low</w:t>
            </w:r>
          </w:p>
        </w:tc>
        <w:tc>
          <w:tcPr>
            <w:tcW w:w="1004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2E1F713A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High</w:t>
            </w:r>
          </w:p>
        </w:tc>
        <w:tc>
          <w:tcPr>
            <w:tcW w:w="1601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07478435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Unit</w:t>
            </w:r>
          </w:p>
        </w:tc>
        <w:tc>
          <w:tcPr>
            <w:tcW w:w="1358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5DA79954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Distribution</w:t>
            </w:r>
          </w:p>
        </w:tc>
        <w:tc>
          <w:tcPr>
            <w:tcW w:w="2055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01B20E93" w14:textId="77777777" w:rsidR="00FC3205" w:rsidRPr="00FC3205" w:rsidRDefault="00FC3205" w:rsidP="00FC3205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Source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5D5D3" w14:textId="77777777" w:rsidR="00FC3205" w:rsidRPr="00FC3205" w:rsidRDefault="00FC3205" w:rsidP="00FC3205">
            <w:pPr>
              <w:rPr>
                <w:b/>
                <w:bCs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D0E0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20E52" w14:textId="77777777" w:rsidR="00FC3205" w:rsidRPr="00FC3205" w:rsidRDefault="00FC3205" w:rsidP="00CC2072"/>
        </w:tc>
      </w:tr>
      <w:tr w:rsidR="00FC3205" w:rsidRPr="00FC3205" w14:paraId="08DA776D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186E02C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Time horizon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5E52FF61" w14:textId="77777777" w:rsidR="00FC3205" w:rsidRPr="00FC3205" w:rsidRDefault="00FC3205" w:rsidP="00FC3205">
            <w:r w:rsidRPr="00FC3205">
              <w:t>5 years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11C0EC5" w14:textId="77777777" w:rsidR="00FC3205" w:rsidRPr="00FC3205" w:rsidRDefault="00FC3205" w:rsidP="00FC3205">
            <w:r w:rsidRPr="00FC3205">
              <w:t>3 years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C6F6FF0" w14:textId="77777777" w:rsidR="00FC3205" w:rsidRPr="00FC3205" w:rsidRDefault="00FC3205" w:rsidP="00FC3205">
            <w:r w:rsidRPr="00FC3205">
              <w:t>10 years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A2611E4" w14:textId="77777777" w:rsidR="00FC3205" w:rsidRPr="00FC3205" w:rsidRDefault="00FC3205" w:rsidP="00FC3205">
            <w:r w:rsidRPr="00FC3205">
              <w:t>Years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1895184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C08E7D5" w14:textId="77777777" w:rsidR="00FC3205" w:rsidRPr="00FC3205" w:rsidRDefault="00FC3205" w:rsidP="00FC3205">
            <w:r w:rsidRPr="00FC3205">
              <w:t>Modelling convention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296AA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AF21E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73434" w14:textId="77777777" w:rsidR="00FC3205" w:rsidRPr="00FC3205" w:rsidRDefault="00FC3205" w:rsidP="00CC2072"/>
        </w:tc>
      </w:tr>
      <w:tr w:rsidR="00FC3205" w:rsidRPr="00FC3205" w14:paraId="1EC2A717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0243D7B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Annual discount rate (costs &amp; QALYs)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95769F4" w14:textId="77777777" w:rsidR="00FC3205" w:rsidRPr="00FC3205" w:rsidRDefault="00FC3205" w:rsidP="00FC3205">
            <w:r w:rsidRPr="00FC3205">
              <w:t>3%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988A06A" w14:textId="77777777" w:rsidR="00FC3205" w:rsidRPr="00FC3205" w:rsidRDefault="00FC3205" w:rsidP="00FC3205">
            <w:r w:rsidRPr="00FC3205">
              <w:t>0%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97ED621" w14:textId="77777777" w:rsidR="00FC3205" w:rsidRPr="00FC3205" w:rsidRDefault="00FC3205" w:rsidP="00FC3205">
            <w:r w:rsidRPr="00FC3205">
              <w:t>6%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21E97EBD" w14:textId="77777777" w:rsidR="00FC3205" w:rsidRPr="00FC3205" w:rsidRDefault="00FC3205" w:rsidP="00FC3205">
            <w:r w:rsidRPr="00FC3205">
              <w:t>Proportion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5AFEED5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96A1083" w14:textId="77777777" w:rsidR="00FC3205" w:rsidRPr="00FC3205" w:rsidRDefault="00FC3205" w:rsidP="00FC3205">
            <w:r w:rsidRPr="00FC3205">
              <w:t>CHEERS 2022; Sanders et al., 2016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82EBC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59E29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1901D" w14:textId="77777777" w:rsidR="00FC3205" w:rsidRPr="00FC3205" w:rsidRDefault="00FC3205" w:rsidP="00CC2072"/>
        </w:tc>
      </w:tr>
      <w:tr w:rsidR="00FC3205" w:rsidRPr="00FC3205" w14:paraId="5FF6F0B0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C90EF2E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Model cycle length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F3478AC" w14:textId="77777777" w:rsidR="00FC3205" w:rsidRPr="00FC3205" w:rsidRDefault="00FC3205" w:rsidP="00FC3205">
            <w:r w:rsidRPr="00FC3205">
              <w:t>1 month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B064AD5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B7199E2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0293809" w14:textId="77777777" w:rsidR="00FC3205" w:rsidRPr="00FC3205" w:rsidRDefault="00FC3205" w:rsidP="00FC3205">
            <w:r w:rsidRPr="00FC3205">
              <w:t>Months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8578F4F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2217B9B" w14:textId="77777777" w:rsidR="00FC3205" w:rsidRPr="00FC3205" w:rsidRDefault="00FC3205" w:rsidP="00FC3205">
            <w:r w:rsidRPr="00FC3205">
              <w:t>Markov model convention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F9BBB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65E81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44139" w14:textId="77777777" w:rsidR="00FC3205" w:rsidRPr="00FC3205" w:rsidRDefault="00FC3205" w:rsidP="00CC2072"/>
        </w:tc>
      </w:tr>
      <w:tr w:rsidR="00FC3205" w:rsidRPr="00FC3205" w14:paraId="19B0679F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F7C66A2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WTP threshold (primary)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27A0E67" w14:textId="77777777" w:rsidR="00FC3205" w:rsidRPr="00FC3205" w:rsidRDefault="00FC3205" w:rsidP="00FC3205">
            <w:r w:rsidRPr="00FC3205">
              <w:t>$100,000/QALY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F8725B7" w14:textId="77777777" w:rsidR="00FC3205" w:rsidRPr="00FC3205" w:rsidRDefault="00FC3205" w:rsidP="00FC3205">
            <w:r w:rsidRPr="00FC3205">
              <w:t>$50,000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EBE9BFA" w14:textId="77777777" w:rsidR="00FC3205" w:rsidRPr="00FC3205" w:rsidRDefault="00FC3205" w:rsidP="00FC3205">
            <w:r w:rsidRPr="00FC3205">
              <w:t>$200,000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1727CAC" w14:textId="77777777" w:rsidR="00FC3205" w:rsidRPr="00FC3205" w:rsidRDefault="00FC3205" w:rsidP="00FC3205">
            <w:r w:rsidRPr="00FC3205">
              <w:t>USD/QALY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0258475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A5782A0" w14:textId="77777777" w:rsidR="00FC3205" w:rsidRPr="00FC3205" w:rsidRDefault="00FC3205" w:rsidP="00FC3205">
            <w:r w:rsidRPr="00FC3205">
              <w:t>2nd Panel on CEA (Sanders et al., 2016)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B1336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CC55A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BD328" w14:textId="77777777" w:rsidR="00FC3205" w:rsidRPr="00FC3205" w:rsidRDefault="00FC3205" w:rsidP="00CC2072"/>
        </w:tc>
      </w:tr>
      <w:tr w:rsidR="00FC3205" w:rsidRPr="00FC3205" w14:paraId="7B92AA69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F83FA2F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lastRenderedPageBreak/>
              <w:t>Monthly overdose mortality — Active OUD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5219220" w14:textId="77777777" w:rsidR="00FC3205" w:rsidRPr="00FC3205" w:rsidRDefault="00FC3205" w:rsidP="00FC3205">
            <w:r w:rsidRPr="00FC3205">
              <w:t>0.54%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3EFA02F" w14:textId="77777777" w:rsidR="00FC3205" w:rsidRPr="00FC3205" w:rsidRDefault="00FC3205" w:rsidP="00FC3205">
            <w:r w:rsidRPr="00FC3205">
              <w:t>0.30%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AE0D448" w14:textId="77777777" w:rsidR="00FC3205" w:rsidRPr="00FC3205" w:rsidRDefault="00FC3205" w:rsidP="00FC3205">
            <w:r w:rsidRPr="00FC3205">
              <w:t>0.90%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E3CCA9D" w14:textId="77777777" w:rsidR="00FC3205" w:rsidRPr="00FC3205" w:rsidRDefault="00FC3205" w:rsidP="00FC3205">
            <w:r w:rsidRPr="00FC3205">
              <w:t>Probability/month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D35B7A3" w14:textId="77777777" w:rsidR="00FC3205" w:rsidRPr="00FC3205" w:rsidRDefault="00FC3205" w:rsidP="00FC3205">
            <w:r w:rsidRPr="00FC3205">
              <w:t>Beta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0D2B072" w14:textId="77777777" w:rsidR="00FC3205" w:rsidRPr="00FC3205" w:rsidRDefault="00FC3205" w:rsidP="00FC3205">
            <w:r w:rsidRPr="00FC3205">
              <w:t>Sordo et al., 2017 (BMJ)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7E327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20B8F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25638" w14:textId="77777777" w:rsidR="00FC3205" w:rsidRPr="00FC3205" w:rsidRDefault="00FC3205" w:rsidP="00CC2072"/>
        </w:tc>
      </w:tr>
      <w:tr w:rsidR="00FC3205" w:rsidRPr="00FC3205" w14:paraId="1D602897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4A078F4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Monthly mortality — In MOUD Treatment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B4CF764" w14:textId="77777777" w:rsidR="00FC3205" w:rsidRPr="00FC3205" w:rsidRDefault="00FC3205" w:rsidP="00FC3205">
            <w:r w:rsidRPr="00FC3205">
              <w:t>0.06%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2BB8D7F" w14:textId="77777777" w:rsidR="00FC3205" w:rsidRPr="00FC3205" w:rsidRDefault="00FC3205" w:rsidP="00FC3205">
            <w:r w:rsidRPr="00FC3205">
              <w:t>0.03%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03016A1" w14:textId="77777777" w:rsidR="00FC3205" w:rsidRPr="00FC3205" w:rsidRDefault="00FC3205" w:rsidP="00FC3205">
            <w:r w:rsidRPr="00FC3205">
              <w:t>0.09%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2FE101FF" w14:textId="77777777" w:rsidR="00FC3205" w:rsidRPr="00FC3205" w:rsidRDefault="00FC3205" w:rsidP="00FC3205">
            <w:r w:rsidRPr="00FC3205">
              <w:t>Probability/month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6164F81" w14:textId="77777777" w:rsidR="00FC3205" w:rsidRPr="00FC3205" w:rsidRDefault="00FC3205" w:rsidP="00FC3205">
            <w:r w:rsidRPr="00FC3205">
              <w:t>Beta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0F4E6BA" w14:textId="77777777" w:rsidR="00FC3205" w:rsidRPr="00FC3205" w:rsidRDefault="00FC3205" w:rsidP="00FC3205">
            <w:r w:rsidRPr="00FC3205">
              <w:t>Sordo et al., 2017 (BMJ)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41F66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55DE1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F4D29" w14:textId="77777777" w:rsidR="00FC3205" w:rsidRPr="00FC3205" w:rsidRDefault="00FC3205" w:rsidP="00CC2072"/>
        </w:tc>
      </w:tr>
      <w:tr w:rsidR="00FC3205" w:rsidRPr="00FC3205" w14:paraId="34338593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D01E4BA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30-day engagement — ED-BUP arm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CB06C12" w14:textId="77777777" w:rsidR="00FC3205" w:rsidRPr="00FC3205" w:rsidRDefault="00FC3205" w:rsidP="00FC3205">
            <w:r w:rsidRPr="00FC3205">
              <w:t>78%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72EA05E" w14:textId="77777777" w:rsidR="00FC3205" w:rsidRPr="00FC3205" w:rsidRDefault="00FC3205" w:rsidP="00FC3205">
            <w:r w:rsidRPr="00FC3205">
              <w:t>62%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2CB07F9" w14:textId="77777777" w:rsidR="00FC3205" w:rsidRPr="00FC3205" w:rsidRDefault="00FC3205" w:rsidP="00FC3205">
            <w:r w:rsidRPr="00FC3205">
              <w:t>94%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1FD9C6C" w14:textId="77777777" w:rsidR="00FC3205" w:rsidRPr="00FC3205" w:rsidRDefault="00FC3205" w:rsidP="00FC3205">
            <w:r w:rsidRPr="00FC3205">
              <w:t>Proportion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966A138" w14:textId="77777777" w:rsidR="00FC3205" w:rsidRPr="00FC3205" w:rsidRDefault="00FC3205" w:rsidP="00FC3205">
            <w:r w:rsidRPr="00FC3205">
              <w:t>Beta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143ADDA" w14:textId="77777777" w:rsidR="00FC3205" w:rsidRPr="00FC3205" w:rsidRDefault="00FC3205" w:rsidP="00FC3205">
            <w:r w:rsidRPr="00FC3205">
              <w:t>D'Onofrio et al., 2015 (JAMA)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22C5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973D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9E2ED" w14:textId="77777777" w:rsidR="00FC3205" w:rsidRPr="00FC3205" w:rsidRDefault="00FC3205" w:rsidP="00CC2072"/>
        </w:tc>
      </w:tr>
      <w:tr w:rsidR="00FC3205" w:rsidRPr="00FC3205" w14:paraId="5A37F1FD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7982C66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30-day engagement — Referral Only arm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3EC1048" w14:textId="77777777" w:rsidR="00FC3205" w:rsidRPr="00FC3205" w:rsidRDefault="00FC3205" w:rsidP="00FC3205">
            <w:r w:rsidRPr="00FC3205">
              <w:t>37%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2398214" w14:textId="77777777" w:rsidR="00FC3205" w:rsidRPr="00FC3205" w:rsidRDefault="00FC3205" w:rsidP="00FC3205">
            <w:r w:rsidRPr="00FC3205">
              <w:t>30%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234036FF" w14:textId="77777777" w:rsidR="00FC3205" w:rsidRPr="00FC3205" w:rsidRDefault="00FC3205" w:rsidP="00FC3205">
            <w:r w:rsidRPr="00FC3205">
              <w:t>44%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18AA688" w14:textId="77777777" w:rsidR="00FC3205" w:rsidRPr="00FC3205" w:rsidRDefault="00FC3205" w:rsidP="00FC3205">
            <w:r w:rsidRPr="00FC3205">
              <w:t>Proportion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F239DB3" w14:textId="77777777" w:rsidR="00FC3205" w:rsidRPr="00FC3205" w:rsidRDefault="00FC3205" w:rsidP="00FC3205">
            <w:r w:rsidRPr="00FC3205">
              <w:t>Beta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465C441" w14:textId="77777777" w:rsidR="00FC3205" w:rsidRPr="00FC3205" w:rsidRDefault="00FC3205" w:rsidP="00FC3205">
            <w:r w:rsidRPr="00FC3205">
              <w:t>D'Onofrio et al., 2015 (JAMA)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6BE91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9890E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BC9C2" w14:textId="77777777" w:rsidR="00FC3205" w:rsidRPr="00FC3205" w:rsidRDefault="00FC3205" w:rsidP="00CC2072"/>
        </w:tc>
      </w:tr>
      <w:tr w:rsidR="00FC3205" w:rsidRPr="00FC3205" w14:paraId="50906FD6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F4B60EF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Relapse rate — abstinent state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9D28B7C" w14:textId="77777777" w:rsidR="00FC3205" w:rsidRPr="00FC3205" w:rsidRDefault="00FC3205" w:rsidP="00FC3205">
            <w:r w:rsidRPr="00FC3205">
              <w:t>18%/year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D3E0C02" w14:textId="77777777" w:rsidR="00FC3205" w:rsidRPr="00FC3205" w:rsidRDefault="00FC3205" w:rsidP="00FC3205">
            <w:r w:rsidRPr="00FC3205">
              <w:t>14%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05F7B38" w14:textId="77777777" w:rsidR="00FC3205" w:rsidRPr="00FC3205" w:rsidRDefault="00FC3205" w:rsidP="00FC3205">
            <w:r w:rsidRPr="00FC3205">
              <w:t>22%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A071306" w14:textId="77777777" w:rsidR="00FC3205" w:rsidRPr="00FC3205" w:rsidRDefault="00FC3205" w:rsidP="00FC3205">
            <w:r w:rsidRPr="00FC3205">
              <w:t>Proportion/year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C719470" w14:textId="77777777" w:rsidR="00FC3205" w:rsidRPr="00FC3205" w:rsidRDefault="00FC3205" w:rsidP="00FC3205">
            <w:r w:rsidRPr="00FC3205">
              <w:t>Beta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C585C90" w14:textId="77777777" w:rsidR="00FC3205" w:rsidRPr="00FC3205" w:rsidRDefault="00FC3205" w:rsidP="00FC3205">
            <w:r w:rsidRPr="00FC3205">
              <w:t xml:space="preserve">Wakeman et al., 2020 (JAMA </w:t>
            </w:r>
            <w:proofErr w:type="spellStart"/>
            <w:r w:rsidRPr="00FC3205">
              <w:t>Netw</w:t>
            </w:r>
            <w:proofErr w:type="spellEnd"/>
            <w:r w:rsidRPr="00FC3205">
              <w:t xml:space="preserve"> Open)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3CBEA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B469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00946" w14:textId="77777777" w:rsidR="00FC3205" w:rsidRPr="00FC3205" w:rsidRDefault="00FC3205" w:rsidP="00CC2072"/>
        </w:tc>
      </w:tr>
      <w:tr w:rsidR="00FC3205" w:rsidRPr="00FC3205" w14:paraId="5F88D122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01F416E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t>Perspective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A1DFDE3" w14:textId="77777777" w:rsidR="00FC3205" w:rsidRPr="00FC3205" w:rsidRDefault="00FC3205" w:rsidP="00FC3205">
            <w:r w:rsidRPr="00FC3205">
              <w:t>Healthcare sector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BA1E101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C41C0A7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21887F9E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C9485AD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8D8F6F2" w14:textId="77777777" w:rsidR="00FC3205" w:rsidRPr="00FC3205" w:rsidRDefault="00FC3205" w:rsidP="00FC3205">
            <w:r w:rsidRPr="00FC3205">
              <w:t>CHEERS 2022 (Husereau et al.)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6651F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253D8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7496E" w14:textId="77777777" w:rsidR="00FC3205" w:rsidRPr="00FC3205" w:rsidRDefault="00FC3205" w:rsidP="00CC2072"/>
        </w:tc>
      </w:tr>
      <w:tr w:rsidR="00FC3205" w:rsidRPr="00FC3205" w14:paraId="6DB6A00D" w14:textId="77777777" w:rsidTr="00CC2072">
        <w:trPr>
          <w:trHeight w:val="196"/>
        </w:trPr>
        <w:tc>
          <w:tcPr>
            <w:tcW w:w="152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ECBECD4" w14:textId="77777777" w:rsidR="00FC3205" w:rsidRPr="00FC3205" w:rsidRDefault="00FC3205" w:rsidP="00CC2072">
            <w:pPr>
              <w:rPr>
                <w:b/>
                <w:bCs/>
              </w:rPr>
            </w:pPr>
            <w:r w:rsidRPr="00FC3205">
              <w:rPr>
                <w:b/>
                <w:bCs/>
              </w:rPr>
              <w:lastRenderedPageBreak/>
              <w:t>Analysis type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04954F0" w14:textId="77777777" w:rsidR="00FC3205" w:rsidRPr="00FC3205" w:rsidRDefault="00FC3205" w:rsidP="00FC3205">
            <w:r w:rsidRPr="00FC3205">
              <w:t>Cost-utility analysis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84C3F72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502AE476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88B59DD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5032257" w14:textId="77777777" w:rsidR="00FC3205" w:rsidRPr="00FC3205" w:rsidRDefault="00FC3205" w:rsidP="00FC3205">
            <w:r w:rsidRPr="00FC3205">
              <w:t>—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54494024" w14:textId="77777777" w:rsidR="00FC3205" w:rsidRPr="00FC3205" w:rsidRDefault="00FC3205" w:rsidP="00FC3205">
            <w:r w:rsidRPr="00FC3205">
              <w:t>Sanders et al., 2016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E8B6F" w14:textId="77777777" w:rsidR="00FC3205" w:rsidRPr="00FC3205" w:rsidRDefault="00FC3205" w:rsidP="00FC3205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7D972" w14:textId="77777777" w:rsidR="00FC3205" w:rsidRPr="00FC3205" w:rsidRDefault="00FC3205" w:rsidP="00CC2072"/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DC621" w14:textId="77777777" w:rsidR="00FC3205" w:rsidRPr="00FC3205" w:rsidRDefault="00FC3205" w:rsidP="00CC2072"/>
        </w:tc>
      </w:tr>
    </w:tbl>
    <w:p w14:paraId="1226F82E" w14:textId="77777777" w:rsidR="00FC3205" w:rsidRDefault="00FC3205" w:rsidP="00FC3205">
      <w:pPr>
        <w:rPr>
          <w:b/>
        </w:rPr>
      </w:pPr>
      <w:r w:rsidRPr="00FC3205">
        <w:rPr>
          <w:b/>
        </w:rPr>
        <w:t>Supplementary Table S2</w:t>
      </w:r>
    </w:p>
    <w:p w14:paraId="7C0BADEF" w14:textId="77777777" w:rsidR="00FC3205" w:rsidRPr="00FC3205" w:rsidRDefault="00FC3205" w:rsidP="00FC3205">
      <w:pPr>
        <w:rPr>
          <w:lang w:val="en"/>
        </w:rPr>
      </w:pPr>
      <w:r w:rsidRPr="00FC3205">
        <w:rPr>
          <w:b/>
          <w:bCs/>
          <w:lang w:val="en"/>
        </w:rPr>
        <w:t xml:space="preserve">Table 2. Cost parameters used in the model, including base-case values, ranges, distributions, and sources. </w:t>
      </w:r>
    </w:p>
    <w:tbl>
      <w:tblPr>
        <w:tblW w:w="9195" w:type="dxa"/>
        <w:jc w:val="center"/>
        <w:tblLayout w:type="fixed"/>
        <w:tblLook w:val="0400" w:firstRow="0" w:lastRow="0" w:firstColumn="0" w:lastColumn="0" w:noHBand="0" w:noVBand="1"/>
      </w:tblPr>
      <w:tblGrid>
        <w:gridCol w:w="1804"/>
        <w:gridCol w:w="863"/>
        <w:gridCol w:w="862"/>
        <w:gridCol w:w="862"/>
        <w:gridCol w:w="1446"/>
        <w:gridCol w:w="1316"/>
        <w:gridCol w:w="1292"/>
        <w:gridCol w:w="250"/>
        <w:gridCol w:w="250"/>
        <w:gridCol w:w="250"/>
      </w:tblGrid>
      <w:tr w:rsidR="00FC3205" w:rsidRPr="00FC3205" w14:paraId="53A4E9D7" w14:textId="77777777" w:rsidTr="00CC2072">
        <w:trPr>
          <w:gridAfter w:val="3"/>
          <w:wAfter w:w="750" w:type="dxa"/>
          <w:trHeight w:val="228"/>
          <w:jc w:val="center"/>
        </w:trPr>
        <w:tc>
          <w:tcPr>
            <w:tcW w:w="84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671CB6FD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COST PARAMETERS</w:t>
            </w:r>
          </w:p>
        </w:tc>
      </w:tr>
      <w:tr w:rsidR="00FC3205" w:rsidRPr="00FC3205" w14:paraId="7BA3DED8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8ABC674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Parameter</w:t>
            </w:r>
          </w:p>
        </w:tc>
        <w:tc>
          <w:tcPr>
            <w:tcW w:w="863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0E938D0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Base-Case Value</w:t>
            </w:r>
          </w:p>
        </w:tc>
        <w:tc>
          <w:tcPr>
            <w:tcW w:w="862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3E357A53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Low (−20%)</w:t>
            </w:r>
          </w:p>
        </w:tc>
        <w:tc>
          <w:tcPr>
            <w:tcW w:w="862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24A2983F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High (+20%)</w:t>
            </w:r>
          </w:p>
        </w:tc>
        <w:tc>
          <w:tcPr>
            <w:tcW w:w="1446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0CB7776A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Unit</w:t>
            </w:r>
          </w:p>
        </w:tc>
        <w:tc>
          <w:tcPr>
            <w:tcW w:w="1316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56CDEC4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Distribution</w:t>
            </w:r>
          </w:p>
        </w:tc>
        <w:tc>
          <w:tcPr>
            <w:tcW w:w="1292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6CAB0D6C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Source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ECA9D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FD5E9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DFC46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7BFF1639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58A9075E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Total cost per patient — ED-BUP arm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78C879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$1,752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539F7D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$1,402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BE6642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$2,102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09CEC9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USD/patient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F2DD83E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CCD858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Busch et al., 2017 (Addiction)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7C067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D0E6D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F51BA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072468E4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40477C1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Total cost per patient — Referral Only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A72E1E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$1,977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45257D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$1,582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60131B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$2,372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6DD2C6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USD/patient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DFDF72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2FED3A0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Busch et al., 2017 (Addiction)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9A021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0E755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77D73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46BB338C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AD8AA94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Buprenorphine medication cost (monthly)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514A8A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$400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49649E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$320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49D46A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$480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0AD6A6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USD/month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7D818E2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83F6EBE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 xml:space="preserve">Claypool et al., 2023 (JAMA </w:t>
            </w:r>
            <w:r w:rsidRPr="00FC3205">
              <w:rPr>
                <w:lang w:val="en"/>
              </w:rPr>
              <w:lastRenderedPageBreak/>
              <w:t>Health Forum)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8444B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0BFD9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CB011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5B4C7941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6B5649E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ED visit cost (index visit)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7E1C44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$1,200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B34EC6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$960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85E2639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$1,440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EED4DB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USD/visit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0CC6797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CAEBF1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Lu et al., 2024 (Ann Emerg Med)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651F1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25568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3BDE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4F8339E9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FD4A901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Primary care follow-up visit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C643E8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CC0104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$144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F3DF71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$216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73E2D11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USD/visit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7539F9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E1F644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Schackman et al., 2012 (J Gen Intern Med)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82AD4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FD1B7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D5D5B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221ACCE8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8516EEA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Inpatient addiction treatment admission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7190DF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$4,800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73928B9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$3,840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6DC2E4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$5,760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7E92BC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USD/admission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741F345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81E86E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Krebs et al., 2018 (Ann Intern Med)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9B716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1B42A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7BAF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08DF68C3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9339C12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Implementation facilitation cost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BF75CC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$320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BAFB421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$256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E9E54C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$384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B26C9EE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USD/patient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A1D8A6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A543EB5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 xml:space="preserve">Ryan et al., 2025 (PMC </w:t>
            </w:r>
            <w:proofErr w:type="spellStart"/>
            <w:r w:rsidRPr="00FC3205">
              <w:rPr>
                <w:lang w:val="en"/>
              </w:rPr>
              <w:t>microcosting</w:t>
            </w:r>
            <w:proofErr w:type="spellEnd"/>
            <w:r w:rsidRPr="00FC3205">
              <w:rPr>
                <w:lang w:val="en"/>
              </w:rPr>
              <w:t>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667B0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4C526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C002C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38181075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DC2ACF8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lastRenderedPageBreak/>
              <w:t>Criminal justice costs (annual, active OUD)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072A5C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$7,800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94E6430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$6,240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F665550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$9,360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3E3A9A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USD/year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2FF0C32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27BE505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Florence et al., 2016 (Med Care)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DC497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B8B2D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31A2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29E24D5B" w14:textId="77777777" w:rsidTr="00CC2072">
        <w:trPr>
          <w:trHeight w:val="228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E3C350B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Lost productivity cost (active OUD)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6CBA6F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$11,200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DD1F00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$8,960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9F23E9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$13,440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D5919D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USD/year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E40991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Gamma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F3E7867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Florence et al., 2016 (Med Care)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C7EE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BDE5C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E54A6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  <w:tr w:rsidR="00FC3205" w:rsidRPr="00FC3205" w14:paraId="4EA0C94E" w14:textId="77777777" w:rsidTr="00CC2072">
        <w:trPr>
          <w:trHeight w:val="50"/>
          <w:jc w:val="center"/>
        </w:trPr>
        <w:tc>
          <w:tcPr>
            <w:tcW w:w="1804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9BE68DC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Total societal cost — opioid crisis (2013)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8C9A0B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$78.5 billion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A27F37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—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9B4B5CF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—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4AFB74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USD (national)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416893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—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F9AD0D5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Florence et al., 2016 (Med Care)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A4ABB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1A91E" w14:textId="77777777" w:rsidR="00FC3205" w:rsidRPr="00FC3205" w:rsidRDefault="00FC3205" w:rsidP="00FC3205">
            <w:pPr>
              <w:rPr>
                <w:lang w:val="en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1E527" w14:textId="77777777" w:rsidR="00FC3205" w:rsidRPr="00FC3205" w:rsidRDefault="00FC3205" w:rsidP="00FC3205">
            <w:pPr>
              <w:rPr>
                <w:lang w:val="en"/>
              </w:rPr>
            </w:pPr>
          </w:p>
        </w:tc>
      </w:tr>
    </w:tbl>
    <w:p w14:paraId="0957A1C3" w14:textId="77777777" w:rsidR="00FC3205" w:rsidRDefault="00FC3205" w:rsidP="00FC3205"/>
    <w:p w14:paraId="01E562F3" w14:textId="77777777" w:rsidR="00FC3205" w:rsidRDefault="00FC3205" w:rsidP="00FC3205">
      <w:pPr>
        <w:rPr>
          <w:b/>
        </w:rPr>
      </w:pPr>
      <w:r w:rsidRPr="00FC3205">
        <w:rPr>
          <w:b/>
        </w:rPr>
        <w:t>Supplementary Table S3</w:t>
      </w:r>
    </w:p>
    <w:p w14:paraId="5811C517" w14:textId="77777777" w:rsidR="00FC3205" w:rsidRPr="00FC3205" w:rsidRDefault="00FC3205" w:rsidP="00FC3205">
      <w:pPr>
        <w:rPr>
          <w:b/>
          <w:lang w:val="en"/>
        </w:rPr>
      </w:pPr>
      <w:r w:rsidRPr="00FC3205">
        <w:rPr>
          <w:b/>
          <w:bCs/>
          <w:lang w:val="en"/>
        </w:rPr>
        <w:t xml:space="preserve">Table 3. Health utility (QALY) weights by health state, including distributions and data sources. </w:t>
      </w:r>
    </w:p>
    <w:tbl>
      <w:tblPr>
        <w:tblW w:w="9284" w:type="dxa"/>
        <w:jc w:val="center"/>
        <w:tblLayout w:type="fixed"/>
        <w:tblLook w:val="0400" w:firstRow="0" w:lastRow="0" w:firstColumn="0" w:lastColumn="0" w:noHBand="0" w:noVBand="1"/>
      </w:tblPr>
      <w:tblGrid>
        <w:gridCol w:w="2111"/>
        <w:gridCol w:w="1049"/>
        <w:gridCol w:w="1011"/>
        <w:gridCol w:w="1011"/>
        <w:gridCol w:w="1372"/>
        <w:gridCol w:w="1470"/>
        <w:gridCol w:w="1260"/>
      </w:tblGrid>
      <w:tr w:rsidR="00FC3205" w:rsidRPr="00FC3205" w14:paraId="1B5C07F4" w14:textId="77777777" w:rsidTr="00CC2072">
        <w:trPr>
          <w:trHeight w:val="294"/>
          <w:jc w:val="center"/>
        </w:trPr>
        <w:tc>
          <w:tcPr>
            <w:tcW w:w="85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vAlign w:val="center"/>
          </w:tcPr>
          <w:p w14:paraId="3CC2E1C5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HEALTH UTILITY (QALY) WEIGHTS</w:t>
            </w:r>
          </w:p>
        </w:tc>
      </w:tr>
      <w:tr w:rsidR="00FC3205" w:rsidRPr="00FC3205" w14:paraId="5EA82A64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34A9D6C3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Health State</w:t>
            </w:r>
          </w:p>
        </w:tc>
        <w:tc>
          <w:tcPr>
            <w:tcW w:w="965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2A0B660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Base-Case Utility</w:t>
            </w:r>
          </w:p>
        </w:tc>
        <w:tc>
          <w:tcPr>
            <w:tcW w:w="929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1A818247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Low</w:t>
            </w:r>
          </w:p>
        </w:tc>
        <w:tc>
          <w:tcPr>
            <w:tcW w:w="929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56FABF1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High</w:t>
            </w:r>
          </w:p>
        </w:tc>
        <w:tc>
          <w:tcPr>
            <w:tcW w:w="1261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582427B2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Instrument</w:t>
            </w:r>
          </w:p>
        </w:tc>
        <w:tc>
          <w:tcPr>
            <w:tcW w:w="1351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7E13CE1F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Distribution</w:t>
            </w:r>
          </w:p>
        </w:tc>
        <w:tc>
          <w:tcPr>
            <w:tcW w:w="1158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2E75B6"/>
            <w:vAlign w:val="center"/>
          </w:tcPr>
          <w:p w14:paraId="58D78222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Source</w:t>
            </w:r>
          </w:p>
        </w:tc>
      </w:tr>
      <w:tr w:rsidR="00FC3205" w:rsidRPr="00FC3205" w14:paraId="26D19F00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46F2893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lastRenderedPageBreak/>
              <w:t>Active OUD — Injection Use (No Treatment)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7747EF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0.512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B37DBC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0.410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8F6C8B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0.614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E7EFE82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TTO (US general public)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8F6758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Beta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2078DA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Wittenberg et al., 2016 (Addiction)</w:t>
            </w:r>
          </w:p>
        </w:tc>
      </w:tr>
      <w:tr w:rsidR="00FC3205" w:rsidRPr="00FC3205" w14:paraId="2094D7CF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2CD9558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Active OUD — Prescription Misuse (No Treatment)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3E742B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0.626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9F70F9E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0.501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261EEF8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0.751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BD7BA5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TTO (US general public)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6E13E967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Beta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CEDF9C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Wittenberg et al., 2016 (Addiction)</w:t>
            </w:r>
          </w:p>
        </w:tc>
      </w:tr>
      <w:tr w:rsidR="00FC3205" w:rsidRPr="00FC3205" w14:paraId="4D1FBE59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927EBBB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In MOUD Treatment (Stabilized — Buprenorphine)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5B8B1C01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0.766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02BE3F9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0.613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579B1711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0.919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3D0C762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EQ-5D / TTO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B7DF42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Beta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1A0BAE05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Claypool et al., 2023 (JAMA Health Forum)</w:t>
            </w:r>
          </w:p>
        </w:tc>
      </w:tr>
      <w:tr w:rsidR="00FC3205" w:rsidRPr="00FC3205" w14:paraId="421D2BAC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5D62F94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In MOUD Treatment (Methadone — Stabilized)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4EC130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0.680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FA32B0B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0.544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1B7189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0.816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8383427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EQ-5D / TTO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3F356C0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Beta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7F7EE4D1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Wittenberg et al., 2016 (Addiction)</w:t>
            </w:r>
          </w:p>
        </w:tc>
      </w:tr>
      <w:tr w:rsidR="00FC3205" w:rsidRPr="00FC3205" w14:paraId="30EEB124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4214829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lastRenderedPageBreak/>
              <w:t>Abstinent from Opioids (Not on MOUD)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BDA5590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0.850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2115B2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0.680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EE2482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1.000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9F6AC00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EQ-5D / SF-6D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7315FCE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Beta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C353994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Fairley et al., 2021 (JAMA Psychiatry)</w:t>
            </w:r>
          </w:p>
        </w:tc>
      </w:tr>
      <w:tr w:rsidR="00FC3205" w:rsidRPr="00FC3205" w14:paraId="6AAFD2D6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00E8BC4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Community Referral Only (Brief Engagement)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914C84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0.626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0D55139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0.501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13DDEEC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0.751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41E67D1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TTO (US general public)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5D818BC0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Beta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BDD7EE"/>
            <w:vAlign w:val="center"/>
          </w:tcPr>
          <w:p w14:paraId="4DDB21E3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Wittenberg et al., 2016 (Addiction)</w:t>
            </w:r>
          </w:p>
        </w:tc>
      </w:tr>
      <w:tr w:rsidR="00FC3205" w:rsidRPr="00FC3205" w14:paraId="45107B37" w14:textId="77777777" w:rsidTr="00CC2072">
        <w:trPr>
          <w:trHeight w:val="294"/>
          <w:jc w:val="center"/>
        </w:trPr>
        <w:tc>
          <w:tcPr>
            <w:tcW w:w="1941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76383F9E" w14:textId="77777777" w:rsidR="00FC3205" w:rsidRPr="00FC3205" w:rsidRDefault="00FC3205" w:rsidP="00FC3205">
            <w:pPr>
              <w:rPr>
                <w:b/>
                <w:bCs/>
                <w:lang w:val="en"/>
              </w:rPr>
            </w:pPr>
            <w:r w:rsidRPr="00FC3205">
              <w:rPr>
                <w:b/>
                <w:bCs/>
                <w:lang w:val="en"/>
              </w:rPr>
              <w:t>Death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6ED9578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0.000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438C0D36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—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EE3AAAE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—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2F17BBCA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—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3C8C017C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Fixed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14:paraId="6221C85D" w14:textId="77777777" w:rsidR="00FC3205" w:rsidRPr="00FC3205" w:rsidRDefault="00FC3205" w:rsidP="00FC3205">
            <w:pPr>
              <w:rPr>
                <w:lang w:val="en"/>
              </w:rPr>
            </w:pPr>
            <w:r w:rsidRPr="00FC3205">
              <w:rPr>
                <w:lang w:val="en"/>
              </w:rPr>
              <w:t>Standard assumption</w:t>
            </w:r>
          </w:p>
        </w:tc>
      </w:tr>
    </w:tbl>
    <w:p w14:paraId="2453C83F" w14:textId="77777777" w:rsidR="00FC3205" w:rsidRPr="00FC3205" w:rsidRDefault="00FC3205" w:rsidP="00FC3205"/>
    <w:sectPr w:rsidR="00FC3205" w:rsidRPr="00FC3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205"/>
    <w:rsid w:val="00540F90"/>
    <w:rsid w:val="006E017E"/>
    <w:rsid w:val="00846B47"/>
    <w:rsid w:val="00B717C3"/>
    <w:rsid w:val="00FC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1A27"/>
  <w15:chartTrackingRefBased/>
  <w15:docId w15:val="{C1435BF5-4F61-4679-BFB0-79F6F7B7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Andre Christie</cp:lastModifiedBy>
  <cp:revision>2</cp:revision>
  <dcterms:created xsi:type="dcterms:W3CDTF">2026-04-21T15:04:00Z</dcterms:created>
  <dcterms:modified xsi:type="dcterms:W3CDTF">2026-04-21T15:04:00Z</dcterms:modified>
</cp:coreProperties>
</file>