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D8" w:rsidRPr="006535D8" w:rsidRDefault="006535D8" w:rsidP="006535D8">
      <w:pPr>
        <w:overflowPunct/>
        <w:autoSpaceDE/>
        <w:autoSpaceDN/>
        <w:adjustRightInd/>
        <w:spacing w:after="200" w:line="276" w:lineRule="auto"/>
        <w:ind w:firstLine="0"/>
        <w:jc w:val="left"/>
        <w:textAlignment w:val="auto"/>
        <w:rPr>
          <w:rFonts w:eastAsia="Calibri"/>
          <w:sz w:val="18"/>
          <w:szCs w:val="18"/>
          <w:lang w:val="en-GB"/>
        </w:rPr>
      </w:pPr>
      <w:bookmarkStart w:id="0" w:name="_GoBack"/>
      <w:bookmarkEnd w:id="0"/>
      <w:r w:rsidRPr="006535D8">
        <w:rPr>
          <w:rFonts w:eastAsia="Calibri"/>
          <w:b/>
          <w:sz w:val="18"/>
          <w:szCs w:val="18"/>
          <w:lang w:val="en-GB"/>
        </w:rPr>
        <w:t>Table 5:</w:t>
      </w:r>
      <w:r w:rsidRPr="006535D8">
        <w:rPr>
          <w:rFonts w:eastAsia="Calibri"/>
          <w:sz w:val="18"/>
          <w:szCs w:val="18"/>
          <w:lang w:val="en-GB"/>
        </w:rPr>
        <w:t xml:space="preserve"> Frequency of Finger Millet Consumption by Their Level of Income</w:t>
      </w:r>
    </w:p>
    <w:tbl>
      <w:tblPr>
        <w:tblW w:w="4884" w:type="pct"/>
        <w:tblLook w:val="0000" w:firstRow="0" w:lastRow="0" w:firstColumn="0" w:lastColumn="0" w:noHBand="0" w:noVBand="0"/>
      </w:tblPr>
      <w:tblGrid>
        <w:gridCol w:w="2218"/>
        <w:gridCol w:w="1354"/>
        <w:gridCol w:w="1132"/>
        <w:gridCol w:w="1188"/>
        <w:gridCol w:w="1188"/>
        <w:gridCol w:w="1291"/>
        <w:gridCol w:w="1195"/>
        <w:gridCol w:w="1122"/>
      </w:tblGrid>
      <w:tr w:rsidR="006535D8" w:rsidRPr="00807A06" w:rsidTr="00807A06">
        <w:trPr>
          <w:trHeight w:val="146"/>
        </w:trPr>
        <w:tc>
          <w:tcPr>
            <w:tcW w:w="168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sz w:val="24"/>
                <w:szCs w:val="24"/>
                <w:lang w:val="en-GB"/>
              </w:rPr>
            </w:pPr>
          </w:p>
        </w:tc>
        <w:tc>
          <w:tcPr>
            <w:tcW w:w="331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Income Level of the Respondent</w:t>
            </w:r>
          </w:p>
        </w:tc>
      </w:tr>
      <w:tr w:rsidR="006535D8" w:rsidRPr="00807A06" w:rsidTr="00807A06">
        <w:trPr>
          <w:trHeight w:val="146"/>
        </w:trPr>
        <w:tc>
          <w:tcPr>
            <w:tcW w:w="16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&lt;25,000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25,000 - 50,000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50,000 - 75,000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75,000 - 100,000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&gt;100,000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Total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Frequency of finger millet based Injera consumption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Daily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79 (67%)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37 (55%)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28 (44%)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20 (41%)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12 (52%)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176 (55%)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vMerge w:val="restar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Weekly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 (5%)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 (10%)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 (13%)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 (4%)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 (22%)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28(9%)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4(3%)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1(1%)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1(2%)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4(8%)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1(4%)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11(3%)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Less than 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9(8%)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11(16%)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15(24%)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9(18%)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3(13%)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47(15%)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Never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20(17%)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11(16%)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11(17%)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14(29%)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2(9%)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58(18%)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118(100%)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67(100%)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63(100%)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49(100%)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23100%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320(100%)</w:t>
            </w:r>
          </w:p>
        </w:tc>
      </w:tr>
      <w:tr w:rsidR="006535D8" w:rsidRPr="00807A06" w:rsidTr="00807A06">
        <w:trPr>
          <w:trHeight w:val="321"/>
        </w:trPr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Frequency of finger millet based Atimit consum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p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tion? 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Daily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1(1%)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3(4%)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4(6%)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2(4%)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10(3%)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24(20%)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12(18%)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5(8%)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8(16%)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5(22%)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54(17%)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30(25%)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14(21%)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16(25%)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12(24%)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3(13%)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75(23%)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Less than 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15(13%)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17(25%)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9(14%)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8(16%)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3(13%)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52(16%)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Never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48(41%)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21(31%)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29(46%)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19(39%)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12(52%)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129(40%)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118(100%)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67(100%)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63(100%)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49(100%)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23(100%)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320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(100%)</w:t>
            </w:r>
          </w:p>
        </w:tc>
      </w:tr>
      <w:tr w:rsidR="006535D8" w:rsidRPr="00807A06" w:rsidTr="00807A06">
        <w:trPr>
          <w:trHeight w:val="321"/>
        </w:trPr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Frequency of finger millet based Bread consum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p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tion?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Daily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1(1%)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2(3%)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tabs>
                <w:tab w:val="left" w:pos="360"/>
                <w:tab w:val="right" w:pos="747"/>
              </w:tabs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     -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3(1%)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15(13%)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8(12%)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6(10%)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  4 (8%)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3(13%)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36(11%)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32(13%)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13(19%)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10(16%)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11(22%)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7(30%)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73(23%)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Less than 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12(10%)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11(16%)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16(25%)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4(8%)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5(22%)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48(15%)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Never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58(49%)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33(49%)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31(49%)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30(61%)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8(35%)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160(50%)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118(100%)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67(100%)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63(100%)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49(100%)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23(100%)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320(100%)</w:t>
            </w:r>
          </w:p>
        </w:tc>
      </w:tr>
      <w:tr w:rsidR="006535D8" w:rsidRPr="00807A06" w:rsidTr="00807A06">
        <w:trPr>
          <w:trHeight w:val="321"/>
        </w:trPr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Frequency of finger millet based Beverage consum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p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tion?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Daily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24(20%)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 12(18%)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10(16%)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12(24%)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3(13%)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61(19%)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39(33%)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19(28%)  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17(27%)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11(22%)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5(22%)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91(28%)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27(23%)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13(19%)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11(17%)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13(27%)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7(30%)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71(22%)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Less than 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14(12%)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9(13%)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19(30%)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8(16%)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8(35%)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58(18%)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Never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14(12%)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14(21%)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6(10%)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5(10%)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39(12%)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118(100%)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67(100%)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63(100%)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49(100%)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23(100%)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320(100%)</w:t>
            </w:r>
          </w:p>
        </w:tc>
      </w:tr>
      <w:tr w:rsidR="006535D8" w:rsidRPr="00807A06" w:rsidTr="00807A06">
        <w:trPr>
          <w:trHeight w:val="321"/>
        </w:trPr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Frequency of finger millet Porridge or Genfo co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n</w:t>
            </w: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sumption?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Daily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2(2%)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2(1%)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14(12%)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5(7%)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5(8%)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5(10%)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1(4%)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30(9%)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21(18%)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8(12%)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5(8%)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4(8%)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4(17%)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42(13%)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Less than 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9(8%)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6(9%)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  8(13%)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5(10%)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1(4%)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29(9%)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Never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72(61%)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48(72%)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 45(71%)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35(71%)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17(74%)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217(68%)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118(100%)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67(100%)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63(100%)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49(100%)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23(100%)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320(100%)</w:t>
            </w:r>
          </w:p>
        </w:tc>
      </w:tr>
      <w:tr w:rsidR="006535D8" w:rsidRPr="00807A06" w:rsidTr="00807A06">
        <w:trPr>
          <w:trHeight w:val="321"/>
        </w:trPr>
        <w:tc>
          <w:tcPr>
            <w:tcW w:w="10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Frequency of finger millet based Kita consumption?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Daily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2(2%)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tabs>
                <w:tab w:val="center" w:pos="668"/>
                <w:tab w:val="right" w:pos="1277"/>
              </w:tabs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ab/>
              <w:t>2(3%)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2(3%)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6(2%)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14(12%)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11(16%)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4(6%)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4(8%)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2(9%)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35(11%)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29(25%)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 xml:space="preserve">          8(12%)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14(22%)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7(14%)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4(17%)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62(19%)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Less than monthly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20(17%)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18(27%)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23(37%)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10(20%)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6(26%)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77(24%)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Never</w:t>
            </w:r>
          </w:p>
        </w:tc>
        <w:tc>
          <w:tcPr>
            <w:tcW w:w="535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53(45%)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28(42%)</w:t>
            </w:r>
          </w:p>
        </w:tc>
        <w:tc>
          <w:tcPr>
            <w:tcW w:w="561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20(32%)</w:t>
            </w:r>
          </w:p>
        </w:tc>
        <w:tc>
          <w:tcPr>
            <w:tcW w:w="609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28(57%)</w:t>
            </w:r>
          </w:p>
        </w:tc>
        <w:tc>
          <w:tcPr>
            <w:tcW w:w="564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11(48%)</w:t>
            </w:r>
          </w:p>
        </w:tc>
        <w:tc>
          <w:tcPr>
            <w:tcW w:w="488" w:type="pct"/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140(44%)</w:t>
            </w:r>
          </w:p>
        </w:tc>
      </w:tr>
      <w:tr w:rsidR="006535D8" w:rsidRPr="00807A06" w:rsidTr="00807A06">
        <w:trPr>
          <w:trHeight w:val="146"/>
        </w:trPr>
        <w:tc>
          <w:tcPr>
            <w:tcW w:w="10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lef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118(100%)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67(100%)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63(100%)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49(100%)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23(100%)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ascii="Calibri" w:eastAsia="Calibri" w:hAnsi="Calibri"/>
                <w:color w:val="000000"/>
                <w:sz w:val="18"/>
                <w:szCs w:val="18"/>
                <w:lang w:val="en-GB"/>
              </w:rPr>
              <w:t>320(100%)</w:t>
            </w:r>
          </w:p>
        </w:tc>
      </w:tr>
    </w:tbl>
    <w:p w:rsidR="006535D8" w:rsidRDefault="006535D8" w:rsidP="006535D8">
      <w:pPr>
        <w:overflowPunct/>
        <w:spacing w:line="240" w:lineRule="auto"/>
        <w:ind w:firstLine="0"/>
        <w:jc w:val="left"/>
        <w:textAlignment w:val="auto"/>
        <w:rPr>
          <w:rFonts w:eastAsia="Calibri"/>
          <w:b/>
          <w:sz w:val="18"/>
          <w:szCs w:val="18"/>
          <w:lang w:val="en-GB"/>
        </w:rPr>
      </w:pPr>
    </w:p>
    <w:p w:rsidR="006535D8" w:rsidRPr="006535D8" w:rsidRDefault="006535D8" w:rsidP="006535D8">
      <w:pPr>
        <w:overflowPunct/>
        <w:spacing w:line="240" w:lineRule="auto"/>
        <w:ind w:firstLine="0"/>
        <w:jc w:val="left"/>
        <w:textAlignment w:val="auto"/>
        <w:rPr>
          <w:rFonts w:eastAsia="Calibri"/>
          <w:sz w:val="18"/>
          <w:szCs w:val="18"/>
          <w:lang w:val="en-GB"/>
        </w:rPr>
      </w:pPr>
      <w:r w:rsidRPr="006535D8">
        <w:rPr>
          <w:rFonts w:eastAsia="Calibri"/>
          <w:b/>
          <w:sz w:val="18"/>
          <w:szCs w:val="18"/>
          <w:lang w:val="en-GB"/>
        </w:rPr>
        <w:t>Table 6:</w:t>
      </w:r>
      <w:r w:rsidRPr="006535D8">
        <w:rPr>
          <w:rFonts w:eastAsia="Calibri"/>
          <w:sz w:val="18"/>
          <w:szCs w:val="18"/>
          <w:lang w:val="en-GB"/>
        </w:rPr>
        <w:t xml:space="preserve">  Factors Associated with Consumption of Finger Millet-Based Foods using Five Point Likert Scale</w:t>
      </w:r>
    </w:p>
    <w:p w:rsidR="006535D8" w:rsidRDefault="006535D8" w:rsidP="006535D8">
      <w:pPr>
        <w:pStyle w:val="address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64"/>
        <w:gridCol w:w="663"/>
        <w:gridCol w:w="663"/>
        <w:gridCol w:w="610"/>
        <w:gridCol w:w="610"/>
        <w:gridCol w:w="610"/>
        <w:gridCol w:w="492"/>
        <w:gridCol w:w="597"/>
        <w:gridCol w:w="221"/>
        <w:gridCol w:w="680"/>
        <w:gridCol w:w="610"/>
        <w:gridCol w:w="610"/>
        <w:gridCol w:w="531"/>
        <w:gridCol w:w="610"/>
        <w:gridCol w:w="610"/>
        <w:gridCol w:w="531"/>
        <w:gridCol w:w="492"/>
        <w:gridCol w:w="492"/>
      </w:tblGrid>
      <w:tr w:rsidR="006535D8" w:rsidRPr="00807A06" w:rsidTr="00807A06">
        <w:tc>
          <w:tcPr>
            <w:tcW w:w="47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sz w:val="18"/>
                <w:szCs w:val="18"/>
                <w:lang w:val="en-GB"/>
              </w:rPr>
              <w:t xml:space="preserve">    </w:t>
            </w:r>
          </w:p>
        </w:tc>
        <w:tc>
          <w:tcPr>
            <w:tcW w:w="20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sz w:val="18"/>
                <w:szCs w:val="18"/>
                <w:lang w:val="en-GB"/>
              </w:rPr>
              <w:t>Factors Enforce Respondents  to Consume  Finger Millet Based Food</w:t>
            </w:r>
          </w:p>
        </w:tc>
        <w:tc>
          <w:tcPr>
            <w:tcW w:w="9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36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sz w:val="18"/>
                <w:szCs w:val="18"/>
                <w:lang w:val="en-GB"/>
              </w:rPr>
              <w:t xml:space="preserve">         Barriers that Prevent Respondents from Consuming Finger Millet  Based Food</w:t>
            </w:r>
          </w:p>
        </w:tc>
      </w:tr>
      <w:tr w:rsidR="006535D8" w:rsidRPr="00807A06" w:rsidTr="00807A06">
        <w:trPr>
          <w:cantSplit/>
          <w:trHeight w:val="1134"/>
        </w:trPr>
        <w:tc>
          <w:tcPr>
            <w:tcW w:w="47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Strongly Disagree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Disagree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Neutral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Agree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Strongly Agree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Weighted Score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Average Score/Mean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Standard Deviation</w:t>
            </w:r>
          </w:p>
        </w:tc>
        <w:tc>
          <w:tcPr>
            <w:tcW w:w="9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Strongly Disagree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Disagree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Neutral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Agree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Strongly Agree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Weighted Score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Average Score/Mean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tbRl"/>
          </w:tcPr>
          <w:p w:rsidR="006535D8" w:rsidRPr="00807A06" w:rsidRDefault="006535D8" w:rsidP="00807A06">
            <w:pPr>
              <w:overflowPunct/>
              <w:spacing w:line="240" w:lineRule="auto"/>
              <w:ind w:left="113" w:right="113" w:firstLine="0"/>
              <w:textAlignment w:val="auto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b/>
                <w:color w:val="000000"/>
                <w:sz w:val="18"/>
                <w:szCs w:val="18"/>
                <w:lang w:val="en-GB"/>
              </w:rPr>
              <w:t>Standard Deviation</w:t>
            </w:r>
          </w:p>
        </w:tc>
      </w:tr>
      <w:tr w:rsidR="006535D8" w:rsidRPr="00807A06" w:rsidTr="00807A06"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For weight loss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36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(11%)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134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(42%)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47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(15%)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94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(29%)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866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2.71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1.09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 xml:space="preserve">Lack of awareness 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(9%)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70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(22%)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(2%)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155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(48%)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(19%)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1109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3.47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1.26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To mai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n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tain blood sugar level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25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(8%)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52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(16%)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75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(23%)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151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(47%)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3.26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1.05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Expensiv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e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ness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71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(22%)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216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(68%)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1.98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0.80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To boost immunity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14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41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(13%)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35</w:t>
            </w:r>
          </w:p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(11%)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198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(62%)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(10%)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3.60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0.98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Lack of accessibi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l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ity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(20%)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210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(66%)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(9%)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13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677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2.12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0.96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To avoid cardiova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s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cular risks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(10%)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(11%)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201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(63%)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33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10%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3.62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0.99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 xml:space="preserve">Do not like its taste 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(14%)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185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(58%)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(18%)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765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2.39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1.04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 xml:space="preserve">For gluten free 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lastRenderedPageBreak/>
              <w:t>co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n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sumption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lastRenderedPageBreak/>
              <w:t>21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(17%)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(14%)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180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(56%)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3.38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1.05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Don’t know its pr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o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cessin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lastRenderedPageBreak/>
              <w:t>g  recipes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lastRenderedPageBreak/>
              <w:t>36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(11%)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92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(29%)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143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(45%)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(8%)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993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1.23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Enhancing digestion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(8%)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(32%)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(13%)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132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(41%)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985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1.14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Considered it as  rural food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(14%)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(21%)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159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(50%)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(13%)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1.31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For blood pressure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(18%)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(17%)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169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(53%)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3.36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1.03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Its color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(15%)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(32%)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141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(44%)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944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2.95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1.26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Alternate for maize, wheat and teff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(14%)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207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(65%)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(13%)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1182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3.70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0.98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Cultural or family tradition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(9%)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(19%)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180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(56%)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(11%)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1089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1.18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To enrich haemogl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o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bin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40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(13%)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(22%)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187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(58%)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(5%)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1123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3.51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0.87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Affordabi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l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ity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(17%)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236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(74%)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(1%)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2.01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0.75</w:t>
            </w:r>
          </w:p>
        </w:tc>
      </w:tr>
      <w:tr w:rsidR="006535D8" w:rsidRPr="00807A06" w:rsidTr="00807A06"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For nutr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i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 xml:space="preserve">tional 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lastRenderedPageBreak/>
              <w:t>Be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n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efit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lastRenderedPageBreak/>
              <w:t>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(10%)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(8%)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226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(71%)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(9%)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1197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3.74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0.86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Availabi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l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ity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(15%)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246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(77%)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5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(2%)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18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right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(1%)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638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1.99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0.67</w:t>
            </w:r>
          </w:p>
        </w:tc>
      </w:tr>
      <w:tr w:rsidR="006535D8" w:rsidRPr="00807A06" w:rsidTr="00807A06">
        <w:trPr>
          <w:trHeight w:val="542"/>
        </w:trPr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To mai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n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tain overall health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(3%)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49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(15%)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47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(15%)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191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(60%)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22</w:t>
            </w: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(7%)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1124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3.51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0.95</w:t>
            </w:r>
          </w:p>
        </w:tc>
        <w:tc>
          <w:tcPr>
            <w:tcW w:w="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sz w:val="18"/>
                <w:szCs w:val="18"/>
                <w:lang w:val="en-GB"/>
              </w:rPr>
              <w:t xml:space="preserve">Composite Means of Barriers of consumption  (Br_Comp_Mean)                                                                                                                               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sz w:val="18"/>
                <w:szCs w:val="18"/>
                <w:lang w:val="en-GB"/>
              </w:rPr>
              <w:t>8537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sz w:val="18"/>
                <w:szCs w:val="18"/>
                <w:lang w:val="en-GB"/>
              </w:rPr>
              <w:t>2.67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sz w:val="18"/>
                <w:szCs w:val="18"/>
                <w:lang w:val="en-GB"/>
              </w:rPr>
              <w:t>0.53</w:t>
            </w:r>
          </w:p>
        </w:tc>
      </w:tr>
      <w:tr w:rsidR="006535D8" w:rsidRPr="00807A06" w:rsidTr="00807A06"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right="60" w:firstLine="0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Composite Mean of Reason of Co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n</w:t>
            </w: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sumption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11987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3.41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320" w:lineRule="atLeast"/>
              <w:ind w:left="60" w:right="60" w:firstLine="0"/>
              <w:jc w:val="center"/>
              <w:textAlignment w:val="auto"/>
              <w:rPr>
                <w:rFonts w:eastAsia="Calibri"/>
                <w:color w:val="000000"/>
                <w:sz w:val="18"/>
                <w:szCs w:val="18"/>
                <w:lang w:val="en-GB"/>
              </w:rPr>
            </w:pPr>
            <w:r w:rsidRPr="00807A06">
              <w:rPr>
                <w:rFonts w:eastAsia="Calibri"/>
                <w:color w:val="000000"/>
                <w:sz w:val="18"/>
                <w:szCs w:val="18"/>
                <w:lang w:val="en-GB"/>
              </w:rPr>
              <w:t>0.61</w:t>
            </w:r>
          </w:p>
        </w:tc>
        <w:tc>
          <w:tcPr>
            <w:tcW w:w="99" w:type="pct"/>
            <w:vMerge/>
            <w:tcBorders>
              <w:left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35D8" w:rsidRPr="00807A06" w:rsidRDefault="006535D8" w:rsidP="00807A06">
            <w:pPr>
              <w:overflowPunct/>
              <w:spacing w:line="240" w:lineRule="auto"/>
              <w:ind w:firstLine="0"/>
              <w:textAlignment w:val="auto"/>
              <w:rPr>
                <w:rFonts w:eastAsia="Calibri"/>
                <w:sz w:val="18"/>
                <w:szCs w:val="18"/>
                <w:lang w:val="en-GB"/>
              </w:rPr>
            </w:pPr>
          </w:p>
        </w:tc>
      </w:tr>
    </w:tbl>
    <w:p w:rsidR="006535D8" w:rsidRPr="00D544CE" w:rsidRDefault="006535D8" w:rsidP="00D544CE">
      <w:pPr>
        <w:overflowPunct/>
        <w:spacing w:line="276" w:lineRule="auto"/>
        <w:ind w:firstLine="0"/>
        <w:textAlignment w:val="auto"/>
        <w:rPr>
          <w:rFonts w:eastAsia="Calibri"/>
          <w:i/>
          <w:iCs/>
          <w:lang w:val="en-GB"/>
        </w:rPr>
        <w:sectPr w:rsidR="006535D8" w:rsidRPr="00D544CE" w:rsidSect="006535D8">
          <w:headerReference w:type="even" r:id="rId8"/>
          <w:headerReference w:type="default" r:id="rId9"/>
          <w:pgSz w:w="16838" w:h="11906" w:orient="landscape" w:code="9"/>
          <w:pgMar w:top="2495" w:right="2948" w:bottom="2495" w:left="2948" w:header="2381" w:footer="2325" w:gutter="0"/>
          <w:cols w:space="227"/>
          <w:titlePg/>
          <w:docGrid w:linePitch="272"/>
        </w:sectPr>
      </w:pPr>
      <w:r w:rsidRPr="006535D8">
        <w:rPr>
          <w:rFonts w:eastAsia="Calibri"/>
          <w:b/>
          <w:i/>
          <w:iCs/>
          <w:sz w:val="22"/>
          <w:szCs w:val="22"/>
          <w:u w:val="single"/>
          <w:lang w:val="en-GB"/>
        </w:rPr>
        <w:t>Note:</w:t>
      </w:r>
      <w:r w:rsidRPr="006535D8">
        <w:rPr>
          <w:rFonts w:eastAsia="Calibri"/>
          <w:sz w:val="22"/>
          <w:szCs w:val="22"/>
          <w:lang w:val="en-GB"/>
        </w:rPr>
        <w:t xml:space="preserve"> As indicated from Table 6, a </w:t>
      </w:r>
      <w:r w:rsidRPr="006535D8">
        <w:rPr>
          <w:rFonts w:eastAsia="Calibri"/>
          <w:i/>
          <w:iCs/>
          <w:sz w:val="22"/>
          <w:szCs w:val="22"/>
          <w:lang w:val="en-GB"/>
        </w:rPr>
        <w:t>five-point likert scale (1=Strongly Disagree, 2=Disagree, 3=Neutral, 4=Agree, 5=Strongly Agree). Overall, the mean and standard deviation of 3.41 and 0.61, respectively, indicated that respondents perceived a positive (agreed) attitude towards finger millet-based food consumption. While on the right side of the table, with an overall mean of 2.67 and standard deviation of 0.53, indicated that attitudes of the respondents were neutral r</w:t>
      </w:r>
      <w:r w:rsidRPr="006535D8">
        <w:rPr>
          <w:rFonts w:eastAsia="Calibri"/>
          <w:i/>
          <w:iCs/>
          <w:sz w:val="22"/>
          <w:szCs w:val="22"/>
          <w:lang w:val="en-GB"/>
        </w:rPr>
        <w:t>e</w:t>
      </w:r>
      <w:r w:rsidRPr="006535D8">
        <w:rPr>
          <w:rFonts w:eastAsia="Calibri"/>
          <w:i/>
          <w:iCs/>
          <w:sz w:val="22"/>
          <w:szCs w:val="22"/>
          <w:lang w:val="en-GB"/>
        </w:rPr>
        <w:t>garding factors that limit finger millet-based food consumption</w:t>
      </w:r>
      <w:r w:rsidR="00D544CE">
        <w:rPr>
          <w:rFonts w:eastAsia="Calibri"/>
          <w:i/>
          <w:iCs/>
          <w:lang w:val="en-GB"/>
        </w:rPr>
        <w:t>.</w:t>
      </w:r>
    </w:p>
    <w:p w:rsidR="00D544CE" w:rsidRPr="00606587" w:rsidRDefault="00D544CE" w:rsidP="007979F2">
      <w:pPr>
        <w:pStyle w:val="referenceitem"/>
        <w:numPr>
          <w:ilvl w:val="0"/>
          <w:numId w:val="0"/>
        </w:numPr>
      </w:pPr>
    </w:p>
    <w:sectPr w:rsidR="00D544CE" w:rsidRPr="00606587" w:rsidSect="00641185">
      <w:pgSz w:w="11906" w:h="16838" w:code="9"/>
      <w:pgMar w:top="2948" w:right="2494" w:bottom="2948" w:left="2494" w:header="2381" w:footer="2324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F4" w:rsidRDefault="00121FF4">
      <w:r>
        <w:separator/>
      </w:r>
    </w:p>
  </w:endnote>
  <w:endnote w:type="continuationSeparator" w:id="0">
    <w:p w:rsidR="00121FF4" w:rsidRDefault="0012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F4" w:rsidRDefault="00121FF4" w:rsidP="009F7FCE">
      <w:pPr>
        <w:ind w:firstLine="0"/>
      </w:pPr>
      <w:r>
        <w:separator/>
      </w:r>
    </w:p>
  </w:footnote>
  <w:footnote w:type="continuationSeparator" w:id="0">
    <w:p w:rsidR="00121FF4" w:rsidRDefault="00121FF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5C" w:rsidRDefault="00497D5C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627B93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D5C" w:rsidRDefault="00497D5C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627B93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5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E"/>
    <w:rsid w:val="00025172"/>
    <w:rsid w:val="00080F4D"/>
    <w:rsid w:val="001040F4"/>
    <w:rsid w:val="00121FF4"/>
    <w:rsid w:val="001A02F0"/>
    <w:rsid w:val="001F709F"/>
    <w:rsid w:val="00224417"/>
    <w:rsid w:val="002D48C5"/>
    <w:rsid w:val="00312224"/>
    <w:rsid w:val="003E0BAC"/>
    <w:rsid w:val="003F33B4"/>
    <w:rsid w:val="00423168"/>
    <w:rsid w:val="004523E1"/>
    <w:rsid w:val="0049552A"/>
    <w:rsid w:val="00497D5C"/>
    <w:rsid w:val="005206C8"/>
    <w:rsid w:val="0052546F"/>
    <w:rsid w:val="005B3B75"/>
    <w:rsid w:val="00622A2B"/>
    <w:rsid w:val="00627B93"/>
    <w:rsid w:val="00641185"/>
    <w:rsid w:val="006535D8"/>
    <w:rsid w:val="007979F2"/>
    <w:rsid w:val="008012D8"/>
    <w:rsid w:val="00807A06"/>
    <w:rsid w:val="008A7A04"/>
    <w:rsid w:val="008D2B80"/>
    <w:rsid w:val="008F2D4C"/>
    <w:rsid w:val="00912DAE"/>
    <w:rsid w:val="00917E60"/>
    <w:rsid w:val="009264C3"/>
    <w:rsid w:val="009930E4"/>
    <w:rsid w:val="009B2539"/>
    <w:rsid w:val="009F6788"/>
    <w:rsid w:val="009F7FCE"/>
    <w:rsid w:val="00A4057E"/>
    <w:rsid w:val="00A97D5D"/>
    <w:rsid w:val="00AA299A"/>
    <w:rsid w:val="00AA4EBE"/>
    <w:rsid w:val="00B16CB0"/>
    <w:rsid w:val="00B23481"/>
    <w:rsid w:val="00BC480B"/>
    <w:rsid w:val="00C5718D"/>
    <w:rsid w:val="00D544CE"/>
    <w:rsid w:val="00D70486"/>
    <w:rsid w:val="00DA1A29"/>
    <w:rsid w:val="00DC2CA9"/>
    <w:rsid w:val="00E603C7"/>
    <w:rsid w:val="00EA0B08"/>
    <w:rsid w:val="00EA4B47"/>
    <w:rsid w:val="00F01D68"/>
    <w:rsid w:val="00F321B4"/>
    <w:rsid w:val="00F425CC"/>
    <w:rsid w:val="00F47D55"/>
    <w:rsid w:val="00FD125D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DEFE4-FF40-45D0-8065-C8C8B1ED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table" w:styleId="TableGrid">
    <w:name w:val="Table Grid"/>
    <w:basedOn w:val="TableNormal"/>
    <w:uiPriority w:val="59"/>
    <w:rsid w:val="006535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535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D1A2-73FB-4BA8-92D1-3D2006E7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859</Words>
  <Characters>4902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Richter</dc:creator>
  <cp:keywords/>
  <dc:description>Formats and macros for Springer Lecture Notes</dc:description>
  <cp:lastModifiedBy>MT</cp:lastModifiedBy>
  <cp:revision>2</cp:revision>
  <dcterms:created xsi:type="dcterms:W3CDTF">2026-04-21T14:09:00Z</dcterms:created>
  <dcterms:modified xsi:type="dcterms:W3CDTF">2026-04-21T14:09:00Z</dcterms:modified>
</cp:coreProperties>
</file>