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41A95" w14:textId="77777777" w:rsidR="002B05E0" w:rsidRPr="00E86BC4" w:rsidRDefault="002B05E0" w:rsidP="002B05E0">
      <w:pPr>
        <w:pStyle w:val="Heading3"/>
        <w:spacing w:before="240" w:after="240" w:line="276" w:lineRule="auto"/>
        <w:jc w:val="both"/>
        <w:rPr>
          <w:b/>
          <w:i/>
          <w:color w:val="0F1115"/>
          <w:sz w:val="20"/>
          <w:lang w:val="en-US"/>
        </w:rPr>
      </w:pPr>
      <w:r w:rsidRPr="00E86BC4">
        <w:rPr>
          <w:i/>
          <w:color w:val="0F1115"/>
          <w:sz w:val="20"/>
          <w:lang w:val="en-US"/>
        </w:rPr>
        <w:t>Table 2</w:t>
      </w:r>
      <w:r w:rsidRPr="00E86BC4">
        <w:rPr>
          <w:i/>
          <w:color w:val="0F1115"/>
          <w:sz w:val="20"/>
          <w:lang w:val="en-US"/>
        </w:rPr>
        <w:br/>
      </w:r>
      <w:r w:rsidRPr="00E86BC4">
        <w:rPr>
          <w:i/>
          <w:color w:val="0F1115"/>
          <w:sz w:val="20"/>
          <w:lang w:val="en-US"/>
        </w:rPr>
        <w:br/>
        <w:t>Prevalence and Frequency of Bullying Victimization Among Middle School Students (Ages 11-15; N = 10,766)</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1954"/>
        <w:gridCol w:w="1754"/>
        <w:gridCol w:w="1807"/>
        <w:gridCol w:w="1753"/>
        <w:gridCol w:w="2086"/>
      </w:tblGrid>
      <w:tr w:rsidR="002B05E0" w14:paraId="44F44EC8" w14:textId="77777777" w:rsidTr="005B0994">
        <w:trPr>
          <w:trHeight w:val="1050"/>
        </w:trPr>
        <w:tc>
          <w:tcPr>
            <w:tcW w:w="1954" w:type="dxa"/>
            <w:tcBorders>
              <w:top w:val="nil"/>
              <w:left w:val="nil"/>
              <w:bottom w:val="single" w:sz="5" w:space="0" w:color="000000"/>
              <w:right w:val="nil"/>
            </w:tcBorders>
            <w:tcMar>
              <w:top w:w="160" w:type="dxa"/>
              <w:left w:w="0" w:type="dxa"/>
              <w:bottom w:w="160" w:type="dxa"/>
              <w:right w:w="240" w:type="dxa"/>
            </w:tcMar>
          </w:tcPr>
          <w:p w14:paraId="666C8105" w14:textId="77777777" w:rsidR="002B05E0" w:rsidRDefault="002B05E0" w:rsidP="005B0994">
            <w:pPr>
              <w:pStyle w:val="Heading3"/>
              <w:spacing w:before="180" w:after="180" w:line="396" w:lineRule="auto"/>
              <w:rPr>
                <w:b/>
                <w:i/>
                <w:color w:val="0F1115"/>
                <w:sz w:val="20"/>
              </w:rPr>
            </w:pPr>
            <w:r>
              <w:rPr>
                <w:i/>
                <w:color w:val="0F1115"/>
                <w:sz w:val="20"/>
              </w:rPr>
              <w:t>Bullying Type</w:t>
            </w:r>
          </w:p>
        </w:tc>
        <w:tc>
          <w:tcPr>
            <w:tcW w:w="1754" w:type="dxa"/>
            <w:tcBorders>
              <w:top w:val="nil"/>
              <w:left w:val="nil"/>
              <w:bottom w:val="single" w:sz="5" w:space="0" w:color="000000"/>
              <w:right w:val="nil"/>
            </w:tcBorders>
            <w:tcMar>
              <w:top w:w="160" w:type="dxa"/>
              <w:left w:w="240" w:type="dxa"/>
              <w:bottom w:w="160" w:type="dxa"/>
              <w:right w:w="240" w:type="dxa"/>
            </w:tcMar>
          </w:tcPr>
          <w:p w14:paraId="6B9E942D" w14:textId="77777777" w:rsidR="002B05E0" w:rsidRDefault="002B05E0" w:rsidP="005B0994">
            <w:pPr>
              <w:pStyle w:val="Heading3"/>
              <w:spacing w:before="180" w:after="180" w:line="396" w:lineRule="auto"/>
              <w:rPr>
                <w:b/>
                <w:i/>
                <w:color w:val="0F1115"/>
                <w:sz w:val="20"/>
              </w:rPr>
            </w:pPr>
            <w:r>
              <w:rPr>
                <w:i/>
                <w:color w:val="0F1115"/>
                <w:sz w:val="20"/>
              </w:rPr>
              <w:t>Mean (SD)</w:t>
            </w:r>
          </w:p>
        </w:tc>
        <w:tc>
          <w:tcPr>
            <w:tcW w:w="1807" w:type="dxa"/>
            <w:tcBorders>
              <w:top w:val="nil"/>
              <w:left w:val="nil"/>
              <w:bottom w:val="single" w:sz="5" w:space="0" w:color="000000"/>
              <w:right w:val="nil"/>
            </w:tcBorders>
            <w:tcMar>
              <w:top w:w="160" w:type="dxa"/>
              <w:left w:w="240" w:type="dxa"/>
              <w:bottom w:w="160" w:type="dxa"/>
              <w:right w:w="240" w:type="dxa"/>
            </w:tcMar>
          </w:tcPr>
          <w:p w14:paraId="3DA769C0" w14:textId="77777777" w:rsidR="002B05E0" w:rsidRDefault="002B05E0" w:rsidP="005B0994">
            <w:pPr>
              <w:pStyle w:val="Heading3"/>
              <w:spacing w:before="180" w:after="180" w:line="396" w:lineRule="auto"/>
              <w:rPr>
                <w:b/>
                <w:i/>
                <w:color w:val="0F1115"/>
                <w:sz w:val="20"/>
              </w:rPr>
            </w:pPr>
            <w:r>
              <w:rPr>
                <w:i/>
                <w:color w:val="0F1115"/>
                <w:sz w:val="20"/>
              </w:rPr>
              <w:t>Non-victimized</w:t>
            </w:r>
          </w:p>
          <w:p w14:paraId="5A90B7B3" w14:textId="77777777" w:rsidR="002B05E0" w:rsidRDefault="002B05E0" w:rsidP="005B0994">
            <w:pPr>
              <w:pStyle w:val="Heading3"/>
              <w:spacing w:before="180" w:after="180" w:line="396" w:lineRule="auto"/>
              <w:rPr>
                <w:b/>
                <w:i/>
                <w:color w:val="0F1115"/>
                <w:sz w:val="20"/>
              </w:rPr>
            </w:pPr>
            <w:r>
              <w:rPr>
                <w:i/>
                <w:color w:val="0F1115"/>
                <w:sz w:val="20"/>
              </w:rPr>
              <w:t>n (%)</w:t>
            </w:r>
          </w:p>
        </w:tc>
        <w:tc>
          <w:tcPr>
            <w:tcW w:w="1753" w:type="dxa"/>
            <w:tcBorders>
              <w:top w:val="nil"/>
              <w:left w:val="nil"/>
              <w:bottom w:val="single" w:sz="5" w:space="0" w:color="000000"/>
              <w:right w:val="nil"/>
            </w:tcBorders>
            <w:tcMar>
              <w:top w:w="160" w:type="dxa"/>
              <w:left w:w="240" w:type="dxa"/>
              <w:bottom w:w="160" w:type="dxa"/>
              <w:right w:w="240" w:type="dxa"/>
            </w:tcMar>
          </w:tcPr>
          <w:p w14:paraId="7CE43CC5" w14:textId="77777777" w:rsidR="002B05E0" w:rsidRDefault="002B05E0" w:rsidP="005B0994">
            <w:pPr>
              <w:pStyle w:val="Heading3"/>
              <w:spacing w:before="180" w:after="180" w:line="396" w:lineRule="auto"/>
              <w:rPr>
                <w:b/>
                <w:i/>
                <w:color w:val="0F1115"/>
                <w:sz w:val="20"/>
              </w:rPr>
            </w:pPr>
            <w:r>
              <w:rPr>
                <w:i/>
                <w:color w:val="0F1115"/>
                <w:sz w:val="20"/>
              </w:rPr>
              <w:t>Victimized</w:t>
            </w:r>
          </w:p>
          <w:p w14:paraId="5AFC3D3D" w14:textId="77777777" w:rsidR="002B05E0" w:rsidRDefault="002B05E0" w:rsidP="005B0994">
            <w:pPr>
              <w:pStyle w:val="Heading3"/>
              <w:spacing w:before="180" w:after="180" w:line="396" w:lineRule="auto"/>
              <w:rPr>
                <w:b/>
                <w:i/>
                <w:color w:val="0F1115"/>
                <w:sz w:val="20"/>
              </w:rPr>
            </w:pPr>
            <w:r>
              <w:rPr>
                <w:i/>
                <w:color w:val="0F1115"/>
                <w:sz w:val="20"/>
              </w:rPr>
              <w:t>n (%)</w:t>
            </w:r>
          </w:p>
        </w:tc>
        <w:tc>
          <w:tcPr>
            <w:tcW w:w="2086" w:type="dxa"/>
            <w:tcBorders>
              <w:top w:val="nil"/>
              <w:left w:val="nil"/>
              <w:bottom w:val="single" w:sz="5" w:space="0" w:color="000000"/>
              <w:right w:val="nil"/>
            </w:tcBorders>
            <w:tcMar>
              <w:top w:w="160" w:type="dxa"/>
              <w:left w:w="240" w:type="dxa"/>
              <w:bottom w:w="160" w:type="dxa"/>
              <w:right w:w="240" w:type="dxa"/>
            </w:tcMar>
          </w:tcPr>
          <w:p w14:paraId="19C627C0" w14:textId="77777777" w:rsidR="002B05E0" w:rsidRDefault="002B05E0" w:rsidP="005B0994">
            <w:pPr>
              <w:pStyle w:val="Heading3"/>
              <w:spacing w:before="180" w:after="180" w:line="396" w:lineRule="auto"/>
              <w:rPr>
                <w:b/>
                <w:i/>
                <w:color w:val="0F1115"/>
                <w:sz w:val="20"/>
              </w:rPr>
            </w:pPr>
            <w:r>
              <w:rPr>
                <w:i/>
                <w:color w:val="0F1115"/>
                <w:sz w:val="20"/>
              </w:rPr>
              <w:t>Mean Frequency</w:t>
            </w:r>
          </w:p>
          <w:p w14:paraId="61EFBB60" w14:textId="77777777" w:rsidR="002B05E0" w:rsidRDefault="002B05E0" w:rsidP="005B0994">
            <w:pPr>
              <w:pStyle w:val="Heading3"/>
              <w:spacing w:before="180" w:after="180" w:line="396" w:lineRule="auto"/>
              <w:rPr>
                <w:b/>
                <w:i/>
                <w:color w:val="0F1115"/>
                <w:sz w:val="20"/>
              </w:rPr>
            </w:pPr>
            <w:r>
              <w:rPr>
                <w:i/>
                <w:color w:val="0F1115"/>
                <w:sz w:val="20"/>
              </w:rPr>
              <w:t>Among Victimized</w:t>
            </w:r>
          </w:p>
        </w:tc>
      </w:tr>
      <w:tr w:rsidR="002B05E0" w14:paraId="5A7E959B" w14:textId="77777777" w:rsidTr="005B0994">
        <w:trPr>
          <w:trHeight w:val="690"/>
        </w:trPr>
        <w:tc>
          <w:tcPr>
            <w:tcW w:w="1954" w:type="dxa"/>
            <w:tcBorders>
              <w:top w:val="nil"/>
              <w:left w:val="nil"/>
              <w:bottom w:val="single" w:sz="5" w:space="0" w:color="000000"/>
              <w:right w:val="nil"/>
            </w:tcBorders>
            <w:tcMar>
              <w:top w:w="160" w:type="dxa"/>
              <w:left w:w="0" w:type="dxa"/>
              <w:bottom w:w="160" w:type="dxa"/>
              <w:right w:w="240" w:type="dxa"/>
            </w:tcMar>
          </w:tcPr>
          <w:p w14:paraId="6B7F20A0" w14:textId="77777777" w:rsidR="002B05E0" w:rsidRDefault="002B05E0" w:rsidP="005B0994">
            <w:pPr>
              <w:pStyle w:val="Heading3"/>
              <w:spacing w:before="180" w:after="180" w:line="396" w:lineRule="auto"/>
              <w:jc w:val="both"/>
              <w:rPr>
                <w:b/>
                <w:i/>
                <w:color w:val="0F1115"/>
                <w:sz w:val="20"/>
              </w:rPr>
            </w:pPr>
            <w:r>
              <w:rPr>
                <w:i/>
                <w:color w:val="0F1115"/>
                <w:sz w:val="20"/>
              </w:rPr>
              <w:t>Social</w:t>
            </w:r>
          </w:p>
        </w:tc>
        <w:tc>
          <w:tcPr>
            <w:tcW w:w="1754" w:type="dxa"/>
            <w:tcBorders>
              <w:top w:val="nil"/>
              <w:left w:val="nil"/>
              <w:bottom w:val="single" w:sz="5" w:space="0" w:color="000000"/>
              <w:right w:val="nil"/>
            </w:tcBorders>
            <w:tcMar>
              <w:top w:w="160" w:type="dxa"/>
              <w:left w:w="240" w:type="dxa"/>
              <w:bottom w:w="160" w:type="dxa"/>
              <w:right w:w="240" w:type="dxa"/>
            </w:tcMar>
          </w:tcPr>
          <w:p w14:paraId="07138F64" w14:textId="77777777" w:rsidR="002B05E0" w:rsidRDefault="002B05E0" w:rsidP="005B0994">
            <w:pPr>
              <w:pStyle w:val="Heading3"/>
              <w:spacing w:before="180" w:after="180" w:line="396" w:lineRule="auto"/>
              <w:jc w:val="both"/>
              <w:rPr>
                <w:b/>
                <w:i/>
                <w:color w:val="0F1115"/>
                <w:sz w:val="20"/>
              </w:rPr>
            </w:pPr>
            <w:r>
              <w:rPr>
                <w:i/>
                <w:color w:val="0F1115"/>
                <w:sz w:val="20"/>
              </w:rPr>
              <w:t>0.78 (1.17)</w:t>
            </w:r>
          </w:p>
        </w:tc>
        <w:tc>
          <w:tcPr>
            <w:tcW w:w="1807" w:type="dxa"/>
            <w:tcBorders>
              <w:top w:val="nil"/>
              <w:left w:val="nil"/>
              <w:bottom w:val="single" w:sz="5" w:space="0" w:color="000000"/>
              <w:right w:val="nil"/>
            </w:tcBorders>
            <w:tcMar>
              <w:top w:w="160" w:type="dxa"/>
              <w:left w:w="240" w:type="dxa"/>
              <w:bottom w:w="160" w:type="dxa"/>
              <w:right w:w="240" w:type="dxa"/>
            </w:tcMar>
          </w:tcPr>
          <w:p w14:paraId="1470AD26" w14:textId="77777777" w:rsidR="002B05E0" w:rsidRDefault="002B05E0" w:rsidP="005B0994">
            <w:pPr>
              <w:pStyle w:val="Heading3"/>
              <w:spacing w:before="180" w:after="180" w:line="396" w:lineRule="auto"/>
              <w:jc w:val="both"/>
              <w:rPr>
                <w:b/>
                <w:i/>
                <w:color w:val="0F1115"/>
                <w:sz w:val="20"/>
              </w:rPr>
            </w:pPr>
            <w:r>
              <w:rPr>
                <w:i/>
                <w:color w:val="0F1115"/>
                <w:sz w:val="20"/>
              </w:rPr>
              <w:t>6,486 (60.25%)</w:t>
            </w:r>
          </w:p>
        </w:tc>
        <w:tc>
          <w:tcPr>
            <w:tcW w:w="1753" w:type="dxa"/>
            <w:tcBorders>
              <w:top w:val="nil"/>
              <w:left w:val="nil"/>
              <w:bottom w:val="single" w:sz="5" w:space="0" w:color="000000"/>
              <w:right w:val="nil"/>
            </w:tcBorders>
            <w:tcMar>
              <w:top w:w="160" w:type="dxa"/>
              <w:left w:w="240" w:type="dxa"/>
              <w:bottom w:w="160" w:type="dxa"/>
              <w:right w:w="240" w:type="dxa"/>
            </w:tcMar>
          </w:tcPr>
          <w:p w14:paraId="41AF38A9" w14:textId="77777777" w:rsidR="002B05E0" w:rsidRDefault="002B05E0" w:rsidP="005B0994">
            <w:pPr>
              <w:pStyle w:val="Heading3"/>
              <w:spacing w:before="180" w:after="180" w:line="396" w:lineRule="auto"/>
              <w:jc w:val="both"/>
              <w:rPr>
                <w:b/>
                <w:i/>
                <w:color w:val="0F1115"/>
                <w:sz w:val="20"/>
              </w:rPr>
            </w:pPr>
            <w:r>
              <w:rPr>
                <w:i/>
                <w:color w:val="0F1115"/>
                <w:sz w:val="20"/>
              </w:rPr>
              <w:t>4,280 (39.75%)</w:t>
            </w:r>
          </w:p>
        </w:tc>
        <w:tc>
          <w:tcPr>
            <w:tcW w:w="2086" w:type="dxa"/>
            <w:tcBorders>
              <w:top w:val="nil"/>
              <w:left w:val="nil"/>
              <w:bottom w:val="single" w:sz="5" w:space="0" w:color="000000"/>
              <w:right w:val="nil"/>
            </w:tcBorders>
            <w:tcMar>
              <w:top w:w="160" w:type="dxa"/>
              <w:left w:w="240" w:type="dxa"/>
              <w:bottom w:w="160" w:type="dxa"/>
              <w:right w:w="0" w:type="dxa"/>
            </w:tcMar>
          </w:tcPr>
          <w:p w14:paraId="7A1D8B86" w14:textId="77777777" w:rsidR="002B05E0" w:rsidRDefault="002B05E0" w:rsidP="005B0994">
            <w:pPr>
              <w:pStyle w:val="Heading3"/>
              <w:spacing w:before="180" w:after="180" w:line="396" w:lineRule="auto"/>
              <w:jc w:val="both"/>
              <w:rPr>
                <w:b/>
                <w:i/>
                <w:color w:val="0F1115"/>
                <w:sz w:val="20"/>
              </w:rPr>
            </w:pPr>
            <w:r>
              <w:rPr>
                <w:i/>
                <w:color w:val="0F1115"/>
                <w:sz w:val="20"/>
              </w:rPr>
              <w:t>1.59</w:t>
            </w:r>
          </w:p>
        </w:tc>
      </w:tr>
      <w:tr w:rsidR="002B05E0" w14:paraId="54B14C92" w14:textId="77777777" w:rsidTr="005B0994">
        <w:trPr>
          <w:trHeight w:val="690"/>
        </w:trPr>
        <w:tc>
          <w:tcPr>
            <w:tcW w:w="1954" w:type="dxa"/>
            <w:tcBorders>
              <w:top w:val="nil"/>
              <w:left w:val="nil"/>
              <w:bottom w:val="single" w:sz="5" w:space="0" w:color="000000"/>
              <w:right w:val="nil"/>
            </w:tcBorders>
            <w:tcMar>
              <w:top w:w="160" w:type="dxa"/>
              <w:left w:w="0" w:type="dxa"/>
              <w:bottom w:w="160" w:type="dxa"/>
              <w:right w:w="240" w:type="dxa"/>
            </w:tcMar>
          </w:tcPr>
          <w:p w14:paraId="453E33F3" w14:textId="77777777" w:rsidR="002B05E0" w:rsidRDefault="002B05E0" w:rsidP="005B0994">
            <w:pPr>
              <w:pStyle w:val="Heading3"/>
              <w:spacing w:before="180" w:after="180" w:line="396" w:lineRule="auto"/>
              <w:jc w:val="both"/>
              <w:rPr>
                <w:b/>
                <w:i/>
                <w:color w:val="0F1115"/>
                <w:sz w:val="20"/>
              </w:rPr>
            </w:pPr>
            <w:r>
              <w:rPr>
                <w:i/>
                <w:color w:val="0F1115"/>
                <w:sz w:val="20"/>
              </w:rPr>
              <w:t>Physical</w:t>
            </w:r>
          </w:p>
        </w:tc>
        <w:tc>
          <w:tcPr>
            <w:tcW w:w="1754" w:type="dxa"/>
            <w:tcBorders>
              <w:top w:val="nil"/>
              <w:left w:val="nil"/>
              <w:bottom w:val="single" w:sz="5" w:space="0" w:color="000000"/>
              <w:right w:val="nil"/>
            </w:tcBorders>
            <w:tcMar>
              <w:top w:w="160" w:type="dxa"/>
              <w:left w:w="240" w:type="dxa"/>
              <w:bottom w:w="160" w:type="dxa"/>
              <w:right w:w="240" w:type="dxa"/>
            </w:tcMar>
          </w:tcPr>
          <w:p w14:paraId="7E5BC68B" w14:textId="77777777" w:rsidR="002B05E0" w:rsidRDefault="002B05E0" w:rsidP="005B0994">
            <w:pPr>
              <w:pStyle w:val="Heading3"/>
              <w:spacing w:before="180" w:after="180" w:line="396" w:lineRule="auto"/>
              <w:jc w:val="both"/>
              <w:rPr>
                <w:b/>
                <w:i/>
                <w:color w:val="0F1115"/>
                <w:sz w:val="20"/>
              </w:rPr>
            </w:pPr>
            <w:r>
              <w:rPr>
                <w:i/>
                <w:color w:val="0F1115"/>
                <w:sz w:val="20"/>
              </w:rPr>
              <w:t>0.85 (1.19)</w:t>
            </w:r>
          </w:p>
        </w:tc>
        <w:tc>
          <w:tcPr>
            <w:tcW w:w="1807" w:type="dxa"/>
            <w:tcBorders>
              <w:top w:val="nil"/>
              <w:left w:val="nil"/>
              <w:bottom w:val="single" w:sz="5" w:space="0" w:color="000000"/>
              <w:right w:val="nil"/>
            </w:tcBorders>
            <w:tcMar>
              <w:top w:w="160" w:type="dxa"/>
              <w:left w:w="240" w:type="dxa"/>
              <w:bottom w:w="160" w:type="dxa"/>
              <w:right w:w="240" w:type="dxa"/>
            </w:tcMar>
          </w:tcPr>
          <w:p w14:paraId="21DCB776" w14:textId="77777777" w:rsidR="002B05E0" w:rsidRDefault="002B05E0" w:rsidP="005B0994">
            <w:pPr>
              <w:pStyle w:val="Heading3"/>
              <w:spacing w:before="180" w:after="180" w:line="396" w:lineRule="auto"/>
              <w:jc w:val="both"/>
              <w:rPr>
                <w:b/>
                <w:i/>
                <w:color w:val="0F1115"/>
                <w:sz w:val="20"/>
              </w:rPr>
            </w:pPr>
            <w:r>
              <w:rPr>
                <w:i/>
                <w:color w:val="0F1115"/>
                <w:sz w:val="20"/>
              </w:rPr>
              <w:t>6,084 (56.51%)</w:t>
            </w:r>
          </w:p>
        </w:tc>
        <w:tc>
          <w:tcPr>
            <w:tcW w:w="1753" w:type="dxa"/>
            <w:tcBorders>
              <w:top w:val="nil"/>
              <w:left w:val="nil"/>
              <w:bottom w:val="single" w:sz="5" w:space="0" w:color="000000"/>
              <w:right w:val="nil"/>
            </w:tcBorders>
            <w:tcMar>
              <w:top w:w="160" w:type="dxa"/>
              <w:left w:w="240" w:type="dxa"/>
              <w:bottom w:w="160" w:type="dxa"/>
              <w:right w:w="240" w:type="dxa"/>
            </w:tcMar>
          </w:tcPr>
          <w:p w14:paraId="2B76F22D" w14:textId="77777777" w:rsidR="002B05E0" w:rsidRDefault="002B05E0" w:rsidP="005B0994">
            <w:pPr>
              <w:pStyle w:val="Heading3"/>
              <w:spacing w:before="180" w:after="180" w:line="396" w:lineRule="auto"/>
              <w:jc w:val="both"/>
              <w:rPr>
                <w:b/>
                <w:i/>
                <w:color w:val="0F1115"/>
                <w:sz w:val="20"/>
              </w:rPr>
            </w:pPr>
            <w:r>
              <w:rPr>
                <w:i/>
                <w:color w:val="0F1115"/>
                <w:sz w:val="20"/>
              </w:rPr>
              <w:t>4,682 (43.49%)</w:t>
            </w:r>
          </w:p>
        </w:tc>
        <w:tc>
          <w:tcPr>
            <w:tcW w:w="2086" w:type="dxa"/>
            <w:tcBorders>
              <w:top w:val="nil"/>
              <w:left w:val="nil"/>
              <w:bottom w:val="single" w:sz="5" w:space="0" w:color="000000"/>
              <w:right w:val="nil"/>
            </w:tcBorders>
            <w:tcMar>
              <w:top w:w="160" w:type="dxa"/>
              <w:left w:w="240" w:type="dxa"/>
              <w:bottom w:w="160" w:type="dxa"/>
              <w:right w:w="0" w:type="dxa"/>
            </w:tcMar>
          </w:tcPr>
          <w:p w14:paraId="0D3566B1" w14:textId="77777777" w:rsidR="002B05E0" w:rsidRDefault="002B05E0" w:rsidP="005B0994">
            <w:pPr>
              <w:pStyle w:val="Heading3"/>
              <w:spacing w:before="180" w:after="180" w:line="396" w:lineRule="auto"/>
              <w:jc w:val="both"/>
              <w:rPr>
                <w:b/>
                <w:i/>
                <w:color w:val="0F1115"/>
                <w:sz w:val="20"/>
              </w:rPr>
            </w:pPr>
            <w:r>
              <w:rPr>
                <w:i/>
                <w:color w:val="0F1115"/>
                <w:sz w:val="20"/>
              </w:rPr>
              <w:t>1.60</w:t>
            </w:r>
          </w:p>
        </w:tc>
      </w:tr>
      <w:tr w:rsidR="002B05E0" w14:paraId="1F07C491" w14:textId="77777777" w:rsidTr="005B0994">
        <w:trPr>
          <w:trHeight w:val="690"/>
        </w:trPr>
        <w:tc>
          <w:tcPr>
            <w:tcW w:w="1954" w:type="dxa"/>
            <w:tcBorders>
              <w:top w:val="nil"/>
              <w:left w:val="nil"/>
              <w:bottom w:val="single" w:sz="5" w:space="0" w:color="000000"/>
              <w:right w:val="nil"/>
            </w:tcBorders>
            <w:tcMar>
              <w:top w:w="160" w:type="dxa"/>
              <w:left w:w="0" w:type="dxa"/>
              <w:bottom w:w="160" w:type="dxa"/>
              <w:right w:w="240" w:type="dxa"/>
            </w:tcMar>
          </w:tcPr>
          <w:p w14:paraId="30D366B0" w14:textId="77777777" w:rsidR="002B05E0" w:rsidRDefault="002B05E0" w:rsidP="005B0994">
            <w:pPr>
              <w:pStyle w:val="Heading3"/>
              <w:spacing w:before="180" w:after="180" w:line="396" w:lineRule="auto"/>
              <w:jc w:val="both"/>
              <w:rPr>
                <w:b/>
                <w:i/>
                <w:color w:val="0F1115"/>
                <w:sz w:val="20"/>
              </w:rPr>
            </w:pPr>
            <w:r>
              <w:rPr>
                <w:i/>
                <w:color w:val="0F1115"/>
                <w:sz w:val="20"/>
              </w:rPr>
              <w:t>Verbal</w:t>
            </w:r>
          </w:p>
        </w:tc>
        <w:tc>
          <w:tcPr>
            <w:tcW w:w="1754" w:type="dxa"/>
            <w:tcBorders>
              <w:top w:val="nil"/>
              <w:left w:val="nil"/>
              <w:bottom w:val="single" w:sz="5" w:space="0" w:color="000000"/>
              <w:right w:val="nil"/>
            </w:tcBorders>
            <w:tcMar>
              <w:top w:w="160" w:type="dxa"/>
              <w:left w:w="240" w:type="dxa"/>
              <w:bottom w:w="160" w:type="dxa"/>
              <w:right w:w="240" w:type="dxa"/>
            </w:tcMar>
          </w:tcPr>
          <w:p w14:paraId="39174C20" w14:textId="77777777" w:rsidR="002B05E0" w:rsidRDefault="002B05E0" w:rsidP="005B0994">
            <w:pPr>
              <w:pStyle w:val="Heading3"/>
              <w:spacing w:before="180" w:after="180" w:line="396" w:lineRule="auto"/>
              <w:jc w:val="both"/>
              <w:rPr>
                <w:b/>
                <w:i/>
                <w:color w:val="0F1115"/>
                <w:sz w:val="20"/>
              </w:rPr>
            </w:pPr>
            <w:r>
              <w:rPr>
                <w:i/>
                <w:color w:val="0F1115"/>
                <w:sz w:val="20"/>
              </w:rPr>
              <w:t>0.83 (1.20)</w:t>
            </w:r>
          </w:p>
        </w:tc>
        <w:tc>
          <w:tcPr>
            <w:tcW w:w="1807" w:type="dxa"/>
            <w:tcBorders>
              <w:top w:val="nil"/>
              <w:left w:val="nil"/>
              <w:bottom w:val="single" w:sz="5" w:space="0" w:color="000000"/>
              <w:right w:val="nil"/>
            </w:tcBorders>
            <w:tcMar>
              <w:top w:w="160" w:type="dxa"/>
              <w:left w:w="240" w:type="dxa"/>
              <w:bottom w:w="160" w:type="dxa"/>
              <w:right w:w="240" w:type="dxa"/>
            </w:tcMar>
          </w:tcPr>
          <w:p w14:paraId="4DD02777" w14:textId="77777777" w:rsidR="002B05E0" w:rsidRDefault="002B05E0" w:rsidP="005B0994">
            <w:pPr>
              <w:pStyle w:val="Heading3"/>
              <w:spacing w:before="180" w:after="180" w:line="396" w:lineRule="auto"/>
              <w:jc w:val="both"/>
              <w:rPr>
                <w:b/>
                <w:i/>
                <w:color w:val="0F1115"/>
                <w:sz w:val="20"/>
              </w:rPr>
            </w:pPr>
            <w:r>
              <w:rPr>
                <w:i/>
                <w:color w:val="0F1115"/>
                <w:sz w:val="20"/>
              </w:rPr>
              <w:t>6,194 (57.53%)</w:t>
            </w:r>
          </w:p>
        </w:tc>
        <w:tc>
          <w:tcPr>
            <w:tcW w:w="1753" w:type="dxa"/>
            <w:tcBorders>
              <w:top w:val="nil"/>
              <w:left w:val="nil"/>
              <w:bottom w:val="single" w:sz="5" w:space="0" w:color="000000"/>
              <w:right w:val="nil"/>
            </w:tcBorders>
            <w:tcMar>
              <w:top w:w="160" w:type="dxa"/>
              <w:left w:w="240" w:type="dxa"/>
              <w:bottom w:w="160" w:type="dxa"/>
              <w:right w:w="240" w:type="dxa"/>
            </w:tcMar>
          </w:tcPr>
          <w:p w14:paraId="4586D0C7" w14:textId="77777777" w:rsidR="002B05E0" w:rsidRDefault="002B05E0" w:rsidP="005B0994">
            <w:pPr>
              <w:pStyle w:val="Heading3"/>
              <w:spacing w:before="180" w:after="180" w:line="396" w:lineRule="auto"/>
              <w:jc w:val="both"/>
              <w:rPr>
                <w:b/>
                <w:i/>
                <w:color w:val="0F1115"/>
                <w:sz w:val="20"/>
              </w:rPr>
            </w:pPr>
            <w:r>
              <w:rPr>
                <w:i/>
                <w:color w:val="0F1115"/>
                <w:sz w:val="20"/>
              </w:rPr>
              <w:t>4,572 (42.47%)</w:t>
            </w:r>
          </w:p>
        </w:tc>
        <w:tc>
          <w:tcPr>
            <w:tcW w:w="2086" w:type="dxa"/>
            <w:tcBorders>
              <w:top w:val="nil"/>
              <w:left w:val="nil"/>
              <w:bottom w:val="single" w:sz="5" w:space="0" w:color="000000"/>
              <w:right w:val="nil"/>
            </w:tcBorders>
            <w:tcMar>
              <w:top w:w="160" w:type="dxa"/>
              <w:left w:w="240" w:type="dxa"/>
              <w:bottom w:w="160" w:type="dxa"/>
              <w:right w:w="0" w:type="dxa"/>
            </w:tcMar>
          </w:tcPr>
          <w:p w14:paraId="6004463F" w14:textId="77777777" w:rsidR="002B05E0" w:rsidRDefault="002B05E0" w:rsidP="005B0994">
            <w:pPr>
              <w:pStyle w:val="Heading3"/>
              <w:spacing w:before="180" w:after="180" w:line="396" w:lineRule="auto"/>
              <w:jc w:val="both"/>
              <w:rPr>
                <w:b/>
                <w:i/>
                <w:color w:val="0F1115"/>
                <w:sz w:val="20"/>
              </w:rPr>
            </w:pPr>
            <w:r>
              <w:rPr>
                <w:i/>
                <w:color w:val="0F1115"/>
                <w:sz w:val="20"/>
              </w:rPr>
              <w:t>1.57</w:t>
            </w:r>
          </w:p>
        </w:tc>
      </w:tr>
      <w:tr w:rsidR="002B05E0" w14:paraId="211EAAB0" w14:textId="77777777" w:rsidTr="005B0994">
        <w:trPr>
          <w:trHeight w:val="690"/>
        </w:trPr>
        <w:tc>
          <w:tcPr>
            <w:tcW w:w="1954" w:type="dxa"/>
            <w:tcBorders>
              <w:top w:val="nil"/>
              <w:left w:val="nil"/>
              <w:bottom w:val="single" w:sz="5" w:space="0" w:color="000000"/>
              <w:right w:val="nil"/>
            </w:tcBorders>
            <w:tcMar>
              <w:top w:w="160" w:type="dxa"/>
              <w:left w:w="0" w:type="dxa"/>
              <w:bottom w:w="160" w:type="dxa"/>
              <w:right w:w="240" w:type="dxa"/>
            </w:tcMar>
          </w:tcPr>
          <w:p w14:paraId="080CB4D0" w14:textId="77777777" w:rsidR="002B05E0" w:rsidRDefault="002B05E0" w:rsidP="005B0994">
            <w:pPr>
              <w:pStyle w:val="Heading3"/>
              <w:spacing w:before="180" w:after="180" w:line="396" w:lineRule="auto"/>
              <w:jc w:val="both"/>
              <w:rPr>
                <w:b/>
                <w:i/>
                <w:color w:val="0F1115"/>
                <w:sz w:val="20"/>
              </w:rPr>
            </w:pPr>
            <w:r>
              <w:rPr>
                <w:i/>
                <w:color w:val="0F1115"/>
                <w:sz w:val="20"/>
              </w:rPr>
              <w:t>Cyber</w:t>
            </w:r>
          </w:p>
        </w:tc>
        <w:tc>
          <w:tcPr>
            <w:tcW w:w="1754" w:type="dxa"/>
            <w:tcBorders>
              <w:top w:val="nil"/>
              <w:left w:val="nil"/>
              <w:bottom w:val="single" w:sz="5" w:space="0" w:color="000000"/>
              <w:right w:val="nil"/>
            </w:tcBorders>
            <w:tcMar>
              <w:top w:w="160" w:type="dxa"/>
              <w:left w:w="240" w:type="dxa"/>
              <w:bottom w:w="160" w:type="dxa"/>
              <w:right w:w="240" w:type="dxa"/>
            </w:tcMar>
          </w:tcPr>
          <w:p w14:paraId="6A8143A3" w14:textId="77777777" w:rsidR="002B05E0" w:rsidRDefault="002B05E0" w:rsidP="005B0994">
            <w:pPr>
              <w:pStyle w:val="Heading3"/>
              <w:spacing w:before="180" w:after="180" w:line="396" w:lineRule="auto"/>
              <w:jc w:val="both"/>
              <w:rPr>
                <w:b/>
                <w:i/>
                <w:color w:val="0F1115"/>
                <w:sz w:val="20"/>
              </w:rPr>
            </w:pPr>
            <w:r>
              <w:rPr>
                <w:i/>
                <w:color w:val="0F1115"/>
                <w:sz w:val="20"/>
              </w:rPr>
              <w:t>0.47 (0.97)</w:t>
            </w:r>
          </w:p>
        </w:tc>
        <w:tc>
          <w:tcPr>
            <w:tcW w:w="1807" w:type="dxa"/>
            <w:tcBorders>
              <w:top w:val="nil"/>
              <w:left w:val="nil"/>
              <w:bottom w:val="single" w:sz="5" w:space="0" w:color="000000"/>
              <w:right w:val="nil"/>
            </w:tcBorders>
            <w:tcMar>
              <w:top w:w="160" w:type="dxa"/>
              <w:left w:w="240" w:type="dxa"/>
              <w:bottom w:w="160" w:type="dxa"/>
              <w:right w:w="240" w:type="dxa"/>
            </w:tcMar>
          </w:tcPr>
          <w:p w14:paraId="7C0CA744" w14:textId="77777777" w:rsidR="002B05E0" w:rsidRDefault="002B05E0" w:rsidP="005B0994">
            <w:pPr>
              <w:pStyle w:val="Heading3"/>
              <w:spacing w:before="180" w:after="180" w:line="396" w:lineRule="auto"/>
              <w:jc w:val="both"/>
              <w:rPr>
                <w:b/>
                <w:i/>
                <w:color w:val="0F1115"/>
                <w:sz w:val="20"/>
              </w:rPr>
            </w:pPr>
            <w:r>
              <w:rPr>
                <w:i/>
                <w:color w:val="0F1115"/>
                <w:sz w:val="20"/>
              </w:rPr>
              <w:t>8,146 (75.66%)</w:t>
            </w:r>
          </w:p>
        </w:tc>
        <w:tc>
          <w:tcPr>
            <w:tcW w:w="1753" w:type="dxa"/>
            <w:tcBorders>
              <w:top w:val="nil"/>
              <w:left w:val="nil"/>
              <w:bottom w:val="single" w:sz="5" w:space="0" w:color="000000"/>
              <w:right w:val="nil"/>
            </w:tcBorders>
            <w:tcMar>
              <w:top w:w="160" w:type="dxa"/>
              <w:left w:w="240" w:type="dxa"/>
              <w:bottom w:w="160" w:type="dxa"/>
              <w:right w:w="240" w:type="dxa"/>
            </w:tcMar>
          </w:tcPr>
          <w:p w14:paraId="0C79E0DB" w14:textId="77777777" w:rsidR="002B05E0" w:rsidRDefault="002B05E0" w:rsidP="005B0994">
            <w:pPr>
              <w:pStyle w:val="Heading3"/>
              <w:spacing w:before="180" w:after="180" w:line="396" w:lineRule="auto"/>
              <w:jc w:val="both"/>
              <w:rPr>
                <w:b/>
                <w:i/>
                <w:color w:val="0F1115"/>
                <w:sz w:val="20"/>
              </w:rPr>
            </w:pPr>
            <w:r>
              <w:rPr>
                <w:i/>
                <w:color w:val="0F1115"/>
                <w:sz w:val="20"/>
              </w:rPr>
              <w:t>2,620 (24.34%)</w:t>
            </w:r>
          </w:p>
        </w:tc>
        <w:tc>
          <w:tcPr>
            <w:tcW w:w="2086" w:type="dxa"/>
            <w:tcBorders>
              <w:top w:val="nil"/>
              <w:left w:val="nil"/>
              <w:bottom w:val="single" w:sz="5" w:space="0" w:color="000000"/>
              <w:right w:val="nil"/>
            </w:tcBorders>
            <w:tcMar>
              <w:top w:w="160" w:type="dxa"/>
              <w:left w:w="240" w:type="dxa"/>
              <w:bottom w:w="160" w:type="dxa"/>
              <w:right w:w="0" w:type="dxa"/>
            </w:tcMar>
          </w:tcPr>
          <w:p w14:paraId="3AB3DC7E" w14:textId="77777777" w:rsidR="002B05E0" w:rsidRDefault="002B05E0" w:rsidP="005B0994">
            <w:pPr>
              <w:pStyle w:val="Heading3"/>
              <w:spacing w:before="180" w:after="180" w:line="396" w:lineRule="auto"/>
              <w:jc w:val="both"/>
              <w:rPr>
                <w:b/>
                <w:i/>
                <w:color w:val="0F1115"/>
                <w:sz w:val="20"/>
              </w:rPr>
            </w:pPr>
            <w:r>
              <w:rPr>
                <w:i/>
                <w:color w:val="0F1115"/>
                <w:sz w:val="20"/>
              </w:rPr>
              <w:t>1.48</w:t>
            </w:r>
          </w:p>
        </w:tc>
      </w:tr>
      <w:tr w:rsidR="002B05E0" w14:paraId="36E4BCE9" w14:textId="77777777" w:rsidTr="005B0994">
        <w:trPr>
          <w:trHeight w:val="690"/>
        </w:trPr>
        <w:tc>
          <w:tcPr>
            <w:tcW w:w="1954" w:type="dxa"/>
            <w:tcBorders>
              <w:top w:val="nil"/>
              <w:left w:val="nil"/>
              <w:bottom w:val="single" w:sz="5" w:space="0" w:color="000000"/>
              <w:right w:val="nil"/>
            </w:tcBorders>
            <w:tcMar>
              <w:top w:w="160" w:type="dxa"/>
              <w:left w:w="0" w:type="dxa"/>
              <w:bottom w:w="160" w:type="dxa"/>
              <w:right w:w="240" w:type="dxa"/>
            </w:tcMar>
          </w:tcPr>
          <w:p w14:paraId="3086DE68" w14:textId="77777777" w:rsidR="002B05E0" w:rsidRDefault="002B05E0" w:rsidP="005B0994">
            <w:pPr>
              <w:pStyle w:val="Heading3"/>
              <w:spacing w:before="180" w:after="180" w:line="396" w:lineRule="auto"/>
              <w:jc w:val="both"/>
              <w:rPr>
                <w:b/>
                <w:i/>
                <w:color w:val="0F1115"/>
                <w:sz w:val="20"/>
              </w:rPr>
            </w:pPr>
            <w:r>
              <w:rPr>
                <w:i/>
                <w:color w:val="0F1115"/>
                <w:sz w:val="20"/>
              </w:rPr>
              <w:t>General (sum score)</w:t>
            </w:r>
          </w:p>
        </w:tc>
        <w:tc>
          <w:tcPr>
            <w:tcW w:w="1754" w:type="dxa"/>
            <w:tcBorders>
              <w:top w:val="nil"/>
              <w:left w:val="nil"/>
              <w:bottom w:val="single" w:sz="5" w:space="0" w:color="000000"/>
              <w:right w:val="nil"/>
            </w:tcBorders>
            <w:tcMar>
              <w:top w:w="160" w:type="dxa"/>
              <w:left w:w="240" w:type="dxa"/>
              <w:bottom w:w="160" w:type="dxa"/>
              <w:right w:w="240" w:type="dxa"/>
            </w:tcMar>
          </w:tcPr>
          <w:p w14:paraId="410F05A9" w14:textId="77777777" w:rsidR="002B05E0" w:rsidRDefault="002B05E0" w:rsidP="005B0994">
            <w:pPr>
              <w:pStyle w:val="Heading3"/>
              <w:spacing w:before="180" w:after="180" w:line="396" w:lineRule="auto"/>
              <w:jc w:val="both"/>
              <w:rPr>
                <w:b/>
                <w:i/>
                <w:color w:val="0F1115"/>
                <w:sz w:val="20"/>
              </w:rPr>
            </w:pPr>
            <w:r>
              <w:rPr>
                <w:i/>
                <w:color w:val="0F1115"/>
                <w:sz w:val="20"/>
              </w:rPr>
              <w:t>2.94 (3.79)</w:t>
            </w:r>
          </w:p>
        </w:tc>
        <w:tc>
          <w:tcPr>
            <w:tcW w:w="1807" w:type="dxa"/>
            <w:tcBorders>
              <w:top w:val="nil"/>
              <w:left w:val="nil"/>
              <w:bottom w:val="single" w:sz="5" w:space="0" w:color="000000"/>
              <w:right w:val="nil"/>
            </w:tcBorders>
            <w:tcMar>
              <w:top w:w="160" w:type="dxa"/>
              <w:left w:w="240" w:type="dxa"/>
              <w:bottom w:w="160" w:type="dxa"/>
              <w:right w:w="240" w:type="dxa"/>
            </w:tcMar>
          </w:tcPr>
          <w:p w14:paraId="785901FA" w14:textId="77777777" w:rsidR="002B05E0" w:rsidRDefault="002B05E0" w:rsidP="005B0994">
            <w:pPr>
              <w:pStyle w:val="Heading3"/>
              <w:spacing w:before="180" w:after="180" w:line="396" w:lineRule="auto"/>
              <w:jc w:val="both"/>
              <w:rPr>
                <w:b/>
                <w:i/>
                <w:color w:val="0F1115"/>
                <w:sz w:val="20"/>
              </w:rPr>
            </w:pPr>
            <w:r>
              <w:rPr>
                <w:i/>
                <w:color w:val="0F1115"/>
                <w:sz w:val="20"/>
              </w:rPr>
              <w:t>4,024 (37.38%)</w:t>
            </w:r>
          </w:p>
        </w:tc>
        <w:tc>
          <w:tcPr>
            <w:tcW w:w="1753" w:type="dxa"/>
            <w:tcBorders>
              <w:top w:val="nil"/>
              <w:left w:val="nil"/>
              <w:bottom w:val="single" w:sz="5" w:space="0" w:color="000000"/>
              <w:right w:val="nil"/>
            </w:tcBorders>
            <w:tcMar>
              <w:top w:w="160" w:type="dxa"/>
              <w:left w:w="240" w:type="dxa"/>
              <w:bottom w:w="160" w:type="dxa"/>
              <w:right w:w="240" w:type="dxa"/>
            </w:tcMar>
          </w:tcPr>
          <w:p w14:paraId="09ADCF02" w14:textId="77777777" w:rsidR="002B05E0" w:rsidRDefault="002B05E0" w:rsidP="005B0994">
            <w:pPr>
              <w:pStyle w:val="Heading3"/>
              <w:spacing w:before="180" w:after="180" w:line="396" w:lineRule="auto"/>
              <w:jc w:val="both"/>
              <w:rPr>
                <w:b/>
                <w:i/>
                <w:color w:val="0F1115"/>
                <w:sz w:val="20"/>
              </w:rPr>
            </w:pPr>
            <w:r>
              <w:rPr>
                <w:i/>
                <w:color w:val="0F1115"/>
                <w:sz w:val="20"/>
              </w:rPr>
              <w:t>6,742 (62.62%)</w:t>
            </w:r>
          </w:p>
        </w:tc>
        <w:tc>
          <w:tcPr>
            <w:tcW w:w="2086" w:type="dxa"/>
            <w:tcBorders>
              <w:top w:val="nil"/>
              <w:left w:val="nil"/>
              <w:bottom w:val="single" w:sz="5" w:space="0" w:color="000000"/>
              <w:right w:val="nil"/>
            </w:tcBorders>
            <w:tcMar>
              <w:top w:w="160" w:type="dxa"/>
              <w:left w:w="240" w:type="dxa"/>
              <w:bottom w:w="160" w:type="dxa"/>
              <w:right w:w="0" w:type="dxa"/>
            </w:tcMar>
          </w:tcPr>
          <w:p w14:paraId="6BEB2484" w14:textId="77777777" w:rsidR="002B05E0" w:rsidRDefault="002B05E0" w:rsidP="005B0994">
            <w:pPr>
              <w:pStyle w:val="Heading3"/>
              <w:spacing w:before="180" w:after="180" w:line="396" w:lineRule="auto"/>
              <w:jc w:val="both"/>
              <w:rPr>
                <w:b/>
                <w:i/>
                <w:color w:val="0F1115"/>
                <w:sz w:val="20"/>
              </w:rPr>
            </w:pPr>
            <w:bookmarkStart w:id="0" w:name="_r08qshjszi07"/>
            <w:bookmarkEnd w:id="0"/>
            <w:r>
              <w:rPr>
                <w:i/>
                <w:color w:val="0F1115"/>
                <w:sz w:val="20"/>
              </w:rPr>
              <w:t>3.76</w:t>
            </w:r>
          </w:p>
        </w:tc>
      </w:tr>
    </w:tbl>
    <w:p w14:paraId="00301249" w14:textId="77777777" w:rsidR="002B05E0" w:rsidRPr="00E86BC4" w:rsidRDefault="002B05E0" w:rsidP="002B05E0">
      <w:pPr>
        <w:pStyle w:val="Heading3"/>
        <w:spacing w:before="240" w:after="240" w:line="276" w:lineRule="auto"/>
        <w:jc w:val="both"/>
        <w:rPr>
          <w:b/>
          <w:i/>
          <w:color w:val="0F1115"/>
          <w:sz w:val="20"/>
          <w:lang w:val="en-US"/>
        </w:rPr>
      </w:pPr>
      <w:bookmarkStart w:id="1" w:name="_wu3cb66buv3p"/>
      <w:bookmarkEnd w:id="1"/>
      <w:r w:rsidRPr="00E86BC4">
        <w:rPr>
          <w:i/>
          <w:color w:val="0F1115"/>
          <w:sz w:val="20"/>
          <w:lang w:val="en-US"/>
        </w:rPr>
        <w:t>Note. SD = standard deviation. Bullying types were measured on a frequency scale where higher scores indicate more frequent victimization. Non-victimized refers to students reporting no victimization experiences of that specific type. Mean frequency among victimized reflects the average score for students who reported at least one victimization experience of that type. General sum score represents the total across all bullying types.</w:t>
      </w:r>
    </w:p>
    <w:p w14:paraId="49A1ABCA"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5E0"/>
    <w:rsid w:val="000C4033"/>
    <w:rsid w:val="000F79CE"/>
    <w:rsid w:val="00173ED8"/>
    <w:rsid w:val="002B05E0"/>
    <w:rsid w:val="004B42CB"/>
    <w:rsid w:val="005F2B46"/>
    <w:rsid w:val="006E1731"/>
    <w:rsid w:val="00866D74"/>
    <w:rsid w:val="00882A73"/>
    <w:rsid w:val="0095305D"/>
    <w:rsid w:val="00B260B7"/>
    <w:rsid w:val="00B85331"/>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87BA"/>
  <w15:chartTrackingRefBased/>
  <w15:docId w15:val="{ABB5C5EE-F4C7-4FE6-9D90-EC3982CB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link w:val="1"/>
    <w:qFormat/>
    <w:rsid w:val="002B05E0"/>
    <w:pPr>
      <w:spacing w:after="0" w:line="240" w:lineRule="auto"/>
    </w:pPr>
    <w:rPr>
      <w:rFonts w:ascii="Calibri" w:eastAsia="Times New Roman" w:hAnsi="Calibri" w:cs="Times New Roman"/>
      <w:color w:val="000000"/>
      <w:kern w:val="0"/>
      <w:szCs w:val="20"/>
      <w:lang w:val="ru-RU" w:eastAsia="ru-RU"/>
      <w14:ligatures w14:val="none"/>
    </w:rPr>
  </w:style>
  <w:style w:type="paragraph" w:styleId="Heading1">
    <w:name w:val="heading 1"/>
    <w:basedOn w:val="Normal"/>
    <w:next w:val="Normal"/>
    <w:link w:val="Heading1Char"/>
    <w:uiPriority w:val="9"/>
    <w:qFormat/>
    <w:rsid w:val="002B05E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2B05E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unhideWhenUsed/>
    <w:qFormat/>
    <w:rsid w:val="002B05E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2B05E0"/>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val="en-IN" w:eastAsia="en-US"/>
      <w14:ligatures w14:val="standardContextual"/>
    </w:rPr>
  </w:style>
  <w:style w:type="paragraph" w:styleId="Heading5">
    <w:name w:val="heading 5"/>
    <w:basedOn w:val="Normal"/>
    <w:next w:val="Normal"/>
    <w:link w:val="Heading5Char"/>
    <w:uiPriority w:val="9"/>
    <w:semiHidden/>
    <w:unhideWhenUsed/>
    <w:qFormat/>
    <w:rsid w:val="002B05E0"/>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val="en-IN" w:eastAsia="en-US"/>
      <w14:ligatures w14:val="standardContextual"/>
    </w:rPr>
  </w:style>
  <w:style w:type="paragraph" w:styleId="Heading6">
    <w:name w:val="heading 6"/>
    <w:basedOn w:val="Normal"/>
    <w:next w:val="Normal"/>
    <w:link w:val="Heading6Char"/>
    <w:uiPriority w:val="9"/>
    <w:semiHidden/>
    <w:unhideWhenUsed/>
    <w:qFormat/>
    <w:rsid w:val="002B05E0"/>
    <w:pPr>
      <w:keepNext/>
      <w:keepLines/>
      <w:spacing w:before="40" w:line="278" w:lineRule="auto"/>
      <w:outlineLvl w:val="5"/>
    </w:pPr>
    <w:rPr>
      <w:rFonts w:asciiTheme="minorHAnsi" w:eastAsiaTheme="majorEastAsia" w:hAnsiTheme="minorHAnsi" w:cstheme="majorBidi"/>
      <w:i/>
      <w:iCs/>
      <w:color w:val="595959" w:themeColor="text1" w:themeTint="A6"/>
      <w:kern w:val="2"/>
      <w:szCs w:val="24"/>
      <w:lang w:val="en-IN" w:eastAsia="en-US"/>
      <w14:ligatures w14:val="standardContextual"/>
    </w:rPr>
  </w:style>
  <w:style w:type="paragraph" w:styleId="Heading7">
    <w:name w:val="heading 7"/>
    <w:basedOn w:val="Normal"/>
    <w:next w:val="Normal"/>
    <w:link w:val="Heading7Char"/>
    <w:uiPriority w:val="9"/>
    <w:semiHidden/>
    <w:unhideWhenUsed/>
    <w:qFormat/>
    <w:rsid w:val="002B05E0"/>
    <w:pPr>
      <w:keepNext/>
      <w:keepLines/>
      <w:spacing w:before="40" w:line="278" w:lineRule="auto"/>
      <w:outlineLvl w:val="6"/>
    </w:pPr>
    <w:rPr>
      <w:rFonts w:asciiTheme="minorHAnsi" w:eastAsiaTheme="majorEastAsia" w:hAnsiTheme="minorHAnsi" w:cstheme="majorBidi"/>
      <w:color w:val="595959" w:themeColor="text1" w:themeTint="A6"/>
      <w:kern w:val="2"/>
      <w:szCs w:val="24"/>
      <w:lang w:val="en-IN" w:eastAsia="en-US"/>
      <w14:ligatures w14:val="standardContextual"/>
    </w:rPr>
  </w:style>
  <w:style w:type="paragraph" w:styleId="Heading8">
    <w:name w:val="heading 8"/>
    <w:basedOn w:val="Normal"/>
    <w:next w:val="Normal"/>
    <w:link w:val="Heading8Char"/>
    <w:uiPriority w:val="9"/>
    <w:semiHidden/>
    <w:unhideWhenUsed/>
    <w:qFormat/>
    <w:rsid w:val="002B05E0"/>
    <w:pPr>
      <w:keepNext/>
      <w:keepLines/>
      <w:spacing w:line="278" w:lineRule="auto"/>
      <w:outlineLvl w:val="7"/>
    </w:pPr>
    <w:rPr>
      <w:rFonts w:asciiTheme="minorHAnsi" w:eastAsiaTheme="majorEastAsia" w:hAnsiTheme="minorHAnsi" w:cstheme="majorBidi"/>
      <w:i/>
      <w:iCs/>
      <w:color w:val="272727" w:themeColor="text1" w:themeTint="D8"/>
      <w:kern w:val="2"/>
      <w:szCs w:val="24"/>
      <w:lang w:val="en-IN" w:eastAsia="en-US"/>
      <w14:ligatures w14:val="standardContextual"/>
    </w:rPr>
  </w:style>
  <w:style w:type="paragraph" w:styleId="Heading9">
    <w:name w:val="heading 9"/>
    <w:basedOn w:val="Normal"/>
    <w:next w:val="Normal"/>
    <w:link w:val="Heading9Char"/>
    <w:uiPriority w:val="9"/>
    <w:semiHidden/>
    <w:unhideWhenUsed/>
    <w:qFormat/>
    <w:rsid w:val="002B05E0"/>
    <w:pPr>
      <w:keepNext/>
      <w:keepLines/>
      <w:spacing w:line="278" w:lineRule="auto"/>
      <w:outlineLvl w:val="8"/>
    </w:pPr>
    <w:rPr>
      <w:rFonts w:asciiTheme="minorHAnsi" w:eastAsiaTheme="majorEastAsia" w:hAnsiTheme="minorHAnsi" w:cstheme="majorBidi"/>
      <w:color w:val="272727" w:themeColor="text1" w:themeTint="D8"/>
      <w:kern w:val="2"/>
      <w:szCs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5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05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2B05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05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05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05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05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05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05E0"/>
    <w:rPr>
      <w:rFonts w:eastAsiaTheme="majorEastAsia" w:cstheme="majorBidi"/>
      <w:color w:val="272727" w:themeColor="text1" w:themeTint="D8"/>
    </w:rPr>
  </w:style>
  <w:style w:type="paragraph" w:styleId="Title">
    <w:name w:val="Title"/>
    <w:basedOn w:val="Normal"/>
    <w:next w:val="Normal"/>
    <w:link w:val="TitleChar"/>
    <w:uiPriority w:val="10"/>
    <w:qFormat/>
    <w:rsid w:val="002B05E0"/>
    <w:pPr>
      <w:spacing w:after="80"/>
      <w:contextualSpacing/>
    </w:pPr>
    <w:rPr>
      <w:rFonts w:asciiTheme="majorHAnsi" w:eastAsiaTheme="majorEastAsia" w:hAnsiTheme="majorHAnsi" w:cstheme="majorBidi"/>
      <w:color w:val="auto"/>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2B05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05E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2B05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05E0"/>
    <w:pPr>
      <w:spacing w:before="160" w:after="160" w:line="278" w:lineRule="auto"/>
      <w:jc w:val="center"/>
    </w:pPr>
    <w:rPr>
      <w:rFonts w:asciiTheme="minorHAnsi" w:eastAsiaTheme="minorHAnsi" w:hAnsiTheme="minorHAnsi" w:cstheme="minorBidi"/>
      <w:i/>
      <w:iCs/>
      <w:color w:val="404040" w:themeColor="text1" w:themeTint="BF"/>
      <w:kern w:val="2"/>
      <w:szCs w:val="24"/>
      <w:lang w:val="en-IN" w:eastAsia="en-US"/>
      <w14:ligatures w14:val="standardContextual"/>
    </w:rPr>
  </w:style>
  <w:style w:type="character" w:customStyle="1" w:styleId="QuoteChar">
    <w:name w:val="Quote Char"/>
    <w:basedOn w:val="DefaultParagraphFont"/>
    <w:link w:val="Quote"/>
    <w:uiPriority w:val="29"/>
    <w:rsid w:val="002B05E0"/>
    <w:rPr>
      <w:i/>
      <w:iCs/>
      <w:color w:val="404040" w:themeColor="text1" w:themeTint="BF"/>
    </w:rPr>
  </w:style>
  <w:style w:type="paragraph" w:styleId="ListParagraph">
    <w:name w:val="List Paragraph"/>
    <w:basedOn w:val="Normal"/>
    <w:uiPriority w:val="34"/>
    <w:qFormat/>
    <w:rsid w:val="002B05E0"/>
    <w:pPr>
      <w:spacing w:after="160" w:line="278" w:lineRule="auto"/>
      <w:ind w:left="720"/>
      <w:contextualSpacing/>
    </w:pPr>
    <w:rPr>
      <w:rFonts w:asciiTheme="minorHAnsi" w:eastAsiaTheme="minorHAnsi" w:hAnsiTheme="minorHAnsi" w:cstheme="minorBidi"/>
      <w:color w:val="auto"/>
      <w:kern w:val="2"/>
      <w:szCs w:val="24"/>
      <w:lang w:val="en-IN" w:eastAsia="en-US"/>
      <w14:ligatures w14:val="standardContextual"/>
    </w:rPr>
  </w:style>
  <w:style w:type="character" w:styleId="IntenseEmphasis">
    <w:name w:val="Intense Emphasis"/>
    <w:basedOn w:val="DefaultParagraphFont"/>
    <w:uiPriority w:val="21"/>
    <w:qFormat/>
    <w:rsid w:val="002B05E0"/>
    <w:rPr>
      <w:i/>
      <w:iCs/>
      <w:color w:val="0F4761" w:themeColor="accent1" w:themeShade="BF"/>
    </w:rPr>
  </w:style>
  <w:style w:type="paragraph" w:styleId="IntenseQuote">
    <w:name w:val="Intense Quote"/>
    <w:basedOn w:val="Normal"/>
    <w:next w:val="Normal"/>
    <w:link w:val="IntenseQuoteChar"/>
    <w:uiPriority w:val="30"/>
    <w:qFormat/>
    <w:rsid w:val="002B05E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val="en-IN" w:eastAsia="en-US"/>
      <w14:ligatures w14:val="standardContextual"/>
    </w:rPr>
  </w:style>
  <w:style w:type="character" w:customStyle="1" w:styleId="IntenseQuoteChar">
    <w:name w:val="Intense Quote Char"/>
    <w:basedOn w:val="DefaultParagraphFont"/>
    <w:link w:val="IntenseQuote"/>
    <w:uiPriority w:val="30"/>
    <w:rsid w:val="002B05E0"/>
    <w:rPr>
      <w:i/>
      <w:iCs/>
      <w:color w:val="0F4761" w:themeColor="accent1" w:themeShade="BF"/>
    </w:rPr>
  </w:style>
  <w:style w:type="character" w:styleId="IntenseReference">
    <w:name w:val="Intense Reference"/>
    <w:basedOn w:val="DefaultParagraphFont"/>
    <w:uiPriority w:val="32"/>
    <w:qFormat/>
    <w:rsid w:val="002B05E0"/>
    <w:rPr>
      <w:b/>
      <w:bCs/>
      <w:smallCaps/>
      <w:color w:val="0F4761" w:themeColor="accent1" w:themeShade="BF"/>
      <w:spacing w:val="5"/>
    </w:rPr>
  </w:style>
  <w:style w:type="character" w:customStyle="1" w:styleId="1">
    <w:name w:val="Обычный1"/>
    <w:rsid w:val="002B0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Words>
  <Characters>798</Characters>
  <Application>Microsoft Office Word</Application>
  <DocSecurity>0</DocSecurity>
  <Lines>6</Lines>
  <Paragraphs>1</Paragraphs>
  <ScaleCrop>false</ScaleCrop>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2026-06-08T09:59:00Z</dcterms:created>
  <dcterms:modified xsi:type="dcterms:W3CDTF">2026-06-08T10:00:00Z</dcterms:modified>
</cp:coreProperties>
</file>