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BCE6F2">
      <w:pPr>
        <w:jc w:val="center"/>
      </w:pPr>
      <w:r>
        <w:rPr>
          <w:b/>
          <w:sz w:val="24"/>
        </w:rPr>
        <w:t>Table S10. Comparison of absolute standardized mean differences before and after propensity score matching</w:t>
      </w:r>
    </w:p>
    <w:p w14:paraId="5AA064FF">
      <w:pPr>
        <w:jc w:val="left"/>
      </w:pPr>
      <w:r>
        <w:rPr>
          <w:i/>
          <w:sz w:val="21"/>
        </w:rPr>
        <w:t>Note: An absolute standardized mean difference (SMD) &lt; 0.1 generally indicates good covariate balance after matching.</w:t>
      </w:r>
    </w:p>
    <w:tbl>
      <w:tblPr>
        <w:tblStyle w:val="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6"/>
        <w:gridCol w:w="1814"/>
        <w:gridCol w:w="1814"/>
      </w:tblGrid>
      <w:tr w14:paraId="4E3BD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84" w:type="dxa"/>
            <w:vAlign w:val="center"/>
          </w:tcPr>
          <w:p>
            <w:pPr>
              <w:jc w:val="center"/>
            </w:pPr>
            <w:r>
              <w:rPr>
                <w:b/>
                <w:sz w:val="21"/>
              </w:rPr>
              <w:t>Variable</w:t>
            </w:r>
          </w:p>
        </w:tc>
        <w:tc>
          <w:tcPr>
            <w:tcW w:w="2592" w:type="dxa"/>
            <w:vAlign w:val="center"/>
          </w:tcPr>
          <w:p>
            <w:pPr>
              <w:jc w:val="center"/>
            </w:pPr>
            <w:r>
              <w:rPr>
                <w:b/>
                <w:sz w:val="21"/>
              </w:rPr>
              <w:t>Absolute SMD before matching</w:t>
            </w:r>
          </w:p>
        </w:tc>
        <w:tc>
          <w:tcPr>
            <w:tcW w:w="2592" w:type="dxa"/>
            <w:vAlign w:val="center"/>
          </w:tcPr>
          <w:p>
            <w:pPr>
              <w:jc w:val="center"/>
            </w:pPr>
            <w:r>
              <w:rPr>
                <w:b/>
                <w:sz w:val="21"/>
              </w:rPr>
              <w:t>Absolute SMD after matching</w:t>
            </w:r>
          </w:p>
        </w:tc>
      </w:tr>
      <w:tr w14:paraId="21E60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84" w:type="dxa"/>
            <w:vAlign w:val="center"/>
          </w:tcPr>
          <w:p w14:paraId="68E4F2B7">
            <w:pPr>
              <w:spacing w:before="0" w:after="0" w:line="240" w:lineRule="auto"/>
              <w:jc w:val="left"/>
            </w:pPr>
            <w:r>
              <w:rPr>
                <w:sz w:val="21"/>
              </w:rPr>
              <w:t>Age, years</w:t>
            </w:r>
          </w:p>
        </w:tc>
        <w:tc>
          <w:tcPr>
            <w:tcW w:w="2592" w:type="dxa"/>
            <w:vAlign w:val="center"/>
          </w:tcPr>
          <w:p w14:paraId="26C51340">
            <w:pPr>
              <w:spacing w:before="0" w:after="0" w:line="240" w:lineRule="auto"/>
              <w:jc w:val="center"/>
            </w:pPr>
            <w:r>
              <w:rPr>
                <w:sz w:val="21"/>
              </w:rPr>
              <w:t>0.189</w:t>
            </w:r>
          </w:p>
        </w:tc>
        <w:tc>
          <w:tcPr>
            <w:tcW w:w="2592" w:type="dxa"/>
            <w:vAlign w:val="center"/>
          </w:tcPr>
          <w:p w14:paraId="76B4A673">
            <w:pPr>
              <w:spacing w:before="0" w:after="0" w:line="240" w:lineRule="auto"/>
              <w:jc w:val="center"/>
            </w:pPr>
            <w:r>
              <w:rPr>
                <w:sz w:val="21"/>
              </w:rPr>
              <w:t>0.079</w:t>
            </w:r>
          </w:p>
        </w:tc>
      </w:tr>
      <w:tr w14:paraId="71A59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84" w:type="dxa"/>
            <w:vAlign w:val="center"/>
          </w:tcPr>
          <w:p w14:paraId="65B7F4EC">
            <w:pPr>
              <w:spacing w:before="0" w:after="0" w:line="240" w:lineRule="auto"/>
              <w:jc w:val="left"/>
            </w:pPr>
            <w:r>
              <w:rPr>
                <w:sz w:val="21"/>
              </w:rPr>
              <w:t>Male sex, n (%)</w:t>
            </w:r>
          </w:p>
        </w:tc>
        <w:tc>
          <w:tcPr>
            <w:tcW w:w="2592" w:type="dxa"/>
            <w:vAlign w:val="center"/>
          </w:tcPr>
          <w:p w14:paraId="04524DE2">
            <w:pPr>
              <w:spacing w:before="0" w:after="0" w:line="240" w:lineRule="auto"/>
              <w:jc w:val="center"/>
            </w:pPr>
            <w:r>
              <w:rPr>
                <w:sz w:val="21"/>
              </w:rPr>
              <w:t>0.049</w:t>
            </w:r>
          </w:p>
        </w:tc>
        <w:tc>
          <w:tcPr>
            <w:tcW w:w="2592" w:type="dxa"/>
            <w:vAlign w:val="center"/>
          </w:tcPr>
          <w:p w14:paraId="4C72CE30">
            <w:pPr>
              <w:spacing w:before="0" w:after="0" w:line="240" w:lineRule="auto"/>
              <w:jc w:val="center"/>
            </w:pPr>
            <w:r>
              <w:rPr>
                <w:sz w:val="21"/>
              </w:rPr>
              <w:t>0.068</w:t>
            </w:r>
          </w:p>
        </w:tc>
      </w:tr>
      <w:tr w14:paraId="7E7C7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84" w:type="dxa"/>
            <w:vAlign w:val="center"/>
          </w:tcPr>
          <w:p w14:paraId="5C628F14">
            <w:pPr>
              <w:spacing w:before="0" w:after="0" w:line="240" w:lineRule="auto"/>
              <w:jc w:val="left"/>
            </w:pPr>
            <w:r>
              <w:rPr>
                <w:sz w:val="21"/>
              </w:rPr>
              <w:t>BMI, kg/m²</w:t>
            </w:r>
          </w:p>
        </w:tc>
        <w:tc>
          <w:tcPr>
            <w:tcW w:w="2592" w:type="dxa"/>
            <w:vAlign w:val="center"/>
          </w:tcPr>
          <w:p w14:paraId="2AFE46ED">
            <w:pPr>
              <w:spacing w:before="0" w:after="0" w:line="240" w:lineRule="auto"/>
              <w:jc w:val="center"/>
            </w:pPr>
            <w:r>
              <w:rPr>
                <w:sz w:val="21"/>
              </w:rPr>
              <w:t>0.788</w:t>
            </w:r>
          </w:p>
        </w:tc>
        <w:tc>
          <w:tcPr>
            <w:tcW w:w="2592" w:type="dxa"/>
            <w:vAlign w:val="center"/>
          </w:tcPr>
          <w:p w14:paraId="2FD7E01F">
            <w:pPr>
              <w:spacing w:before="0" w:after="0" w:line="240" w:lineRule="auto"/>
              <w:jc w:val="center"/>
            </w:pPr>
            <w:r>
              <w:rPr>
                <w:sz w:val="21"/>
              </w:rPr>
              <w:t>0.067</w:t>
            </w:r>
          </w:p>
        </w:tc>
      </w:tr>
      <w:tr w14:paraId="78983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84" w:type="dxa"/>
            <w:vAlign w:val="center"/>
          </w:tcPr>
          <w:p w14:paraId="6DEF6D0A">
            <w:pPr>
              <w:spacing w:before="0" w:after="0" w:line="240" w:lineRule="auto"/>
              <w:jc w:val="left"/>
            </w:pPr>
            <w:r>
              <w:rPr>
                <w:sz w:val="21"/>
              </w:rPr>
              <w:t>A/G ratio</w:t>
            </w:r>
          </w:p>
        </w:tc>
        <w:tc>
          <w:tcPr>
            <w:tcW w:w="2592" w:type="dxa"/>
            <w:vAlign w:val="center"/>
          </w:tcPr>
          <w:p w14:paraId="7697190B">
            <w:pPr>
              <w:spacing w:before="0" w:after="0" w:line="240" w:lineRule="auto"/>
              <w:jc w:val="center"/>
            </w:pPr>
            <w:r>
              <w:rPr>
                <w:sz w:val="21"/>
              </w:rPr>
              <w:t>0.203</w:t>
            </w:r>
          </w:p>
        </w:tc>
        <w:tc>
          <w:tcPr>
            <w:tcW w:w="2592" w:type="dxa"/>
            <w:vAlign w:val="center"/>
          </w:tcPr>
          <w:p w14:paraId="6D4988F8">
            <w:pPr>
              <w:spacing w:before="0" w:after="0" w:line="240" w:lineRule="auto"/>
              <w:jc w:val="center"/>
            </w:pPr>
            <w:r>
              <w:rPr>
                <w:sz w:val="21"/>
              </w:rPr>
              <w:t>0.315</w:t>
            </w:r>
          </w:p>
        </w:tc>
      </w:tr>
      <w:tr w14:paraId="2C3E7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84" w:type="dxa"/>
            <w:vAlign w:val="center"/>
          </w:tcPr>
          <w:p w14:paraId="5D9E7EC2">
            <w:pPr>
              <w:spacing w:before="0" w:after="0" w:line="240" w:lineRule="auto"/>
              <w:jc w:val="left"/>
            </w:pPr>
            <w:r>
              <w:rPr>
                <w:sz w:val="21"/>
              </w:rPr>
              <w:t>ANC, ×10^9/L</w:t>
            </w:r>
          </w:p>
        </w:tc>
        <w:tc>
          <w:tcPr>
            <w:tcW w:w="2592" w:type="dxa"/>
            <w:vAlign w:val="center"/>
          </w:tcPr>
          <w:p w14:paraId="75D3DC9D">
            <w:pPr>
              <w:spacing w:before="0" w:after="0" w:line="240" w:lineRule="auto"/>
              <w:jc w:val="center"/>
            </w:pPr>
            <w:r>
              <w:rPr>
                <w:sz w:val="21"/>
              </w:rPr>
              <w:t>0.228</w:t>
            </w:r>
          </w:p>
        </w:tc>
        <w:tc>
          <w:tcPr>
            <w:tcW w:w="2592" w:type="dxa"/>
            <w:vAlign w:val="center"/>
          </w:tcPr>
          <w:p w14:paraId="168D2B5E">
            <w:pPr>
              <w:spacing w:before="0" w:after="0" w:line="240" w:lineRule="auto"/>
              <w:jc w:val="center"/>
            </w:pPr>
            <w:r>
              <w:rPr>
                <w:sz w:val="21"/>
              </w:rPr>
              <w:t>0.179</w:t>
            </w:r>
          </w:p>
        </w:tc>
      </w:tr>
      <w:tr w14:paraId="2EBC1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84" w:type="dxa"/>
            <w:vAlign w:val="center"/>
          </w:tcPr>
          <w:p w14:paraId="2F629E22">
            <w:pPr>
              <w:spacing w:before="0" w:after="0" w:line="240" w:lineRule="auto"/>
              <w:jc w:val="left"/>
            </w:pPr>
            <w:r>
              <w:rPr>
                <w:sz w:val="21"/>
              </w:rPr>
              <w:t>Hemoglobin, g/L</w:t>
            </w:r>
          </w:p>
        </w:tc>
        <w:tc>
          <w:tcPr>
            <w:tcW w:w="2592" w:type="dxa"/>
            <w:vAlign w:val="center"/>
          </w:tcPr>
          <w:p w14:paraId="01F61DB5">
            <w:pPr>
              <w:spacing w:before="0" w:after="0" w:line="240" w:lineRule="auto"/>
              <w:jc w:val="center"/>
            </w:pPr>
            <w:r>
              <w:rPr>
                <w:sz w:val="21"/>
              </w:rPr>
              <w:t>0.264</w:t>
            </w:r>
          </w:p>
        </w:tc>
        <w:tc>
          <w:tcPr>
            <w:tcW w:w="2592" w:type="dxa"/>
            <w:vAlign w:val="center"/>
          </w:tcPr>
          <w:p w14:paraId="0DE97C25">
            <w:pPr>
              <w:spacing w:before="0" w:after="0" w:line="240" w:lineRule="auto"/>
              <w:jc w:val="center"/>
            </w:pPr>
            <w:r>
              <w:rPr>
                <w:sz w:val="21"/>
              </w:rPr>
              <w:t>0.096</w:t>
            </w:r>
          </w:p>
        </w:tc>
      </w:tr>
      <w:tr w14:paraId="60861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84" w:type="dxa"/>
            <w:vAlign w:val="center"/>
          </w:tcPr>
          <w:p w14:paraId="06F53D3E">
            <w:pPr>
              <w:spacing w:before="0" w:after="0" w:line="240" w:lineRule="auto"/>
              <w:jc w:val="left"/>
            </w:pPr>
            <w:r>
              <w:rPr>
                <w:sz w:val="21"/>
              </w:rPr>
              <w:t>Platelet count, ×10^9/L</w:t>
            </w:r>
          </w:p>
        </w:tc>
        <w:tc>
          <w:tcPr>
            <w:tcW w:w="2592" w:type="dxa"/>
            <w:vAlign w:val="center"/>
          </w:tcPr>
          <w:p w14:paraId="1E58B82C">
            <w:pPr>
              <w:spacing w:before="0" w:after="0" w:line="240" w:lineRule="auto"/>
              <w:jc w:val="center"/>
            </w:pPr>
            <w:r>
              <w:rPr>
                <w:sz w:val="21"/>
              </w:rPr>
              <w:t>0.002</w:t>
            </w:r>
          </w:p>
        </w:tc>
        <w:tc>
          <w:tcPr>
            <w:tcW w:w="2592" w:type="dxa"/>
            <w:vAlign w:val="center"/>
          </w:tcPr>
          <w:p w14:paraId="23BAF1CF">
            <w:pPr>
              <w:spacing w:before="0" w:after="0" w:line="240" w:lineRule="auto"/>
              <w:jc w:val="center"/>
            </w:pPr>
            <w:r>
              <w:rPr>
                <w:sz w:val="21"/>
              </w:rPr>
              <w:t>0.055</w:t>
            </w:r>
          </w:p>
        </w:tc>
      </w:tr>
      <w:tr w14:paraId="2741D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84" w:type="dxa"/>
            <w:vAlign w:val="center"/>
          </w:tcPr>
          <w:p w14:paraId="5856C8CB">
            <w:pPr>
              <w:spacing w:before="0" w:after="0" w:line="240" w:lineRule="auto"/>
              <w:jc w:val="left"/>
            </w:pPr>
            <w:r>
              <w:rPr>
                <w:sz w:val="21"/>
              </w:rPr>
              <w:t>CEA, ng/mL</w:t>
            </w:r>
          </w:p>
        </w:tc>
        <w:tc>
          <w:tcPr>
            <w:tcW w:w="2592" w:type="dxa"/>
            <w:vAlign w:val="center"/>
          </w:tcPr>
          <w:p w14:paraId="2B8C298B">
            <w:pPr>
              <w:spacing w:before="0" w:after="0" w:line="240" w:lineRule="auto"/>
              <w:jc w:val="center"/>
            </w:pPr>
            <w:r>
              <w:rPr>
                <w:sz w:val="21"/>
              </w:rPr>
              <w:t>0.039</w:t>
            </w:r>
          </w:p>
        </w:tc>
        <w:tc>
          <w:tcPr>
            <w:tcW w:w="2592" w:type="dxa"/>
            <w:vAlign w:val="center"/>
          </w:tcPr>
          <w:p w14:paraId="17FE888E">
            <w:pPr>
              <w:spacing w:before="0" w:after="0" w:line="240" w:lineRule="auto"/>
              <w:jc w:val="center"/>
            </w:pPr>
            <w:r>
              <w:rPr>
                <w:sz w:val="21"/>
              </w:rPr>
              <w:t>0.092</w:t>
            </w:r>
          </w:p>
        </w:tc>
      </w:tr>
      <w:tr w14:paraId="7A987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84" w:type="dxa"/>
            <w:vAlign w:val="center"/>
          </w:tcPr>
          <w:p w14:paraId="60562CC4">
            <w:pPr>
              <w:spacing w:before="0" w:after="0" w:line="240" w:lineRule="auto"/>
              <w:jc w:val="left"/>
            </w:pPr>
            <w:r>
              <w:rPr>
                <w:sz w:val="21"/>
              </w:rPr>
              <w:t>CA19-9, U/mL</w:t>
            </w:r>
          </w:p>
        </w:tc>
        <w:tc>
          <w:tcPr>
            <w:tcW w:w="2592" w:type="dxa"/>
            <w:vAlign w:val="center"/>
          </w:tcPr>
          <w:p w14:paraId="74062BC9">
            <w:pPr>
              <w:spacing w:before="0" w:after="0" w:line="240" w:lineRule="auto"/>
              <w:jc w:val="center"/>
            </w:pPr>
            <w:r>
              <w:rPr>
                <w:sz w:val="21"/>
              </w:rPr>
              <w:t>0.053</w:t>
            </w:r>
          </w:p>
        </w:tc>
        <w:tc>
          <w:tcPr>
            <w:tcW w:w="2592" w:type="dxa"/>
            <w:vAlign w:val="center"/>
          </w:tcPr>
          <w:p w14:paraId="52404A50">
            <w:pPr>
              <w:spacing w:before="0" w:after="0" w:line="240" w:lineRule="auto"/>
              <w:jc w:val="center"/>
            </w:pPr>
            <w:r>
              <w:rPr>
                <w:sz w:val="21"/>
              </w:rPr>
              <w:t>0.048</w:t>
            </w:r>
          </w:p>
        </w:tc>
      </w:tr>
      <w:tr w14:paraId="19252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84" w:type="dxa"/>
            <w:vAlign w:val="center"/>
          </w:tcPr>
          <w:p w14:paraId="68FF7D8D">
            <w:pPr>
              <w:spacing w:before="0" w:after="0" w:line="240" w:lineRule="auto"/>
              <w:jc w:val="left"/>
            </w:pPr>
            <w:r>
              <w:rPr>
                <w:sz w:val="21"/>
              </w:rPr>
              <w:t>PNI</w:t>
            </w:r>
          </w:p>
        </w:tc>
        <w:tc>
          <w:tcPr>
            <w:tcW w:w="2592" w:type="dxa"/>
            <w:vAlign w:val="center"/>
          </w:tcPr>
          <w:p w14:paraId="12952116">
            <w:pPr>
              <w:spacing w:before="0" w:after="0" w:line="240" w:lineRule="auto"/>
              <w:jc w:val="center"/>
            </w:pPr>
            <w:r>
              <w:rPr>
                <w:sz w:val="21"/>
              </w:rPr>
              <w:t>0.459</w:t>
            </w:r>
          </w:p>
        </w:tc>
        <w:tc>
          <w:tcPr>
            <w:tcW w:w="2592" w:type="dxa"/>
            <w:vAlign w:val="center"/>
          </w:tcPr>
          <w:p w14:paraId="58E74271">
            <w:pPr>
              <w:spacing w:before="0" w:after="0" w:line="240" w:lineRule="auto"/>
              <w:jc w:val="center"/>
            </w:pPr>
            <w:r>
              <w:rPr>
                <w:sz w:val="21"/>
              </w:rPr>
              <w:t>0.000</w:t>
            </w:r>
          </w:p>
        </w:tc>
      </w:tr>
      <w:tr w14:paraId="2F72F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84" w:type="dxa"/>
            <w:vAlign w:val="center"/>
          </w:tcPr>
          <w:p w14:paraId="45704029">
            <w:pPr>
              <w:spacing w:before="0" w:after="0" w:line="240" w:lineRule="auto"/>
              <w:jc w:val="left"/>
            </w:pPr>
            <w:r>
              <w:rPr>
                <w:sz w:val="21"/>
              </w:rPr>
              <w:t>VFA, cm²</w:t>
            </w:r>
          </w:p>
        </w:tc>
        <w:tc>
          <w:tcPr>
            <w:tcW w:w="2592" w:type="dxa"/>
            <w:vAlign w:val="center"/>
          </w:tcPr>
          <w:p w14:paraId="6203267A">
            <w:pPr>
              <w:spacing w:before="0" w:after="0" w:line="240" w:lineRule="auto"/>
              <w:jc w:val="center"/>
            </w:pPr>
            <w:r>
              <w:rPr>
                <w:sz w:val="21"/>
              </w:rPr>
              <w:t>0.638</w:t>
            </w:r>
          </w:p>
        </w:tc>
        <w:tc>
          <w:tcPr>
            <w:tcW w:w="2592" w:type="dxa"/>
            <w:vAlign w:val="center"/>
          </w:tcPr>
          <w:p w14:paraId="2E9C54E5">
            <w:pPr>
              <w:spacing w:before="0" w:after="0" w:line="240" w:lineRule="auto"/>
              <w:jc w:val="center"/>
            </w:pPr>
            <w:r>
              <w:rPr>
                <w:sz w:val="21"/>
              </w:rPr>
              <w:t>0.254</w:t>
            </w:r>
          </w:p>
        </w:tc>
      </w:tr>
      <w:tr w14:paraId="18C0C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84" w:type="dxa"/>
            <w:vAlign w:val="center"/>
          </w:tcPr>
          <w:p w14:paraId="78709B2F">
            <w:pPr>
              <w:spacing w:before="0" w:after="0" w:line="240" w:lineRule="auto"/>
              <w:jc w:val="left"/>
            </w:pPr>
            <w:r>
              <w:rPr>
                <w:sz w:val="21"/>
              </w:rPr>
              <w:t>V/S ratio</w:t>
            </w:r>
          </w:p>
        </w:tc>
        <w:tc>
          <w:tcPr>
            <w:tcW w:w="2592" w:type="dxa"/>
            <w:vAlign w:val="center"/>
          </w:tcPr>
          <w:p w14:paraId="1C53E473">
            <w:pPr>
              <w:spacing w:before="0" w:after="0" w:line="240" w:lineRule="auto"/>
              <w:jc w:val="center"/>
            </w:pPr>
            <w:r>
              <w:rPr>
                <w:sz w:val="21"/>
              </w:rPr>
              <w:t>0.815</w:t>
            </w:r>
          </w:p>
        </w:tc>
        <w:tc>
          <w:tcPr>
            <w:tcW w:w="2592" w:type="dxa"/>
            <w:vAlign w:val="center"/>
          </w:tcPr>
          <w:p w14:paraId="6FAFC9B2">
            <w:pPr>
              <w:spacing w:before="0" w:after="0" w:line="240" w:lineRule="auto"/>
              <w:jc w:val="center"/>
            </w:pPr>
            <w:r>
              <w:rPr>
                <w:sz w:val="21"/>
              </w:rPr>
              <w:t>0.974</w:t>
            </w:r>
          </w:p>
        </w:tc>
      </w:tr>
      <w:tr w14:paraId="67879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84" w:type="dxa"/>
            <w:vAlign w:val="center"/>
          </w:tcPr>
          <w:p w14:paraId="71890441">
            <w:pPr>
              <w:spacing w:before="0" w:after="0" w:line="240" w:lineRule="auto"/>
              <w:jc w:val="left"/>
            </w:pPr>
            <w:r>
              <w:rPr>
                <w:sz w:val="21"/>
              </w:rPr>
              <w:t>SMI, cm²/m²</w:t>
            </w:r>
          </w:p>
        </w:tc>
        <w:tc>
          <w:tcPr>
            <w:tcW w:w="2592" w:type="dxa"/>
            <w:vAlign w:val="center"/>
          </w:tcPr>
          <w:p w14:paraId="75F26347">
            <w:pPr>
              <w:spacing w:before="0" w:after="0" w:line="240" w:lineRule="auto"/>
              <w:jc w:val="center"/>
            </w:pPr>
            <w:r>
              <w:rPr>
                <w:sz w:val="21"/>
              </w:rPr>
              <w:t>0.124</w:t>
            </w:r>
          </w:p>
        </w:tc>
        <w:tc>
          <w:tcPr>
            <w:tcW w:w="2592" w:type="dxa"/>
            <w:vAlign w:val="center"/>
          </w:tcPr>
          <w:p w14:paraId="4F810385">
            <w:pPr>
              <w:spacing w:before="0" w:after="0" w:line="240" w:lineRule="auto"/>
              <w:jc w:val="center"/>
            </w:pPr>
            <w:r>
              <w:rPr>
                <w:sz w:val="21"/>
              </w:rPr>
              <w:t>0.477</w:t>
            </w:r>
          </w:p>
        </w:tc>
      </w:tr>
      <w:tr w14:paraId="6F01F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84" w:type="dxa"/>
            <w:vAlign w:val="center"/>
          </w:tcPr>
          <w:p w14:paraId="6F94BA86">
            <w:pPr>
              <w:spacing w:before="0" w:after="0" w:line="240" w:lineRule="auto"/>
              <w:jc w:val="left"/>
            </w:pPr>
            <w:r>
              <w:rPr>
                <w:sz w:val="21"/>
              </w:rPr>
              <w:t>T3–4 stage, n (%)</w:t>
            </w:r>
          </w:p>
        </w:tc>
        <w:tc>
          <w:tcPr>
            <w:tcW w:w="2592" w:type="dxa"/>
            <w:vAlign w:val="center"/>
          </w:tcPr>
          <w:p w14:paraId="02BB1FF7">
            <w:pPr>
              <w:spacing w:before="0" w:after="0" w:line="240" w:lineRule="auto"/>
              <w:jc w:val="center"/>
            </w:pPr>
            <w:r>
              <w:rPr>
                <w:sz w:val="21"/>
              </w:rPr>
              <w:t>0.280</w:t>
            </w:r>
          </w:p>
        </w:tc>
        <w:tc>
          <w:tcPr>
            <w:tcW w:w="2592" w:type="dxa"/>
            <w:vAlign w:val="center"/>
          </w:tcPr>
          <w:p w14:paraId="7B62FF07">
            <w:pPr>
              <w:spacing w:before="0" w:after="0" w:line="240" w:lineRule="auto"/>
              <w:jc w:val="center"/>
            </w:pPr>
            <w:r>
              <w:rPr>
                <w:sz w:val="21"/>
              </w:rPr>
              <w:t>0.089</w:t>
            </w:r>
          </w:p>
        </w:tc>
      </w:tr>
      <w:tr w14:paraId="2D485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84" w:type="dxa"/>
            <w:vAlign w:val="center"/>
          </w:tcPr>
          <w:p w14:paraId="6B0C6EE4">
            <w:pPr>
              <w:spacing w:before="0" w:after="0" w:line="240" w:lineRule="auto"/>
              <w:jc w:val="left"/>
            </w:pPr>
            <w:r>
              <w:rPr>
                <w:sz w:val="21"/>
              </w:rPr>
              <w:t>N1–3 stage, n (%)</w:t>
            </w:r>
          </w:p>
        </w:tc>
        <w:tc>
          <w:tcPr>
            <w:tcW w:w="2592" w:type="dxa"/>
            <w:vAlign w:val="center"/>
          </w:tcPr>
          <w:p w14:paraId="0D00981C">
            <w:pPr>
              <w:spacing w:before="0" w:after="0" w:line="240" w:lineRule="auto"/>
              <w:jc w:val="center"/>
            </w:pPr>
            <w:r>
              <w:rPr>
                <w:sz w:val="21"/>
              </w:rPr>
              <w:t>0.288</w:t>
            </w:r>
          </w:p>
        </w:tc>
        <w:tc>
          <w:tcPr>
            <w:tcW w:w="2592" w:type="dxa"/>
            <w:vAlign w:val="center"/>
          </w:tcPr>
          <w:p w14:paraId="1E62A015">
            <w:pPr>
              <w:spacing w:before="0" w:after="0" w:line="240" w:lineRule="auto"/>
              <w:jc w:val="center"/>
            </w:pPr>
            <w:r>
              <w:rPr>
                <w:sz w:val="21"/>
              </w:rPr>
              <w:t>0.023</w:t>
            </w:r>
          </w:p>
        </w:tc>
      </w:tr>
    </w:tbl>
    <w:p w14:paraId="1BE1C79F">
      <w:bookmarkStart w:id="0" w:name="_GoBack"/>
      <w:bookmarkEnd w:id="0"/>
    </w:p>
    <w:sectPr>
      <w:pgSz w:w="12240" w:h="15840"/>
      <w:pgMar w:top="1020" w:right="1134" w:bottom="1020" w:left="113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FC0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unhideWhenUsed="0" w:uiPriority="64" w:semiHidden="0" w:name="Medium Shading 2 Accent 5"/>
    <w:lsdException w:qFormat="1" w:unhideWhenUsed="0" w:uiPriority="65" w:semiHidden="0" w:name="Medium List 1 Accent 5"/>
    <w:lsdException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399</Characters>
  <Lines>0</Lines>
  <Paragraphs>0</Paragraphs>
  <TotalTime>0</TotalTime>
  <ScaleCrop>false</ScaleCrop>
  <LinksUpToDate>false</LinksUpToDate>
  <CharactersWithSpaces>423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暴鲤龙</cp:lastModifiedBy>
  <dcterms:modified xsi:type="dcterms:W3CDTF">2026-04-19T14:09:27Z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eyJoZGlkIjoiNGVhODFkOTkwNTg4ODRhMTgyN2ViZTA2ZGJjMWFmY2IiLCJ1c2VySWQiOiI5ODQ2NTk4MTYifQ==</vt:lpwstr>
  </property>
  <property fmtid="{D5CDD505-2E9C-101B-9397-08002B2CF9AE}" pid="3" name="KSOProductBuildVer">
    <vt:lpwstr>2052-12.1.0.25865</vt:lpwstr>
  </property>
  <property fmtid="{D5CDD505-2E9C-101B-9397-08002B2CF9AE}" pid="4" name="ICV">
    <vt:lpwstr>DDD00618A2AC49F8BE2BA2470EC30DF3_12</vt:lpwstr>
  </property>
</Properties>
</file>