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9AB48C" w14:textId="730D2417" w:rsidR="00B52168" w:rsidRDefault="00B52168" w:rsidP="00BD58F2">
      <w:pPr>
        <w:spacing w:line="480" w:lineRule="auto"/>
        <w:ind w:firstLineChars="200" w:firstLine="640"/>
        <w:jc w:val="center"/>
        <w:rPr>
          <w:b/>
          <w:sz w:val="28"/>
          <w:szCs w:val="28"/>
        </w:rPr>
      </w:pPr>
      <w:bookmarkStart w:id="0" w:name="_Hlk61298067"/>
      <w:bookmarkStart w:id="1" w:name="_Hlk58175968"/>
      <w:bookmarkStart w:id="2" w:name="_Hlk61297926"/>
      <w:bookmarkStart w:id="3" w:name="_Hlk78830747"/>
      <w:r w:rsidRPr="00C772C0">
        <w:rPr>
          <w:sz w:val="32"/>
          <w:szCs w:val="32"/>
        </w:rPr>
        <w:t>Supporting Information</w:t>
      </w:r>
    </w:p>
    <w:p w14:paraId="5C13E1F9" w14:textId="548CBD03" w:rsidR="0062649C" w:rsidRPr="00B52168" w:rsidRDefault="00E5241C" w:rsidP="00BB12A9">
      <w:pPr>
        <w:spacing w:line="480" w:lineRule="auto"/>
        <w:jc w:val="both"/>
        <w:rPr>
          <w:b/>
          <w:sz w:val="32"/>
          <w:szCs w:val="32"/>
        </w:rPr>
      </w:pPr>
      <w:r w:rsidRPr="00E5241C">
        <w:rPr>
          <w:b/>
          <w:sz w:val="32"/>
          <w:szCs w:val="32"/>
        </w:rPr>
        <w:t>Biodegradable reduce expenditure bioreactor for augmented sonodynamic therapy via regulating tumor hypoxia and inducing pro-death autophagy</w:t>
      </w:r>
      <w:r w:rsidR="0062649C" w:rsidRPr="00B52168">
        <w:rPr>
          <w:b/>
          <w:sz w:val="32"/>
          <w:szCs w:val="32"/>
        </w:rPr>
        <w:t xml:space="preserve"> </w:t>
      </w:r>
    </w:p>
    <w:p w14:paraId="22A3CE01" w14:textId="016C70E2" w:rsidR="00A30671" w:rsidRDefault="00B52168" w:rsidP="00BB12A9">
      <w:pPr>
        <w:spacing w:line="480" w:lineRule="auto"/>
        <w:jc w:val="both"/>
        <w:rPr>
          <w:iCs/>
        </w:rPr>
      </w:pPr>
      <w:bookmarkStart w:id="4" w:name="_Hlk82867986"/>
      <w:bookmarkEnd w:id="0"/>
      <w:r>
        <w:rPr>
          <w:iCs/>
          <w:lang w:val="de" w:bidi="ar"/>
        </w:rPr>
        <w:t>Weijuan Zou</w:t>
      </w:r>
      <w:r>
        <w:rPr>
          <w:iCs/>
          <w:vertAlign w:val="superscript"/>
          <w:lang w:val="de" w:bidi="ar"/>
        </w:rPr>
        <w:t>1,2</w:t>
      </w:r>
      <w:r w:rsidRPr="001D0180">
        <w:rPr>
          <w:vertAlign w:val="superscript"/>
          <w:lang w:val="de"/>
        </w:rPr>
        <w:t>†</w:t>
      </w:r>
      <w:r>
        <w:rPr>
          <w:iCs/>
          <w:lang w:val="de" w:bidi="ar"/>
        </w:rPr>
        <w:t>, Junnian Hao</w:t>
      </w:r>
      <w:r>
        <w:rPr>
          <w:iCs/>
          <w:vertAlign w:val="superscript"/>
          <w:lang w:val="de" w:bidi="ar"/>
        </w:rPr>
        <w:t>1</w:t>
      </w:r>
      <w:r w:rsidRPr="001D0180">
        <w:rPr>
          <w:vertAlign w:val="superscript"/>
          <w:lang w:val="de"/>
        </w:rPr>
        <w:t>†</w:t>
      </w:r>
      <w:bookmarkEnd w:id="4"/>
      <w:r>
        <w:rPr>
          <w:iCs/>
          <w:lang w:val="de" w:bidi="ar"/>
        </w:rPr>
        <w:t>, Jianrong Wu</w:t>
      </w:r>
      <w:r w:rsidRPr="001D0180">
        <w:rPr>
          <w:iCs/>
          <w:vertAlign w:val="superscript"/>
          <w:lang w:val="de" w:bidi="ar"/>
        </w:rPr>
        <w:t>1</w:t>
      </w:r>
      <w:r w:rsidRPr="001D0180">
        <w:rPr>
          <w:vertAlign w:val="superscript"/>
        </w:rPr>
        <w:t>*</w:t>
      </w:r>
      <w:r>
        <w:rPr>
          <w:iCs/>
          <w:lang w:val="de" w:bidi="ar"/>
        </w:rPr>
        <w:t xml:space="preserve"> , Xiaojun Cai</w:t>
      </w:r>
      <w:r>
        <w:rPr>
          <w:iCs/>
          <w:vertAlign w:val="superscript"/>
          <w:lang w:val="de" w:bidi="ar"/>
        </w:rPr>
        <w:t>1</w:t>
      </w:r>
      <w:r>
        <w:rPr>
          <w:iCs/>
          <w:lang w:val="de" w:bidi="ar"/>
        </w:rPr>
        <w:t>, Bing Hu</w:t>
      </w:r>
      <w:r>
        <w:rPr>
          <w:iCs/>
          <w:vertAlign w:val="superscript"/>
          <w:lang w:val="de" w:bidi="ar"/>
        </w:rPr>
        <w:t>1</w:t>
      </w:r>
      <w:r>
        <w:rPr>
          <w:iCs/>
          <w:lang w:val="de" w:bidi="ar"/>
        </w:rPr>
        <w:t>, Z</w:t>
      </w:r>
      <w:r>
        <w:rPr>
          <w:rFonts w:eastAsia="等线"/>
          <w:iCs/>
          <w:lang w:val="de" w:bidi="ar"/>
        </w:rPr>
        <w:t>higang</w:t>
      </w:r>
      <w:r>
        <w:rPr>
          <w:iCs/>
          <w:lang w:val="de" w:bidi="ar"/>
        </w:rPr>
        <w:t xml:space="preserve"> W</w:t>
      </w:r>
      <w:r>
        <w:rPr>
          <w:rFonts w:eastAsia="等线"/>
          <w:iCs/>
          <w:lang w:val="de" w:bidi="ar"/>
        </w:rPr>
        <w:t>ang</w:t>
      </w:r>
      <w:r>
        <w:rPr>
          <w:rFonts w:eastAsia="等线"/>
          <w:iCs/>
          <w:vertAlign w:val="superscript"/>
          <w:lang w:val="de" w:bidi="ar"/>
        </w:rPr>
        <w:t>2</w:t>
      </w:r>
      <w:r>
        <w:rPr>
          <w:rFonts w:eastAsia="等线"/>
          <w:iCs/>
          <w:lang w:val="de" w:bidi="ar"/>
        </w:rPr>
        <w:t>,</w:t>
      </w:r>
      <w:r>
        <w:rPr>
          <w:iCs/>
          <w:lang w:val="de" w:bidi="ar"/>
        </w:rPr>
        <w:t xml:space="preserve"> and Yuanyi Zheng</w:t>
      </w:r>
      <w:r>
        <w:rPr>
          <w:iCs/>
          <w:vertAlign w:val="superscript"/>
          <w:lang w:val="de" w:bidi="ar"/>
        </w:rPr>
        <w:t>1,2,3</w:t>
      </w:r>
      <w:r w:rsidRPr="001D0180">
        <w:rPr>
          <w:vertAlign w:val="superscript"/>
        </w:rPr>
        <w:t>*</w:t>
      </w:r>
      <w:r w:rsidR="00473F44">
        <w:rPr>
          <w:iCs/>
        </w:rPr>
        <w:t xml:space="preserve"> </w:t>
      </w:r>
    </w:p>
    <w:p w14:paraId="38334819" w14:textId="77777777" w:rsidR="00B52168" w:rsidRDefault="00B52168" w:rsidP="00E773CB">
      <w:pPr>
        <w:spacing w:line="480" w:lineRule="auto"/>
        <w:ind w:firstLineChars="200" w:firstLine="480"/>
        <w:jc w:val="both"/>
        <w:rPr>
          <w:iCs/>
        </w:rPr>
      </w:pPr>
    </w:p>
    <w:bookmarkEnd w:id="1"/>
    <w:bookmarkEnd w:id="2"/>
    <w:bookmarkEnd w:id="3"/>
    <w:p w14:paraId="0D610075" w14:textId="77777777" w:rsidR="00BB12A9" w:rsidRPr="00BB12A9" w:rsidRDefault="00BB12A9" w:rsidP="00BB12A9">
      <w:pPr>
        <w:pStyle w:val="affiliation"/>
        <w:spacing w:before="0" w:after="0" w:line="360" w:lineRule="auto"/>
        <w:jc w:val="both"/>
        <w:rPr>
          <w:i w:val="0"/>
          <w:szCs w:val="24"/>
          <w:u w:val="single"/>
        </w:rPr>
      </w:pPr>
      <w:r w:rsidRPr="00BB12A9">
        <w:rPr>
          <w:i w:val="0"/>
          <w:szCs w:val="24"/>
        </w:rPr>
        <w:t>*</w:t>
      </w:r>
      <w:r w:rsidRPr="00BB12A9">
        <w:rPr>
          <w:szCs w:val="24"/>
        </w:rPr>
        <w:t xml:space="preserve"> </w:t>
      </w:r>
      <w:r w:rsidRPr="00BB12A9">
        <w:rPr>
          <w:i w:val="0"/>
          <w:szCs w:val="24"/>
        </w:rPr>
        <w:t>Correspondence: wujr_028@126.com, zhengyuanyi@sjtu.edu.cn</w:t>
      </w:r>
    </w:p>
    <w:p w14:paraId="5D5B3F93" w14:textId="77777777" w:rsidR="00BB12A9" w:rsidRPr="00BB12A9" w:rsidRDefault="00BB12A9" w:rsidP="00BB12A9">
      <w:pPr>
        <w:spacing w:line="360" w:lineRule="auto"/>
      </w:pPr>
      <w:r w:rsidRPr="00BB12A9">
        <w:rPr>
          <w:vertAlign w:val="superscript"/>
          <w:lang w:val="de"/>
        </w:rPr>
        <w:t xml:space="preserve">† </w:t>
      </w:r>
      <w:r w:rsidRPr="00BB12A9">
        <w:rPr>
          <w:iCs/>
          <w:lang w:val="de" w:bidi="ar"/>
        </w:rPr>
        <w:t>These authors</w:t>
      </w:r>
      <w:r w:rsidRPr="00BB12A9">
        <w:t xml:space="preserve"> contributed equally to this work.</w:t>
      </w:r>
    </w:p>
    <w:p w14:paraId="10A2D7A7" w14:textId="77777777" w:rsidR="00BB12A9" w:rsidRPr="00BB12A9" w:rsidRDefault="00BB12A9" w:rsidP="00BB12A9">
      <w:pPr>
        <w:pStyle w:val="affiliation"/>
        <w:spacing w:before="0" w:line="360" w:lineRule="auto"/>
        <w:jc w:val="both"/>
        <w:rPr>
          <w:i w:val="0"/>
          <w:szCs w:val="24"/>
        </w:rPr>
      </w:pPr>
      <w:r w:rsidRPr="00BB12A9">
        <w:rPr>
          <w:i w:val="0"/>
          <w:szCs w:val="24"/>
          <w:vertAlign w:val="superscript"/>
        </w:rPr>
        <w:t xml:space="preserve">1 </w:t>
      </w:r>
      <w:r w:rsidRPr="00BB12A9">
        <w:rPr>
          <w:i w:val="0"/>
          <w:szCs w:val="24"/>
        </w:rPr>
        <w:t>Department of Ultrasound in Medicine, Shanghai Institute of Ultrasound in Medicine, Shanghai Jiao Tong University Affiliated Sixth People's Hospital, Shanghai, 200233, P. R. China</w:t>
      </w:r>
    </w:p>
    <w:p w14:paraId="5237CEB3" w14:textId="77777777" w:rsidR="00BB12A9" w:rsidRPr="00BB12A9" w:rsidRDefault="00BB12A9" w:rsidP="00BB12A9">
      <w:pPr>
        <w:spacing w:line="360" w:lineRule="auto"/>
        <w:rPr>
          <w:bCs/>
          <w:lang w:val="de"/>
        </w:rPr>
      </w:pPr>
      <w:r w:rsidRPr="00BB12A9">
        <w:rPr>
          <w:bCs/>
          <w:vertAlign w:val="superscript"/>
          <w:lang w:bidi="ar"/>
        </w:rPr>
        <w:t>2</w:t>
      </w:r>
      <w:r w:rsidRPr="00BB12A9">
        <w:rPr>
          <w:bCs/>
          <w:vertAlign w:val="superscript"/>
          <w:lang w:val="de" w:bidi="ar"/>
        </w:rPr>
        <w:t xml:space="preserve"> </w:t>
      </w:r>
      <w:r w:rsidRPr="00BB12A9">
        <w:rPr>
          <w:bCs/>
          <w:lang w:val="de" w:bidi="ar"/>
        </w:rPr>
        <w:t>Chongqing Key Laboratory of Ultrasound Molecular Imaging, Ultrasound</w:t>
      </w:r>
      <w:r w:rsidRPr="00BB12A9">
        <w:rPr>
          <w:rFonts w:eastAsia="等线"/>
          <w:bCs/>
          <w:lang w:val="de" w:bidi="ar"/>
        </w:rPr>
        <w:t xml:space="preserve"> </w:t>
      </w:r>
      <w:r w:rsidRPr="00BB12A9">
        <w:rPr>
          <w:bCs/>
          <w:lang w:val="de" w:bidi="ar"/>
        </w:rPr>
        <w:t xml:space="preserve">Department of the Second Affiliated Hospital of Chongqing Medical University, Chongqing, 400010, </w:t>
      </w:r>
      <w:r w:rsidRPr="00BB12A9">
        <w:rPr>
          <w:iCs/>
          <w:lang w:val="de" w:bidi="ar"/>
        </w:rPr>
        <w:t>P. R. China</w:t>
      </w:r>
    </w:p>
    <w:p w14:paraId="4201893C" w14:textId="77777777" w:rsidR="00BB12A9" w:rsidRPr="00BB12A9" w:rsidRDefault="00BB12A9" w:rsidP="00BB12A9">
      <w:pPr>
        <w:spacing w:line="360" w:lineRule="auto"/>
        <w:rPr>
          <w:lang w:val="de" w:bidi="ar"/>
        </w:rPr>
      </w:pPr>
      <w:r w:rsidRPr="00BB12A9">
        <w:rPr>
          <w:vertAlign w:val="superscript"/>
          <w:lang w:val="de" w:bidi="ar"/>
        </w:rPr>
        <w:t xml:space="preserve">3 </w:t>
      </w:r>
      <w:r w:rsidRPr="00BB12A9">
        <w:rPr>
          <w:lang w:val="de" w:bidi="ar"/>
        </w:rPr>
        <w:t>State Key Laboratory of Oncogenes and Related Genes, School of Medicine, Shanghai Jiao Tong University, Shanghai, 200233, P. R. China</w:t>
      </w:r>
    </w:p>
    <w:p w14:paraId="3C65B9AB" w14:textId="77777777" w:rsidR="008C21A2" w:rsidRDefault="00473F44" w:rsidP="00E773CB">
      <w:pPr>
        <w:spacing w:beforeLines="50" w:before="120" w:line="480" w:lineRule="auto"/>
        <w:ind w:firstLineChars="200" w:firstLine="480"/>
        <w:jc w:val="both"/>
        <w:rPr>
          <w:lang w:val="en-US"/>
        </w:rPr>
      </w:pPr>
      <w:r>
        <w:rPr>
          <w:lang w:val="en-US"/>
        </w:rPr>
        <w:br w:type="page"/>
      </w:r>
    </w:p>
    <w:p w14:paraId="51D1CFE9" w14:textId="5C8C79D2" w:rsidR="00A30671" w:rsidRDefault="00473F44" w:rsidP="00BD58F2">
      <w:pPr>
        <w:spacing w:beforeLines="50" w:before="120" w:line="480" w:lineRule="auto"/>
        <w:jc w:val="center"/>
        <w:rPr>
          <w:color w:val="000000"/>
        </w:rPr>
      </w:pPr>
      <w:r>
        <w:rPr>
          <w:b/>
          <w:bCs/>
        </w:rPr>
        <w:lastRenderedPageBreak/>
        <w:t>Additional details on experimental section</w:t>
      </w:r>
    </w:p>
    <w:p w14:paraId="199A60BA" w14:textId="77777777" w:rsidR="00652082" w:rsidRPr="00FA44EC" w:rsidRDefault="00652082" w:rsidP="00E773CB">
      <w:pPr>
        <w:spacing w:line="480" w:lineRule="auto"/>
        <w:jc w:val="both"/>
        <w:rPr>
          <w:b/>
        </w:rPr>
      </w:pPr>
      <w:r w:rsidRPr="00FA44EC">
        <w:rPr>
          <w:b/>
          <w:lang w:val="de"/>
        </w:rPr>
        <w:t>Materials</w:t>
      </w:r>
    </w:p>
    <w:p w14:paraId="527D6CE7" w14:textId="77777777" w:rsidR="00652082" w:rsidRPr="00FA44EC" w:rsidRDefault="00652082" w:rsidP="00E773CB">
      <w:pPr>
        <w:spacing w:line="480" w:lineRule="auto"/>
        <w:ind w:firstLineChars="200" w:firstLine="480"/>
        <w:jc w:val="both"/>
        <w:rPr>
          <w:lang w:val="de"/>
        </w:rPr>
      </w:pPr>
      <w:r w:rsidRPr="00FA44EC">
        <w:rPr>
          <w:lang w:val="de" w:bidi="ar"/>
        </w:rPr>
        <w:t xml:space="preserve">3-bromopyruvic acid (3BP), cetyltrimethylammonium chloride (CTAC) and 3-aminopropyltriethoxysilane (APTES) were purchased from the Aladdin </w:t>
      </w:r>
      <w:bookmarkStart w:id="5" w:name="OLE_LINK24"/>
      <w:r w:rsidRPr="00FA44EC">
        <w:rPr>
          <w:lang w:val="de" w:bidi="ar"/>
        </w:rPr>
        <w:t xml:space="preserve">Reagent Co. </w:t>
      </w:r>
      <w:bookmarkEnd w:id="5"/>
      <w:r w:rsidRPr="00FA44EC">
        <w:rPr>
          <w:lang w:val="de" w:bidi="ar"/>
        </w:rPr>
        <w:t xml:space="preserve">(Shanghai, China). Hematoporphyrin monomethyl ether (HMME) was provided by Yuanye Biological Technology Co. (Shanghai, China). 1,3-diphenylisobenzofuran (DPBF), N-hydroxy succinimide (NHS) and 1-ethyl-3-(3-dimethylaminopropyl) carbodiimide (EDC) were obtained from Sigma-Aldrichh (MO, USA). Triethanolamine (TEA), tetraethyl orthosilicate (TEOS) and bis(3-triethoxysilylpropyl) disulfide (BTDS) were purchased from Macklin Reagent Co. (Shanghai, China). Glutathione (GSH), fluorescein isothiocyanate (FITC) and MDC staining assay kit were purchased from Solarbio. (Beijing, China). Cell counting kit-8 (CCK-8), 2, 2, 6, 6-tetramethylpiperidine oxide (TEMP), Calcein-AM/PI cell double dyeing kit (Dojindo, C542), mitochondrial membrane potential detection kit JC-1 (JC-1) and DAPGreen-autophgy were obtained from Dojindo Laboratories (Japan). Reactive oxygen species assay kit, ATP luminescence assay kit and Annexin V-FITC apoptosis detection kit were provided by Beyotime Biotechnology Co. (Shanghai, China). hematoxylin and eosin (H&amp;E), Ki67, dUTP nick-end labeling (TUNEL) </w:t>
      </w:r>
      <w:r w:rsidRPr="00FA44EC">
        <w:rPr>
          <w:rFonts w:eastAsia="宋体"/>
          <w:lang w:val="de" w:bidi="ar"/>
        </w:rPr>
        <w:t>and dihydroethidium (DHE</w:t>
      </w:r>
      <w:r w:rsidRPr="00FA44EC">
        <w:rPr>
          <w:lang w:val="de" w:bidi="ar"/>
        </w:rPr>
        <w:t>) were obtained from Servicebio Co. (Hubei, China).  LC3 and HIF-1</w:t>
      </w:r>
      <w:r w:rsidRPr="00FA44EC">
        <w:rPr>
          <w:rFonts w:eastAsia="等线"/>
          <w:lang w:val="de" w:bidi="ar"/>
        </w:rPr>
        <w:t>α primary antibody</w:t>
      </w:r>
      <w:r w:rsidRPr="00FA44EC">
        <w:rPr>
          <w:lang w:val="de" w:bidi="ar"/>
        </w:rPr>
        <w:t xml:space="preserve"> were provided by Abcam Trading Co. (Shanghai, China).</w:t>
      </w:r>
    </w:p>
    <w:p w14:paraId="30C7AFA3" w14:textId="77777777" w:rsidR="00652082" w:rsidRPr="00FA44EC" w:rsidRDefault="00652082" w:rsidP="00E773CB">
      <w:pPr>
        <w:spacing w:line="480" w:lineRule="auto"/>
        <w:rPr>
          <w:b/>
          <w:color w:val="000000"/>
          <w:lang w:val="de"/>
        </w:rPr>
      </w:pPr>
      <w:r w:rsidRPr="00FA44EC">
        <w:rPr>
          <w:b/>
          <w:lang w:val="de"/>
        </w:rPr>
        <w:t xml:space="preserve">Characterization </w:t>
      </w:r>
    </w:p>
    <w:p w14:paraId="52F1997E" w14:textId="77A9D242" w:rsidR="00652082" w:rsidRPr="00652082" w:rsidRDefault="00652082" w:rsidP="00E773CB">
      <w:pPr>
        <w:spacing w:beforeLines="50" w:before="120" w:line="480" w:lineRule="auto"/>
        <w:ind w:firstLineChars="200" w:firstLine="480"/>
        <w:jc w:val="both"/>
        <w:rPr>
          <w:rFonts w:eastAsia="宋体"/>
          <w:b/>
          <w:bCs/>
        </w:rPr>
      </w:pPr>
      <w:r w:rsidRPr="00FA44EC">
        <w:rPr>
          <w:color w:val="000000"/>
          <w:lang w:val="de" w:bidi="ar"/>
        </w:rPr>
        <w:t xml:space="preserve">The </w:t>
      </w:r>
      <w:bookmarkStart w:id="6" w:name="_Hlk73551302"/>
      <w:r w:rsidRPr="00FA44EC">
        <w:rPr>
          <w:color w:val="000000"/>
          <w:lang w:val="de" w:bidi="ar"/>
        </w:rPr>
        <w:t>structure and morphology</w:t>
      </w:r>
      <w:bookmarkEnd w:id="6"/>
      <w:r w:rsidRPr="00FA44EC">
        <w:rPr>
          <w:color w:val="000000"/>
          <w:lang w:val="de" w:bidi="ar"/>
        </w:rPr>
        <w:t xml:space="preserve"> of nanoparticles were characterized by transmission electron microscope (TEM, JEOL JEM 2100F). The fourier transform infrared (FTIR) spectra were measured on a Perkin Elmer Frontier (Perkin Elmer Frontier, USA). Malvern Zetasizer Nanoseries (Malvern, UK) was used to measure the zeta potential and size distributions. The pore size and specific surface area were recorded by the automatic specific surface and porosity analyzer (BET, McASAP2460, USA). UV-vis-NIR absorption spectra were recorded </w:t>
      </w:r>
      <w:r w:rsidRPr="00FA44EC">
        <w:rPr>
          <w:color w:val="000000"/>
          <w:lang w:val="de" w:bidi="ar"/>
        </w:rPr>
        <w:lastRenderedPageBreak/>
        <w:t xml:space="preserve">on a UV-vis-NIR spectrophotometer (Perkin Elmer, USA). The HMONs was placed in GSH solution (10 mM) for different time and the changes of structure and morphology were observed by TEM.  </w:t>
      </w:r>
    </w:p>
    <w:p w14:paraId="7921ECEA" w14:textId="6CB04B88" w:rsidR="00A30671" w:rsidRPr="00652082" w:rsidRDefault="00473F44" w:rsidP="00E773CB">
      <w:pPr>
        <w:spacing w:line="480" w:lineRule="auto"/>
        <w:jc w:val="both"/>
        <w:rPr>
          <w:b/>
        </w:rPr>
      </w:pPr>
      <w:bookmarkStart w:id="7" w:name="_Hlk61564877"/>
      <w:r w:rsidRPr="00652082">
        <w:rPr>
          <w:b/>
        </w:rPr>
        <w:t>Cell lines and cell culture</w:t>
      </w:r>
    </w:p>
    <w:p w14:paraId="258AD3F5" w14:textId="77777777" w:rsidR="00A30671" w:rsidRDefault="00473F44" w:rsidP="00E773CB">
      <w:pPr>
        <w:spacing w:line="480" w:lineRule="auto"/>
        <w:ind w:firstLineChars="200" w:firstLine="480"/>
        <w:jc w:val="both"/>
        <w:rPr>
          <w:color w:val="000000"/>
        </w:rPr>
      </w:pPr>
      <w:r>
        <w:rPr>
          <w:color w:val="000000"/>
        </w:rPr>
        <w:t>HUVECs (human umbilical vein endothelial cells), 4T1 cells (murine breast cancer cells), A375 cells (Human malignant melanoma cells),</w:t>
      </w:r>
      <w:bookmarkStart w:id="8" w:name="OLE_LINK7"/>
      <w:r>
        <w:rPr>
          <w:color w:val="000000"/>
        </w:rPr>
        <w:t xml:space="preserve"> A549</w:t>
      </w:r>
      <w:bookmarkEnd w:id="8"/>
      <w:r>
        <w:rPr>
          <w:color w:val="000000"/>
        </w:rPr>
        <w:t xml:space="preserve"> cells (Human adenocarcinoma alveolar basal epithelial cells) were purchased from Cell Resource Center (Institute of Life Sciences, Chinese Academy of Sciences). Cells were cultured in DMEM high glucose medium supplemented with 10% FBS and 0.1% penicillin–streptomycin at 37 °C, in a humidified 5% CO</w:t>
      </w:r>
      <w:r>
        <w:rPr>
          <w:color w:val="000000"/>
          <w:vertAlign w:val="subscript"/>
        </w:rPr>
        <w:t xml:space="preserve">2 </w:t>
      </w:r>
      <w:r>
        <w:rPr>
          <w:color w:val="000000"/>
        </w:rPr>
        <w:t>atmosphere.</w:t>
      </w:r>
    </w:p>
    <w:p w14:paraId="59F216B9" w14:textId="424E8E1A" w:rsidR="00A30671" w:rsidRPr="00652082" w:rsidRDefault="00473F44" w:rsidP="00E773CB">
      <w:pPr>
        <w:spacing w:line="480" w:lineRule="auto"/>
        <w:jc w:val="both"/>
        <w:rPr>
          <w:b/>
        </w:rPr>
      </w:pPr>
      <w:bookmarkStart w:id="9" w:name="_Hlk78240699"/>
      <w:r w:rsidRPr="00652082">
        <w:rPr>
          <w:b/>
        </w:rPr>
        <w:t>In vitro cell uptake</w:t>
      </w:r>
      <w:bookmarkEnd w:id="9"/>
      <w:r w:rsidRPr="00652082">
        <w:rPr>
          <w:b/>
        </w:rPr>
        <w:t xml:space="preserve"> of HHBP</w:t>
      </w:r>
    </w:p>
    <w:p w14:paraId="375EA44E" w14:textId="77777777" w:rsidR="00A30671" w:rsidRDefault="00473F44" w:rsidP="00E773CB">
      <w:pPr>
        <w:spacing w:line="480" w:lineRule="auto"/>
        <w:ind w:firstLineChars="200" w:firstLine="480"/>
        <w:jc w:val="both"/>
        <w:rPr>
          <w:color w:val="000000"/>
        </w:rPr>
      </w:pPr>
      <w:r>
        <w:rPr>
          <w:color w:val="000000"/>
        </w:rPr>
        <w:t xml:space="preserve">To obtain FITC-conjugated HHBP, HHBP (60 mg) and FITC (10 mg) was dispersed in 20 mL of ethanol. The mixtures were then stirred overnight at room temperature. The products were obtained by centrifugation, washed with ethanol and redispersed with PBS </w:t>
      </w:r>
      <w:r>
        <w:rPr>
          <w:rFonts w:eastAsia="等线"/>
          <w:color w:val="000000"/>
          <w:lang w:eastAsia="zh-CN"/>
        </w:rPr>
        <w:t>for</w:t>
      </w:r>
      <w:r>
        <w:rPr>
          <w:color w:val="000000"/>
        </w:rPr>
        <w:t xml:space="preserve"> </w:t>
      </w:r>
      <w:r>
        <w:rPr>
          <w:rFonts w:eastAsia="等线"/>
          <w:color w:val="000000"/>
          <w:lang w:eastAsia="zh-CN"/>
        </w:rPr>
        <w:t>further</w:t>
      </w:r>
      <w:r>
        <w:rPr>
          <w:color w:val="000000"/>
        </w:rPr>
        <w:t xml:space="preserve"> </w:t>
      </w:r>
      <w:r>
        <w:rPr>
          <w:rFonts w:eastAsia="等线"/>
          <w:color w:val="000000"/>
          <w:lang w:eastAsia="zh-CN"/>
        </w:rPr>
        <w:t>use</w:t>
      </w:r>
      <w:r>
        <w:rPr>
          <w:color w:val="000000"/>
        </w:rPr>
        <w:t xml:space="preserve">. </w:t>
      </w:r>
    </w:p>
    <w:p w14:paraId="44D209CB" w14:textId="63EAD396" w:rsidR="00A30671" w:rsidRDefault="00473F44" w:rsidP="00E773CB">
      <w:pPr>
        <w:spacing w:line="480" w:lineRule="auto"/>
        <w:ind w:firstLineChars="200" w:firstLine="480"/>
        <w:jc w:val="both"/>
        <w:rPr>
          <w:color w:val="000000"/>
        </w:rPr>
      </w:pPr>
      <w:r>
        <w:rPr>
          <w:color w:val="000000"/>
        </w:rPr>
        <w:t xml:space="preserve"> 4T1 cells </w:t>
      </w:r>
      <w:r>
        <w:rPr>
          <w:rFonts w:eastAsia="等线"/>
          <w:color w:val="000000"/>
          <w:lang w:eastAsia="zh-CN"/>
        </w:rPr>
        <w:t>were</w:t>
      </w:r>
      <w:r>
        <w:rPr>
          <w:color w:val="000000"/>
        </w:rPr>
        <w:t xml:space="preserve"> seeded into 12-well plates (1 × 10</w:t>
      </w:r>
      <w:r>
        <w:rPr>
          <w:color w:val="000000"/>
          <w:vertAlign w:val="superscript"/>
        </w:rPr>
        <w:t>5</w:t>
      </w:r>
      <w:r>
        <w:rPr>
          <w:color w:val="000000"/>
        </w:rPr>
        <w:t xml:space="preserve"> cells per well) and incubated with FITC labeled HHBP (150 µg/mL) for 1, 2, 4 and 8 h</w:t>
      </w:r>
      <w:r>
        <w:rPr>
          <w:rFonts w:eastAsia="等线"/>
          <w:color w:val="000000"/>
          <w:lang w:eastAsia="zh-CN"/>
        </w:rPr>
        <w:t>.</w:t>
      </w:r>
      <w:r>
        <w:rPr>
          <w:color w:val="000000"/>
        </w:rPr>
        <w:t xml:space="preserve"> The cells were treated by </w:t>
      </w:r>
      <w:r>
        <w:rPr>
          <w:rFonts w:eastAsia="等线"/>
          <w:color w:val="000000"/>
          <w:lang w:eastAsia="zh-CN"/>
        </w:rPr>
        <w:t xml:space="preserve"> </w:t>
      </w:r>
      <w:r>
        <w:rPr>
          <w:color w:val="000000"/>
        </w:rPr>
        <w:t>with or without US irradiation (1</w:t>
      </w:r>
      <w:r w:rsidR="00B52168">
        <w:rPr>
          <w:color w:val="000000"/>
        </w:rPr>
        <w:t>.0</w:t>
      </w:r>
      <w:r>
        <w:rPr>
          <w:color w:val="000000"/>
        </w:rPr>
        <w:t xml:space="preserve"> W/cm</w:t>
      </w:r>
      <w:r>
        <w:rPr>
          <w:color w:val="000000"/>
          <w:vertAlign w:val="superscript"/>
        </w:rPr>
        <w:t>2</w:t>
      </w:r>
      <w:r>
        <w:rPr>
          <w:color w:val="000000"/>
        </w:rPr>
        <w:t>, 1.0 MHz, 50% duty circle</w:t>
      </w:r>
      <w:r>
        <w:rPr>
          <w:rFonts w:eastAsia="等线"/>
          <w:color w:val="000000"/>
          <w:lang w:eastAsia="zh-CN"/>
        </w:rPr>
        <w:t>,</w:t>
      </w:r>
      <w:r>
        <w:rPr>
          <w:color w:val="000000"/>
        </w:rPr>
        <w:t xml:space="preserve"> 1 min)</w:t>
      </w:r>
      <w:r>
        <w:rPr>
          <w:rFonts w:eastAsia="等线"/>
          <w:color w:val="000000"/>
          <w:lang w:eastAsia="zh-CN"/>
        </w:rPr>
        <w:t>,</w:t>
      </w:r>
      <w:r>
        <w:rPr>
          <w:color w:val="000000"/>
        </w:rPr>
        <w:t xml:space="preserve"> respectively. Then, the cells were washed three times with PBS, followed by fixing with 4% paraformaldehyde for 15 min. The cell nucleus was stained by DAPI for 5 min. All the fluorescence images were acquired by laser scanning confocal microscopy (CLSM, Nikon, Japan). Correspondingly, the quantitative analysis of intracellular fluorescence of FITC was further measured by flow cytometry (BD Accuri C6).</w:t>
      </w:r>
    </w:p>
    <w:p w14:paraId="48CE9932" w14:textId="5AAE5249" w:rsidR="00A30671" w:rsidRPr="00652082" w:rsidRDefault="00473F44" w:rsidP="00E773CB">
      <w:pPr>
        <w:spacing w:line="480" w:lineRule="auto"/>
        <w:jc w:val="both"/>
        <w:rPr>
          <w:b/>
          <w:bCs/>
          <w:color w:val="000000"/>
        </w:rPr>
      </w:pPr>
      <w:r w:rsidRPr="00652082">
        <w:rPr>
          <w:b/>
          <w:bCs/>
          <w:color w:val="000000"/>
        </w:rPr>
        <w:t>In vitro cytotoxicity assay</w:t>
      </w:r>
    </w:p>
    <w:p w14:paraId="38D7F4F2" w14:textId="77777777" w:rsidR="00A30671" w:rsidRDefault="00473F44" w:rsidP="00E773CB">
      <w:pPr>
        <w:spacing w:line="480" w:lineRule="auto"/>
        <w:ind w:firstLineChars="200" w:firstLine="480"/>
        <w:jc w:val="both"/>
        <w:rPr>
          <w:color w:val="000000"/>
        </w:rPr>
      </w:pPr>
      <w:r>
        <w:rPr>
          <w:color w:val="000000"/>
        </w:rPr>
        <w:t>The biosafety of HMONs-PEG</w:t>
      </w:r>
      <w:r>
        <w:t xml:space="preserve"> </w:t>
      </w:r>
      <w:r>
        <w:rPr>
          <w:color w:val="000000"/>
        </w:rPr>
        <w:t xml:space="preserve">was evaluated through detecting the viability of different cells, including HUVECs, 4T1 cells, A375 cells and A549 cells by a CCK-8 assay. After </w:t>
      </w:r>
      <w:r>
        <w:rPr>
          <w:color w:val="000000"/>
        </w:rPr>
        <w:lastRenderedPageBreak/>
        <w:t xml:space="preserve">incubated with different concentrations of HMONs-PEG for 24 h, the cells were washed the cells with PBS for three times, and then added into the medium (100 μL) containing CCK-8 reagent (10 μL) for another 2 h incubation. Finally, </w:t>
      </w:r>
      <w:bookmarkStart w:id="10" w:name="OLE_LINK13"/>
      <w:r>
        <w:rPr>
          <w:color w:val="000000"/>
        </w:rPr>
        <w:t>the absorbance at 450 nm was detected by a microplate analyzer.</w:t>
      </w:r>
      <w:bookmarkEnd w:id="10"/>
    </w:p>
    <w:p w14:paraId="4FDCC353" w14:textId="6C97A85D" w:rsidR="00A30671" w:rsidRPr="00652082" w:rsidRDefault="00473F44" w:rsidP="00E773CB">
      <w:pPr>
        <w:spacing w:line="480" w:lineRule="auto"/>
        <w:jc w:val="both"/>
        <w:rPr>
          <w:b/>
        </w:rPr>
      </w:pPr>
      <w:r w:rsidRPr="00652082">
        <w:rPr>
          <w:b/>
        </w:rPr>
        <w:t>In vitro ROS production at cellular level</w:t>
      </w:r>
    </w:p>
    <w:p w14:paraId="633E3811" w14:textId="775671F7" w:rsidR="00A30671" w:rsidRDefault="00473F44" w:rsidP="00E773CB">
      <w:pPr>
        <w:spacing w:line="480" w:lineRule="auto"/>
        <w:ind w:firstLineChars="200" w:firstLine="480"/>
        <w:jc w:val="both"/>
        <w:rPr>
          <w:bCs/>
        </w:rPr>
      </w:pPr>
      <w:r>
        <w:rPr>
          <w:bCs/>
        </w:rPr>
        <w:t>DCFH-DA was served as a probe to detect intracellular ROS generation. Briefly, 4T1 cells were incubated into 12-well plates at a density of 1 × 10</w:t>
      </w:r>
      <w:r>
        <w:rPr>
          <w:bCs/>
          <w:vertAlign w:val="superscript"/>
        </w:rPr>
        <w:t>5</w:t>
      </w:r>
      <w:r>
        <w:rPr>
          <w:bCs/>
        </w:rPr>
        <w:t xml:space="preserve"> cells </w:t>
      </w:r>
      <w:bookmarkStart w:id="11" w:name="OLE_LINK8"/>
      <w:r>
        <w:rPr>
          <w:bCs/>
        </w:rPr>
        <w:t xml:space="preserve">overnight. Subsequently, the cell medium was replaced and the cells were treated with different </w:t>
      </w:r>
      <w:bookmarkEnd w:id="11"/>
      <w:r>
        <w:rPr>
          <w:bCs/>
        </w:rPr>
        <w:t>formulations including PBS, HMME@HMONs-PEG, HHBP for another 4 h. Then, the cells were further exposed to US irradiation (1</w:t>
      </w:r>
      <w:r w:rsidR="00B52168">
        <w:rPr>
          <w:bCs/>
        </w:rPr>
        <w:t>.0</w:t>
      </w:r>
      <w:r>
        <w:rPr>
          <w:bCs/>
        </w:rPr>
        <w:t xml:space="preserve"> W/cm</w:t>
      </w:r>
      <w:r>
        <w:rPr>
          <w:bCs/>
          <w:vertAlign w:val="superscript"/>
        </w:rPr>
        <w:t>2</w:t>
      </w:r>
      <w:r>
        <w:rPr>
          <w:bCs/>
        </w:rPr>
        <w:t>, 1.0 MHz, 50% duty circle, 1 min). Then, the cells were incubated with DCFH-DA (1:1000 dilution) for 30 min according to the provided protocols. The cells were washed three times with PBS and then imaged by fluorescence microscope. Finally, cells were collected and the quantitative analysis of fluorescence intensity was analyzed by flow cytometry.</w:t>
      </w:r>
    </w:p>
    <w:p w14:paraId="64F9DA1C" w14:textId="1122DC91" w:rsidR="00A30671" w:rsidRPr="00652082" w:rsidRDefault="00473F44" w:rsidP="00E773CB">
      <w:pPr>
        <w:spacing w:line="480" w:lineRule="auto"/>
        <w:jc w:val="both"/>
        <w:rPr>
          <w:b/>
        </w:rPr>
      </w:pPr>
      <w:bookmarkStart w:id="12" w:name="_Hlk78162529"/>
      <w:r w:rsidRPr="00652082">
        <w:rPr>
          <w:b/>
        </w:rPr>
        <w:t>In vitro nanotherapeutic performance of HHBP</w:t>
      </w:r>
      <w:bookmarkEnd w:id="12"/>
    </w:p>
    <w:p w14:paraId="603160A0" w14:textId="3AE020BE" w:rsidR="00A30671" w:rsidRDefault="00473F44" w:rsidP="00E773CB">
      <w:pPr>
        <w:spacing w:line="480" w:lineRule="auto"/>
        <w:ind w:firstLineChars="200" w:firstLine="480"/>
        <w:jc w:val="both"/>
        <w:rPr>
          <w:bCs/>
        </w:rPr>
      </w:pPr>
      <w:r>
        <w:rPr>
          <w:bCs/>
        </w:rPr>
        <w:t>4T1 cells were seeded into 96-well plates at a density of 1 × 10</w:t>
      </w:r>
      <w:r>
        <w:rPr>
          <w:bCs/>
          <w:vertAlign w:val="superscript"/>
        </w:rPr>
        <w:t>4</w:t>
      </w:r>
      <w:r>
        <w:rPr>
          <w:bCs/>
        </w:rPr>
        <w:t xml:space="preserve"> cells and treated with PBS, HMME@HMONs-PEG or HHBP for 4 h. Then, part of the cells were further exposed to US irradiation (1</w:t>
      </w:r>
      <w:r w:rsidR="00B52168">
        <w:rPr>
          <w:bCs/>
        </w:rPr>
        <w:t>.0</w:t>
      </w:r>
      <w:r>
        <w:rPr>
          <w:bCs/>
        </w:rPr>
        <w:t xml:space="preserve"> W/cm</w:t>
      </w:r>
      <w:r>
        <w:rPr>
          <w:bCs/>
          <w:vertAlign w:val="superscript"/>
        </w:rPr>
        <w:t>2</w:t>
      </w:r>
      <w:r>
        <w:rPr>
          <w:bCs/>
        </w:rPr>
        <w:t xml:space="preserve">, 1.0 MHz, 50% duty circle, 1 min). After incubated for a total time of 12 h, the cells were washed with PBS for three times and the cell viability was measured by the CCK-8 assay. Correspondingly, all the treated cells were digested with trypsin and stained by </w:t>
      </w:r>
      <w:bookmarkStart w:id="13" w:name="_Hlk78151624"/>
      <w:r>
        <w:rPr>
          <w:bCs/>
        </w:rPr>
        <w:t xml:space="preserve">Calcein-AM/PI Cell Double Dyeing Kit </w:t>
      </w:r>
      <w:bookmarkEnd w:id="13"/>
      <w:r>
        <w:rPr>
          <w:bCs/>
        </w:rPr>
        <w:t xml:space="preserve">according to the instructions. After incubation for 15 min, the cells were visualized under a fluorescence microscope. Next, cell apoptosis apoptosis detection assay was also carried out to further investigate the cell death mechanism. 4T1 cells were seeded in 6-well plates for 24 h and then treated as the same procedure in the CCK-8 assay. Then, the cells were washed with PBS and collected by </w:t>
      </w:r>
      <w:r>
        <w:rPr>
          <w:bCs/>
        </w:rPr>
        <w:lastRenderedPageBreak/>
        <w:t>centrifugation, and then treated with</w:t>
      </w:r>
      <w:bookmarkStart w:id="14" w:name="_Hlk78152305"/>
      <w:r>
        <w:rPr>
          <w:bCs/>
        </w:rPr>
        <w:t xml:space="preserve"> Annexin V-FITC apoptosis detection kit</w:t>
      </w:r>
      <w:bookmarkEnd w:id="14"/>
      <w:r>
        <w:rPr>
          <w:bCs/>
        </w:rPr>
        <w:t>, and finally quantitated by flow cytometer (FACS-Calibur, BD Biosciences).</w:t>
      </w:r>
    </w:p>
    <w:p w14:paraId="6154CF03" w14:textId="017465FF" w:rsidR="00A30671" w:rsidRPr="00652082" w:rsidRDefault="00473F44" w:rsidP="00E773CB">
      <w:pPr>
        <w:spacing w:line="480" w:lineRule="auto"/>
        <w:jc w:val="both"/>
        <w:rPr>
          <w:b/>
        </w:rPr>
      </w:pPr>
      <w:bookmarkStart w:id="15" w:name="_Hlk78162358"/>
      <w:r w:rsidRPr="00652082">
        <w:rPr>
          <w:b/>
        </w:rPr>
        <w:t>Detection of HIF-1α and HK-Ⅱ by western blot assay</w:t>
      </w:r>
      <w:bookmarkEnd w:id="15"/>
    </w:p>
    <w:p w14:paraId="0D968DB8" w14:textId="2D4EF5F3" w:rsidR="00A30671" w:rsidRDefault="00473F44" w:rsidP="00E773CB">
      <w:pPr>
        <w:spacing w:line="480" w:lineRule="auto"/>
        <w:ind w:firstLineChars="200" w:firstLine="480"/>
        <w:jc w:val="both"/>
        <w:rPr>
          <w:bCs/>
        </w:rPr>
      </w:pPr>
      <w:r>
        <w:rPr>
          <w:bCs/>
        </w:rPr>
        <w:t xml:space="preserve">The expression of HIK-2 and HIF-α in cells was evaluated by Western blot assay. The BCA protein concentration determination kit was used to measure the protein concentration, and the specific method was referred to the kit instructions. Briefly, </w:t>
      </w:r>
      <w:bookmarkStart w:id="16" w:name="_Hlk73465374"/>
      <w:r>
        <w:rPr>
          <w:bCs/>
        </w:rPr>
        <w:t xml:space="preserve">the 4T1 cells were inoculated into </w:t>
      </w:r>
      <w:bookmarkStart w:id="17" w:name="OLE_LINK11"/>
      <w:r>
        <w:rPr>
          <w:bCs/>
        </w:rPr>
        <w:t>6-well plates (2 × 10</w:t>
      </w:r>
      <w:r>
        <w:rPr>
          <w:bCs/>
          <w:vertAlign w:val="superscript"/>
        </w:rPr>
        <w:t>5</w:t>
      </w:r>
      <w:r>
        <w:rPr>
          <w:bCs/>
        </w:rPr>
        <w:t xml:space="preserve"> cells per well)</w:t>
      </w:r>
      <w:bookmarkEnd w:id="17"/>
      <w:r>
        <w:rPr>
          <w:bCs/>
        </w:rPr>
        <w:t xml:space="preserve"> and incubated with PBS, HMME@HMONs-PEG (100 µg/mL) or HHBP (100 µg/mL) for 4 h. Then, part of the cells were further exposed to US irradiation (1</w:t>
      </w:r>
      <w:r w:rsidR="00B52168">
        <w:rPr>
          <w:bCs/>
        </w:rPr>
        <w:t>.0</w:t>
      </w:r>
      <w:r>
        <w:rPr>
          <w:bCs/>
        </w:rPr>
        <w:t xml:space="preserve"> W/cm</w:t>
      </w:r>
      <w:r>
        <w:rPr>
          <w:bCs/>
          <w:vertAlign w:val="superscript"/>
        </w:rPr>
        <w:t>2</w:t>
      </w:r>
      <w:r>
        <w:rPr>
          <w:bCs/>
        </w:rPr>
        <w:t xml:space="preserve">, 1.0 MHz, 50% duty circle, 1 min). </w:t>
      </w:r>
      <w:bookmarkEnd w:id="16"/>
      <w:r>
        <w:rPr>
          <w:bCs/>
        </w:rPr>
        <w:t xml:space="preserve">After incubated for a total time of 6 h, cell lysates with protease inhibitor are added to extract the proteins. The proteins were separated by sodium dodecyl sulfate polyacrylamide gel electrophoresis (10%) and then transferred to polyvinylidene fluoride membrane (Millipore, IPVH00010). The membrane was decolorized and sealed with 5% skim milk (0.5%TBST) on a shaker for 1 h. The primary antibodies (HIF-1α (1:2000 dilution, Abcam, ab16066) and HK-Ⅱ (1:5000 dilution, Abcam, ab227198)) was diluted and incubated overnight at 4 ℃, and then the membranes were washed with TBST for three times and hybridized with relevant secondary antibody for 1 h. Finally, the film was observed by chemiluminescence. The protein expression and the band strength was quantified using Image Pro Plus 6.0 software. β-actin is served as a loading control. Each treatment had three parallel samples, and the data were expressed as mean ± standard deviation (n = 3). </w:t>
      </w:r>
    </w:p>
    <w:p w14:paraId="63C78756" w14:textId="69798767" w:rsidR="00A30671" w:rsidRPr="00652082" w:rsidRDefault="00473F44" w:rsidP="00E773CB">
      <w:pPr>
        <w:spacing w:line="480" w:lineRule="auto"/>
        <w:jc w:val="both"/>
        <w:rPr>
          <w:b/>
          <w:bCs/>
          <w:color w:val="000000"/>
        </w:rPr>
      </w:pPr>
      <w:bookmarkStart w:id="18" w:name="_Hlk78240753"/>
      <w:r w:rsidRPr="00652082">
        <w:rPr>
          <w:b/>
          <w:bCs/>
          <w:color w:val="000000"/>
        </w:rPr>
        <w:t>Detection of cellular mitochondrial membrane potential</w:t>
      </w:r>
      <w:bookmarkStart w:id="19" w:name="_Hlk78153218"/>
      <w:bookmarkEnd w:id="18"/>
      <w:r w:rsidRPr="00652082">
        <w:rPr>
          <w:b/>
          <w:bCs/>
          <w:color w:val="000000"/>
        </w:rPr>
        <w:t xml:space="preserve"> </w:t>
      </w:r>
    </w:p>
    <w:p w14:paraId="789FD09F" w14:textId="77777777" w:rsidR="00A30671" w:rsidRDefault="00473F44" w:rsidP="00E773CB">
      <w:pPr>
        <w:spacing w:line="480" w:lineRule="auto"/>
        <w:ind w:firstLineChars="200" w:firstLine="480"/>
        <w:jc w:val="both"/>
        <w:rPr>
          <w:color w:val="000000"/>
        </w:rPr>
      </w:pPr>
      <w:r>
        <w:rPr>
          <w:color w:val="000000"/>
        </w:rPr>
        <w:t>Mitochondrial membrane potential detection kit (JC-1)</w:t>
      </w:r>
      <w:bookmarkEnd w:id="19"/>
      <w:r>
        <w:rPr>
          <w:color w:val="000000"/>
        </w:rPr>
        <w:t xml:space="preserve"> was used as a probe to detect the changes of intracellular mitochondrial membrane potential.</w:t>
      </w:r>
      <w:bookmarkStart w:id="20" w:name="_Hlk73536923"/>
      <w:r>
        <w:t xml:space="preserve"> </w:t>
      </w:r>
      <w:r>
        <w:rPr>
          <w:color w:val="000000"/>
        </w:rPr>
        <w:t>In brief, 4T1 cells with</w:t>
      </w:r>
      <w:r>
        <w:rPr>
          <w:rFonts w:eastAsia="等线"/>
          <w:color w:val="000000"/>
          <w:lang w:eastAsia="zh-CN"/>
        </w:rPr>
        <w:t xml:space="preserve"> </w:t>
      </w:r>
      <w:r>
        <w:rPr>
          <w:color w:val="000000"/>
        </w:rPr>
        <w:t xml:space="preserve">respective treatments (as mentioned </w:t>
      </w:r>
      <w:r>
        <w:rPr>
          <w:rFonts w:eastAsia="等线"/>
          <w:color w:val="000000"/>
          <w:lang w:eastAsia="zh-CN"/>
        </w:rPr>
        <w:t>in</w:t>
      </w:r>
      <w:r>
        <w:rPr>
          <w:color w:val="000000"/>
        </w:rPr>
        <w:t xml:space="preserve"> </w:t>
      </w:r>
      <w:r>
        <w:rPr>
          <w:rFonts w:eastAsia="等线"/>
          <w:color w:val="000000"/>
          <w:lang w:eastAsia="zh-CN"/>
        </w:rPr>
        <w:t>section</w:t>
      </w:r>
      <w:r>
        <w:rPr>
          <w:color w:val="000000"/>
        </w:rPr>
        <w:t xml:space="preserve"> </w:t>
      </w:r>
      <w:r>
        <w:rPr>
          <w:rFonts w:eastAsia="等线"/>
          <w:color w:val="000000"/>
          <w:lang w:eastAsia="zh-CN"/>
        </w:rPr>
        <w:t>of</w:t>
      </w:r>
      <w:r>
        <w:rPr>
          <w:color w:val="000000"/>
        </w:rPr>
        <w:t xml:space="preserve"> </w:t>
      </w:r>
      <w:r>
        <w:rPr>
          <w:rFonts w:eastAsia="等线"/>
          <w:color w:val="000000"/>
          <w:lang w:eastAsia="zh-CN"/>
        </w:rPr>
        <w:t>“In Vitro Nanotherapeutic Performance of HHBP”</w:t>
      </w:r>
      <w:r>
        <w:rPr>
          <w:color w:val="000000"/>
        </w:rPr>
        <w:t xml:space="preserve">) were collected and then stained with JC-1 (1:5000 dilution) for 45 min according to the </w:t>
      </w:r>
      <w:r>
        <w:rPr>
          <w:color w:val="000000"/>
        </w:rPr>
        <w:lastRenderedPageBreak/>
        <w:t>specification. After that, the cells were washed three times with  PBS and the fluorescence images were acquired by fluorescence microscope.</w:t>
      </w:r>
      <w:bookmarkEnd w:id="20"/>
    </w:p>
    <w:p w14:paraId="2613508F" w14:textId="764C7B38" w:rsidR="00A30671" w:rsidRPr="00652082" w:rsidRDefault="00473F44" w:rsidP="00E773CB">
      <w:pPr>
        <w:spacing w:line="480" w:lineRule="auto"/>
        <w:jc w:val="both"/>
        <w:rPr>
          <w:b/>
          <w:bCs/>
          <w:color w:val="000000"/>
        </w:rPr>
      </w:pPr>
      <w:bookmarkStart w:id="21" w:name="OLE_LINK2"/>
      <w:r w:rsidRPr="00652082">
        <w:rPr>
          <w:b/>
          <w:bCs/>
          <w:color w:val="000000"/>
        </w:rPr>
        <w:t>Detection</w:t>
      </w:r>
      <w:bookmarkEnd w:id="21"/>
      <w:r w:rsidRPr="00652082">
        <w:rPr>
          <w:b/>
          <w:bCs/>
          <w:color w:val="000000"/>
        </w:rPr>
        <w:t xml:space="preserve"> of </w:t>
      </w:r>
      <w:bookmarkStart w:id="22" w:name="OLE_LINK15"/>
      <w:bookmarkStart w:id="23" w:name="_Hlk78240779"/>
      <w:r w:rsidRPr="00652082">
        <w:rPr>
          <w:b/>
          <w:bCs/>
          <w:color w:val="000000"/>
        </w:rPr>
        <w:t>intracellular</w:t>
      </w:r>
      <w:bookmarkEnd w:id="22"/>
      <w:r w:rsidRPr="00652082">
        <w:rPr>
          <w:b/>
          <w:bCs/>
          <w:color w:val="000000"/>
        </w:rPr>
        <w:t xml:space="preserve"> </w:t>
      </w:r>
      <w:bookmarkStart w:id="24" w:name="OLE_LINK14"/>
      <w:r w:rsidRPr="00652082">
        <w:rPr>
          <w:b/>
          <w:bCs/>
          <w:color w:val="000000"/>
        </w:rPr>
        <w:t>autophagy</w:t>
      </w:r>
      <w:bookmarkEnd w:id="23"/>
      <w:bookmarkEnd w:id="24"/>
    </w:p>
    <w:p w14:paraId="4E064DE6" w14:textId="77777777" w:rsidR="00A30671" w:rsidRDefault="00473F44" w:rsidP="00E773CB">
      <w:pPr>
        <w:spacing w:line="480" w:lineRule="auto"/>
        <w:ind w:firstLineChars="200" w:firstLine="480"/>
        <w:jc w:val="both"/>
        <w:rPr>
          <w:color w:val="000000"/>
        </w:rPr>
      </w:pPr>
      <w:r>
        <w:rPr>
          <w:color w:val="000000"/>
        </w:rPr>
        <w:t xml:space="preserve">For the Western blot assay, </w:t>
      </w:r>
      <w:bookmarkStart w:id="25" w:name="_Hlk78158113"/>
      <w:r>
        <w:rPr>
          <w:color w:val="000000"/>
        </w:rPr>
        <w:t>4T1 cells with</w:t>
      </w:r>
      <w:r>
        <w:rPr>
          <w:rFonts w:eastAsia="等线"/>
          <w:color w:val="000000"/>
          <w:lang w:eastAsia="zh-CN"/>
        </w:rPr>
        <w:t xml:space="preserve"> </w:t>
      </w:r>
      <w:r>
        <w:rPr>
          <w:color w:val="000000"/>
        </w:rPr>
        <w:t>respective treatments</w:t>
      </w:r>
      <w:bookmarkEnd w:id="25"/>
      <w:r>
        <w:rPr>
          <w:color w:val="000000"/>
        </w:rPr>
        <w:t xml:space="preserve"> were lysed and the protein was extracted. The expression of P62 and LC3 in the cells after different treatments were measured by Western blot assay with the protocols as mentioned </w:t>
      </w:r>
      <w:r>
        <w:rPr>
          <w:rFonts w:eastAsia="等线"/>
          <w:color w:val="000000"/>
          <w:lang w:eastAsia="zh-CN"/>
        </w:rPr>
        <w:t>in section of “Detection of HK-Ⅱ and HIF-1α by Western Blot Assay”</w:t>
      </w:r>
      <w:r>
        <w:rPr>
          <w:color w:val="000000"/>
        </w:rPr>
        <w:t>.</w:t>
      </w:r>
    </w:p>
    <w:p w14:paraId="62E74320" w14:textId="77777777" w:rsidR="00A30671" w:rsidRDefault="00473F44" w:rsidP="00E773CB">
      <w:pPr>
        <w:spacing w:line="480" w:lineRule="auto"/>
        <w:ind w:firstLineChars="200" w:firstLine="480"/>
        <w:jc w:val="both"/>
        <w:rPr>
          <w:color w:val="000000"/>
        </w:rPr>
      </w:pPr>
      <w:r>
        <w:rPr>
          <w:color w:val="000000"/>
        </w:rPr>
        <w:t>For the MDC staining assay,</w:t>
      </w:r>
      <w:bookmarkStart w:id="26" w:name="_Hlk78156569"/>
      <w:r>
        <w:rPr>
          <w:color w:val="000000"/>
        </w:rPr>
        <w:t xml:space="preserve"> MDC and DAPGreen-Autophgy </w:t>
      </w:r>
      <w:bookmarkEnd w:id="26"/>
      <w:r>
        <w:rPr>
          <w:color w:val="000000"/>
        </w:rPr>
        <w:t xml:space="preserve">were used to observe intracellular autophagy. </w:t>
      </w:r>
      <w:bookmarkStart w:id="27" w:name="_Hlk73550857"/>
      <w:r>
        <w:rPr>
          <w:color w:val="000000"/>
        </w:rPr>
        <w:t>4T1 cells seeded into confocal petri dish (1 × 10</w:t>
      </w:r>
      <w:r>
        <w:rPr>
          <w:color w:val="000000"/>
          <w:vertAlign w:val="superscript"/>
        </w:rPr>
        <w:t>5</w:t>
      </w:r>
      <w:r>
        <w:rPr>
          <w:color w:val="000000"/>
        </w:rPr>
        <w:t xml:space="preserve"> cells per well) and treated as the procedure as-mentioned in the CCK-8 assay. After that, </w:t>
      </w:r>
      <w:bookmarkEnd w:id="27"/>
      <w:r>
        <w:rPr>
          <w:color w:val="000000"/>
        </w:rPr>
        <w:t>the cells were stained with MDC or DAPGreen-autophgy according to the specification, and then washed three times with PBS. The fluorescence images</w:t>
      </w:r>
      <w:r>
        <w:t xml:space="preserve"> indicated </w:t>
      </w:r>
      <w:r>
        <w:rPr>
          <w:color w:val="000000"/>
        </w:rPr>
        <w:t>the LC3 dots from different treatments were acquired by fluorescence microscope.</w:t>
      </w:r>
    </w:p>
    <w:p w14:paraId="5D0702E8" w14:textId="77777777" w:rsidR="00A30671" w:rsidRDefault="00473F44" w:rsidP="00E773CB">
      <w:pPr>
        <w:spacing w:line="480" w:lineRule="auto"/>
        <w:ind w:firstLineChars="200" w:firstLine="480"/>
        <w:jc w:val="both"/>
        <w:rPr>
          <w:color w:val="000000"/>
        </w:rPr>
      </w:pPr>
      <w:r>
        <w:rPr>
          <w:color w:val="000000"/>
        </w:rPr>
        <w:t xml:space="preserve">Next, TEM was used to observe intracellular autophagosomes. 4T1 cells with respective treatments were scraped off with a cell scraper and centrifuged. Then,the  cells were collected and fixed with glutaraldehyde solution (2.5%) for 1 h. After that, the fixed solution was poured out and the sample was rinsed with PBS (pH 7.0) for three times. After fixing with 1% osmium acid solution for another 2h, the autophagosomes in these cell sections were observed by TEM after dehydration, embedding, secting and staining. </w:t>
      </w:r>
    </w:p>
    <w:p w14:paraId="710767C7" w14:textId="493E3801" w:rsidR="00A30671" w:rsidRPr="00B52168" w:rsidRDefault="00473F44" w:rsidP="00E773CB">
      <w:pPr>
        <w:spacing w:line="480" w:lineRule="auto"/>
        <w:jc w:val="both"/>
        <w:rPr>
          <w:b/>
          <w:bCs/>
          <w:color w:val="000000"/>
        </w:rPr>
      </w:pPr>
      <w:r w:rsidRPr="00B52168">
        <w:rPr>
          <w:b/>
          <w:bCs/>
          <w:color w:val="000000"/>
        </w:rPr>
        <w:t xml:space="preserve">Detection of </w:t>
      </w:r>
      <w:bookmarkStart w:id="28" w:name="_Hlk78240803"/>
      <w:r w:rsidRPr="00B52168">
        <w:rPr>
          <w:b/>
          <w:bCs/>
          <w:color w:val="000000"/>
        </w:rPr>
        <w:t>intracellular ATP level</w:t>
      </w:r>
      <w:bookmarkEnd w:id="28"/>
    </w:p>
    <w:p w14:paraId="442533E8" w14:textId="77777777" w:rsidR="00A30671" w:rsidRDefault="00473F44" w:rsidP="00E773CB">
      <w:pPr>
        <w:spacing w:line="480" w:lineRule="auto"/>
        <w:ind w:firstLineChars="200" w:firstLine="480"/>
        <w:jc w:val="both"/>
        <w:rPr>
          <w:color w:val="000000"/>
        </w:rPr>
      </w:pPr>
      <w:bookmarkStart w:id="29" w:name="_Hlk78153644"/>
      <w:r>
        <w:rPr>
          <w:color w:val="000000"/>
        </w:rPr>
        <w:t>ATP luminescence assay kit</w:t>
      </w:r>
      <w:bookmarkEnd w:id="29"/>
      <w:r>
        <w:rPr>
          <w:color w:val="000000"/>
        </w:rPr>
        <w:t xml:space="preserve"> was used to determinate the</w:t>
      </w:r>
      <w:r>
        <w:t xml:space="preserve"> </w:t>
      </w:r>
      <w:r>
        <w:rPr>
          <w:color w:val="000000"/>
        </w:rPr>
        <w:t>ATP level . 4T1 cells seeded into 6-well plates (2 × 10</w:t>
      </w:r>
      <w:r>
        <w:rPr>
          <w:color w:val="000000"/>
          <w:vertAlign w:val="superscript"/>
        </w:rPr>
        <w:t>5</w:t>
      </w:r>
      <w:r>
        <w:rPr>
          <w:color w:val="000000"/>
        </w:rPr>
        <w:t xml:space="preserve"> cells per well) and cultured overnight. The cells were treated as the procedure as-mentioned in the CCK-8 assay. Then, the cells were harvested and the levels of intracellular ATP were measured using an ATP luminescence assay kit according to the according to the</w:t>
      </w:r>
      <w:r>
        <w:rPr>
          <w:rFonts w:eastAsia="等线"/>
          <w:color w:val="000000"/>
          <w:lang w:eastAsia="zh-CN"/>
        </w:rPr>
        <w:t xml:space="preserve"> </w:t>
      </w:r>
      <w:r>
        <w:rPr>
          <w:color w:val="000000"/>
        </w:rPr>
        <w:t>specifications. The luminescent signals were measured by a luminometer.</w:t>
      </w:r>
    </w:p>
    <w:p w14:paraId="6245136F" w14:textId="6F2001DC" w:rsidR="00A30671" w:rsidRPr="00652082" w:rsidRDefault="00473F44" w:rsidP="00E773CB">
      <w:pPr>
        <w:spacing w:line="480" w:lineRule="auto"/>
        <w:jc w:val="both"/>
        <w:rPr>
          <w:b/>
        </w:rPr>
      </w:pPr>
      <w:r w:rsidRPr="00652082">
        <w:rPr>
          <w:b/>
        </w:rPr>
        <w:t>Animals and tumor model</w:t>
      </w:r>
    </w:p>
    <w:p w14:paraId="0F078675" w14:textId="77777777" w:rsidR="00A30671" w:rsidRDefault="00473F44" w:rsidP="00E773CB">
      <w:pPr>
        <w:spacing w:line="480" w:lineRule="auto"/>
        <w:ind w:firstLineChars="200" w:firstLine="480"/>
        <w:jc w:val="both"/>
        <w:rPr>
          <w:bCs/>
        </w:rPr>
      </w:pPr>
      <w:r>
        <w:rPr>
          <w:bCs/>
        </w:rPr>
        <w:lastRenderedPageBreak/>
        <w:t>Healthy female BALB/c nude mice (4-6 weeks) were provided by the Animal Center of Shanghai Sixth People's Hospital. All animal experiments were conducted under the protocols approved by the Institutional Animal Care and Use Committee (IACUC) of Shanghai Jiao Tong University Affiliated Sixth People's Hospital (Animal Welfare Ethics acceptance number No: DWLL2020-0582). The 4T1 cell subcutaneous tumor model was established by subcutaneously injecting 100 μL of 2 × 10</w:t>
      </w:r>
      <w:r>
        <w:rPr>
          <w:bCs/>
          <w:vertAlign w:val="superscript"/>
        </w:rPr>
        <w:t>6</w:t>
      </w:r>
      <w:r>
        <w:rPr>
          <w:bCs/>
        </w:rPr>
        <w:t xml:space="preserve"> cells suspension into female nude mice. The body weight of the mice was monitored and the tumor volume (V) was calculated as V = 0.5 </w:t>
      </w:r>
      <w:r>
        <w:rPr>
          <w:bCs/>
        </w:rPr>
        <w:sym w:font="Symbol" w:char="F0B4"/>
      </w:r>
      <w:r>
        <w:rPr>
          <w:bCs/>
        </w:rPr>
        <w:t xml:space="preserve"> L × W</w:t>
      </w:r>
      <w:r>
        <w:rPr>
          <w:bCs/>
          <w:vertAlign w:val="superscript"/>
        </w:rPr>
        <w:t>2</w:t>
      </w:r>
      <w:r>
        <w:rPr>
          <w:bCs/>
        </w:rPr>
        <w:t xml:space="preserve">, where L and W represented the length and width of the tumor respectively. </w:t>
      </w:r>
    </w:p>
    <w:p w14:paraId="2EBDF705" w14:textId="39F45221" w:rsidR="00A30671" w:rsidRPr="00652082" w:rsidRDefault="00473F44" w:rsidP="00E773CB">
      <w:pPr>
        <w:spacing w:line="480" w:lineRule="auto"/>
        <w:jc w:val="both"/>
        <w:rPr>
          <w:b/>
          <w:bCs/>
          <w:color w:val="000000"/>
        </w:rPr>
      </w:pPr>
      <w:r w:rsidRPr="00652082">
        <w:rPr>
          <w:b/>
          <w:bCs/>
          <w:color w:val="000000"/>
        </w:rPr>
        <w:t>In vivo fluorescence imaging</w:t>
      </w:r>
    </w:p>
    <w:p w14:paraId="48BA3D5A" w14:textId="77777777" w:rsidR="00A30671" w:rsidRDefault="00473F44" w:rsidP="00E773CB">
      <w:pPr>
        <w:spacing w:line="480" w:lineRule="auto"/>
        <w:ind w:firstLineChars="200" w:firstLine="480"/>
        <w:jc w:val="both"/>
        <w:rPr>
          <w:b/>
          <w:bCs/>
          <w:color w:val="000000"/>
        </w:rPr>
      </w:pPr>
      <w:r>
        <w:rPr>
          <w:color w:val="000000"/>
        </w:rPr>
        <w:t xml:space="preserve">ICG-loaded HHBP </w:t>
      </w:r>
      <w:r>
        <w:rPr>
          <w:rFonts w:eastAsia="等线"/>
          <w:color w:val="000000"/>
          <w:lang w:eastAsia="zh-CN"/>
        </w:rPr>
        <w:t>nanoparticles</w:t>
      </w:r>
      <w:r>
        <w:rPr>
          <w:color w:val="000000"/>
        </w:rPr>
        <w:t xml:space="preserve"> were </w:t>
      </w:r>
      <w:r>
        <w:rPr>
          <w:rFonts w:eastAsia="等线"/>
          <w:color w:val="000000"/>
          <w:lang w:eastAsia="zh-CN"/>
        </w:rPr>
        <w:t>prepared</w:t>
      </w:r>
      <w:r>
        <w:rPr>
          <w:color w:val="000000"/>
        </w:rPr>
        <w:t xml:space="preserve"> to evaluate the biodistribution of HHBP. 4T1 tumor bearing nude mice were intravenously injected with ICG-loaded HHBP </w:t>
      </w:r>
      <w:r>
        <w:rPr>
          <w:rFonts w:eastAsia="等线"/>
          <w:color w:val="000000"/>
          <w:lang w:eastAsia="zh-CN"/>
        </w:rPr>
        <w:t>nanoparticles</w:t>
      </w:r>
      <w:r>
        <w:rPr>
          <w:color w:val="000000"/>
        </w:rPr>
        <w:t xml:space="preserve"> (1.85 mg/kg</w:t>
      </w:r>
      <w:r>
        <w:rPr>
          <w:color w:val="000000"/>
          <w:vertAlign w:val="superscript"/>
        </w:rPr>
        <w:t xml:space="preserve"> </w:t>
      </w:r>
      <w:r>
        <w:rPr>
          <w:color w:val="000000"/>
        </w:rPr>
        <w:t>equivalent ICG</w:t>
      </w:r>
      <w:r>
        <w:rPr>
          <w:rFonts w:eastAsia="等线"/>
          <w:color w:val="000000"/>
          <w:lang w:eastAsia="zh-CN"/>
        </w:rPr>
        <w:t>, 100 μL</w:t>
      </w:r>
      <w:r>
        <w:rPr>
          <w:color w:val="000000"/>
        </w:rPr>
        <w:t xml:space="preserve">). At time points of 0, 0.5, 4, 8, 12, 16, and 24 h post-injection, </w:t>
      </w:r>
      <w:r>
        <w:rPr>
          <w:rFonts w:eastAsia="等线"/>
          <w:color w:val="000000"/>
          <w:lang w:eastAsia="zh-CN"/>
        </w:rPr>
        <w:t>t</w:t>
      </w:r>
      <w:r>
        <w:rPr>
          <w:color w:val="000000"/>
        </w:rPr>
        <w:t xml:space="preserve">he fluorescence imaging was conducted at by using a </w:t>
      </w:r>
      <w:bookmarkStart w:id="30" w:name="OLE_LINK17"/>
      <w:r>
        <w:rPr>
          <w:color w:val="000000"/>
        </w:rPr>
        <w:t>in vivo imaging system (</w:t>
      </w:r>
      <w:r>
        <w:rPr>
          <w:rFonts w:eastAsia="等线"/>
          <w:lang w:eastAsia="zh-CN"/>
        </w:rPr>
        <w:t>VISQUE, invivo Elite)</w:t>
      </w:r>
      <w:bookmarkEnd w:id="30"/>
      <w:r>
        <w:rPr>
          <w:color w:val="000000"/>
        </w:rPr>
        <w:t xml:space="preserve">. Then, the mice were sacrificed, </w:t>
      </w:r>
      <w:r>
        <w:rPr>
          <w:rFonts w:eastAsia="等线"/>
          <w:color w:val="000000"/>
          <w:lang w:eastAsia="zh-CN"/>
        </w:rPr>
        <w:t>and</w:t>
      </w:r>
      <w:r>
        <w:rPr>
          <w:color w:val="000000"/>
        </w:rPr>
        <w:t xml:space="preserve"> </w:t>
      </w:r>
      <w:r>
        <w:rPr>
          <w:rFonts w:eastAsia="等线"/>
          <w:color w:val="000000"/>
          <w:lang w:eastAsia="zh-CN"/>
        </w:rPr>
        <w:t>the</w:t>
      </w:r>
      <w:r>
        <w:rPr>
          <w:color w:val="000000"/>
        </w:rPr>
        <w:t xml:space="preserve"> major organs (e.g., heart, liver, spleen, lung, and kidney) and tumors were collected for ex vivo imaging</w:t>
      </w:r>
      <w:r>
        <w:t xml:space="preserve"> </w:t>
      </w:r>
      <w:r>
        <w:rPr>
          <w:color w:val="000000"/>
        </w:rPr>
        <w:t>under the same conditions.</w:t>
      </w:r>
    </w:p>
    <w:p w14:paraId="2BD08AED" w14:textId="6CFF838B" w:rsidR="00A30671" w:rsidRPr="00652082" w:rsidRDefault="00473F44" w:rsidP="00E773CB">
      <w:pPr>
        <w:spacing w:line="480" w:lineRule="auto"/>
        <w:jc w:val="both"/>
        <w:rPr>
          <w:b/>
        </w:rPr>
      </w:pPr>
      <w:r w:rsidRPr="00652082">
        <w:rPr>
          <w:b/>
        </w:rPr>
        <w:t>In vivo antitumor assays</w:t>
      </w:r>
    </w:p>
    <w:p w14:paraId="7A6E68C8" w14:textId="77777777" w:rsidR="00A30671" w:rsidRDefault="00473F44" w:rsidP="00E773CB">
      <w:pPr>
        <w:spacing w:line="480" w:lineRule="auto"/>
        <w:ind w:firstLineChars="200" w:firstLine="480"/>
        <w:jc w:val="both"/>
        <w:rPr>
          <w:bCs/>
        </w:rPr>
      </w:pPr>
      <w:r>
        <w:rPr>
          <w:bCs/>
        </w:rPr>
        <w:t>When the tumor size reached 150 mm</w:t>
      </w:r>
      <w:r>
        <w:rPr>
          <w:bCs/>
          <w:vertAlign w:val="superscript"/>
        </w:rPr>
        <w:t>3</w:t>
      </w:r>
      <w:r>
        <w:rPr>
          <w:bCs/>
        </w:rPr>
        <w:t xml:space="preserve">, </w:t>
      </w:r>
      <w:bookmarkStart w:id="31" w:name="OLE_LINK23"/>
      <w:r>
        <w:rPr>
          <w:bCs/>
        </w:rPr>
        <w:t>the mice were randomly divided into five groups (n = 6): I) PBS, II) HMME@HMONs-PEG, III) HHBP, IV) HMME@HMONs-PEG + US, V) HHBP + US. Mice were intravenously injected with 100 μL HMME@HMONs-PEG (HMME: 8 mg/kg) or HHBP (HMME: 8 mg/kg, 3BP: 3.4 mg/kg), respectively. The parameters of US irradiation are as follows: 1.5 W/cm</w:t>
      </w:r>
      <w:r>
        <w:rPr>
          <w:bCs/>
          <w:vertAlign w:val="superscript"/>
        </w:rPr>
        <w:t>2</w:t>
      </w:r>
      <w:r>
        <w:rPr>
          <w:bCs/>
        </w:rPr>
        <w:t xml:space="preserve">, 1.0 MHz, 50% duty circle for 5 min. Mice were administrated drugs and irradiated at day 1 and 4. </w:t>
      </w:r>
      <w:bookmarkEnd w:id="31"/>
      <w:r>
        <w:rPr>
          <w:bCs/>
        </w:rPr>
        <w:t xml:space="preserve">After 12 h of treatments, tumor blocks of mice were taken out and frozen at -20 °C for DHE staining to detect ROS, HIF-1α staining to measure the extent of tumor hypoxia, and LC3 staining to detect autophagy level. After treatments, the tumor-bearing nude mice were sacrificed and the tumor tissues were </w:t>
      </w:r>
      <w:r>
        <w:rPr>
          <w:bCs/>
        </w:rPr>
        <w:lastRenderedPageBreak/>
        <w:t xml:space="preserve">collected for </w:t>
      </w:r>
      <w:bookmarkStart w:id="32" w:name="_Hlk78160690"/>
      <w:r>
        <w:rPr>
          <w:bCs/>
        </w:rPr>
        <w:t>H&amp;E, Ki67, and TUNEL</w:t>
      </w:r>
      <w:bookmarkEnd w:id="32"/>
      <w:r>
        <w:rPr>
          <w:bCs/>
        </w:rPr>
        <w:t xml:space="preserve"> staining. Additionally, the major tissues were also dissected to make paraffin sections for further H&amp;E staining.</w:t>
      </w:r>
    </w:p>
    <w:p w14:paraId="78B6B3D1" w14:textId="2166573F" w:rsidR="00A30671" w:rsidRPr="00652082" w:rsidRDefault="00473F44" w:rsidP="00E773CB">
      <w:pPr>
        <w:spacing w:line="480" w:lineRule="auto"/>
        <w:jc w:val="both"/>
        <w:rPr>
          <w:b/>
          <w:bCs/>
          <w:color w:val="000000"/>
        </w:rPr>
      </w:pPr>
      <w:r w:rsidRPr="00652082">
        <w:rPr>
          <w:b/>
          <w:bCs/>
          <w:color w:val="000000"/>
        </w:rPr>
        <w:t>In vivo toxicity evaluation</w:t>
      </w:r>
    </w:p>
    <w:p w14:paraId="141D602D" w14:textId="77777777" w:rsidR="00A30671" w:rsidRDefault="00473F44" w:rsidP="00E773CB">
      <w:pPr>
        <w:spacing w:line="480" w:lineRule="auto"/>
        <w:ind w:firstLineChars="200" w:firstLine="480"/>
        <w:jc w:val="both"/>
        <w:rPr>
          <w:color w:val="000000"/>
        </w:rPr>
      </w:pPr>
      <w:r>
        <w:rPr>
          <w:color w:val="000000"/>
        </w:rPr>
        <w:t>The healthy ICR mice were euthanized at 3th day, 7th day, and 14th day (six</w:t>
      </w:r>
      <w:r>
        <w:rPr>
          <w:rFonts w:eastAsia="等线"/>
          <w:color w:val="000000"/>
          <w:lang w:eastAsia="zh-CN"/>
        </w:rPr>
        <w:t xml:space="preserve"> </w:t>
      </w:r>
      <w:r>
        <w:rPr>
          <w:color w:val="000000"/>
        </w:rPr>
        <w:t>mice at each group) after injected with 100 μL of HHBP (HMME:8 mg/kg, 3BP: 3.4 mg/kg). In addition, untreated ICR mice were served as control group. Blood samples were collected for routine blood analysis and serum biochemical tests. </w:t>
      </w:r>
    </w:p>
    <w:p w14:paraId="45FF4C94" w14:textId="77777777" w:rsidR="00A30671" w:rsidRDefault="00A30671" w:rsidP="00E773CB">
      <w:pPr>
        <w:spacing w:line="480" w:lineRule="auto"/>
        <w:ind w:firstLineChars="200" w:firstLine="480"/>
        <w:jc w:val="both"/>
        <w:rPr>
          <w:bCs/>
        </w:rPr>
      </w:pPr>
    </w:p>
    <w:p w14:paraId="6E29A660" w14:textId="77777777" w:rsidR="00A30671" w:rsidRDefault="00A30671" w:rsidP="00E773CB">
      <w:pPr>
        <w:spacing w:line="480" w:lineRule="auto"/>
        <w:ind w:firstLineChars="200" w:firstLine="480"/>
        <w:jc w:val="both"/>
        <w:rPr>
          <w:color w:val="000000"/>
        </w:rPr>
      </w:pPr>
    </w:p>
    <w:p w14:paraId="4EE09E32" w14:textId="77777777" w:rsidR="00A30671" w:rsidRDefault="00473F44" w:rsidP="00E773CB">
      <w:pPr>
        <w:spacing w:line="480" w:lineRule="auto"/>
        <w:ind w:firstLineChars="200" w:firstLine="480"/>
        <w:jc w:val="both"/>
        <w:rPr>
          <w:color w:val="000000"/>
        </w:rPr>
      </w:pPr>
      <w:r>
        <w:rPr>
          <w:color w:val="000000"/>
        </w:rPr>
        <w:t xml:space="preserve"> </w:t>
      </w:r>
    </w:p>
    <w:p w14:paraId="1A21BE9B" w14:textId="77777777" w:rsidR="00A30671" w:rsidRDefault="00A30671" w:rsidP="00E773CB">
      <w:pPr>
        <w:spacing w:line="480" w:lineRule="auto"/>
        <w:ind w:firstLineChars="200" w:firstLine="480"/>
        <w:jc w:val="both"/>
        <w:rPr>
          <w:color w:val="000000"/>
        </w:rPr>
      </w:pPr>
    </w:p>
    <w:p w14:paraId="1B99FD01" w14:textId="77777777" w:rsidR="00A30671" w:rsidRDefault="00A30671" w:rsidP="00E773CB">
      <w:pPr>
        <w:spacing w:line="480" w:lineRule="auto"/>
        <w:ind w:firstLineChars="200" w:firstLine="480"/>
        <w:jc w:val="both"/>
        <w:rPr>
          <w:color w:val="000000"/>
        </w:rPr>
      </w:pPr>
    </w:p>
    <w:p w14:paraId="7D8BC7C8" w14:textId="77777777" w:rsidR="00A30671" w:rsidRDefault="00A30671" w:rsidP="00E773CB">
      <w:pPr>
        <w:spacing w:line="480" w:lineRule="auto"/>
        <w:ind w:firstLineChars="200" w:firstLine="480"/>
        <w:jc w:val="both"/>
        <w:rPr>
          <w:color w:val="000000"/>
        </w:rPr>
      </w:pPr>
    </w:p>
    <w:p w14:paraId="767C3B3D" w14:textId="77777777" w:rsidR="00A30671" w:rsidRDefault="00A30671" w:rsidP="00E773CB">
      <w:pPr>
        <w:spacing w:line="480" w:lineRule="auto"/>
        <w:ind w:firstLineChars="200" w:firstLine="480"/>
        <w:jc w:val="both"/>
        <w:rPr>
          <w:color w:val="000000"/>
        </w:rPr>
      </w:pPr>
    </w:p>
    <w:p w14:paraId="16F98F78" w14:textId="77777777" w:rsidR="00A30671" w:rsidRDefault="00A30671" w:rsidP="00E773CB">
      <w:pPr>
        <w:spacing w:line="480" w:lineRule="auto"/>
        <w:ind w:firstLineChars="200" w:firstLine="480"/>
        <w:jc w:val="both"/>
        <w:rPr>
          <w:color w:val="000000"/>
        </w:rPr>
      </w:pPr>
    </w:p>
    <w:p w14:paraId="7F01AF41" w14:textId="77777777" w:rsidR="00A30671" w:rsidRDefault="00A30671" w:rsidP="00E773CB">
      <w:pPr>
        <w:spacing w:line="480" w:lineRule="auto"/>
        <w:ind w:firstLineChars="200" w:firstLine="480"/>
        <w:jc w:val="both"/>
        <w:rPr>
          <w:color w:val="000000"/>
        </w:rPr>
      </w:pPr>
    </w:p>
    <w:p w14:paraId="7EAD4772" w14:textId="77777777" w:rsidR="00A30671" w:rsidRDefault="00A30671" w:rsidP="00E773CB">
      <w:pPr>
        <w:spacing w:line="480" w:lineRule="auto"/>
        <w:ind w:firstLineChars="200" w:firstLine="480"/>
        <w:jc w:val="both"/>
        <w:rPr>
          <w:color w:val="000000"/>
        </w:rPr>
      </w:pPr>
    </w:p>
    <w:p w14:paraId="589AE3E9" w14:textId="77777777" w:rsidR="00A30671" w:rsidRDefault="00A30671" w:rsidP="00E773CB">
      <w:pPr>
        <w:spacing w:line="480" w:lineRule="auto"/>
        <w:ind w:firstLineChars="200" w:firstLine="480"/>
        <w:jc w:val="both"/>
        <w:rPr>
          <w:color w:val="000000"/>
        </w:rPr>
      </w:pPr>
    </w:p>
    <w:p w14:paraId="49265974" w14:textId="77777777" w:rsidR="00A30671" w:rsidRDefault="00A30671" w:rsidP="00E773CB">
      <w:pPr>
        <w:spacing w:line="480" w:lineRule="auto"/>
        <w:ind w:firstLineChars="200" w:firstLine="480"/>
        <w:jc w:val="both"/>
        <w:rPr>
          <w:color w:val="000000"/>
        </w:rPr>
      </w:pPr>
    </w:p>
    <w:p w14:paraId="5F42A1FD" w14:textId="77777777" w:rsidR="00A30671" w:rsidRDefault="00A30671" w:rsidP="00E773CB">
      <w:pPr>
        <w:spacing w:line="480" w:lineRule="auto"/>
        <w:ind w:firstLineChars="200" w:firstLine="480"/>
        <w:jc w:val="both"/>
        <w:rPr>
          <w:color w:val="000000"/>
        </w:rPr>
      </w:pPr>
    </w:p>
    <w:p w14:paraId="1A4D4180" w14:textId="77777777" w:rsidR="00A30671" w:rsidRDefault="00A30671" w:rsidP="00E773CB">
      <w:pPr>
        <w:spacing w:line="480" w:lineRule="auto"/>
        <w:ind w:firstLineChars="200" w:firstLine="480"/>
        <w:jc w:val="both"/>
        <w:rPr>
          <w:color w:val="000000"/>
        </w:rPr>
      </w:pPr>
    </w:p>
    <w:p w14:paraId="20D69621" w14:textId="77777777" w:rsidR="00A30671" w:rsidRDefault="00A30671" w:rsidP="00E773CB">
      <w:pPr>
        <w:spacing w:line="480" w:lineRule="auto"/>
        <w:ind w:firstLineChars="200" w:firstLine="480"/>
        <w:jc w:val="both"/>
        <w:rPr>
          <w:color w:val="000000"/>
        </w:rPr>
      </w:pPr>
    </w:p>
    <w:bookmarkEnd w:id="7"/>
    <w:p w14:paraId="634A4687" w14:textId="77777777" w:rsidR="00A30671" w:rsidRDefault="00473F44" w:rsidP="00E773CB">
      <w:pPr>
        <w:pStyle w:val="EndNoteBibliography"/>
        <w:spacing w:after="0" w:line="480" w:lineRule="auto"/>
        <w:ind w:firstLineChars="200" w:firstLine="480"/>
        <w:jc w:val="center"/>
        <w:rPr>
          <w:rFonts w:ascii="Times New Roman" w:hAnsi="Times New Roman" w:cs="Times New Roman"/>
          <w:szCs w:val="24"/>
        </w:rPr>
      </w:pPr>
      <w:r>
        <w:rPr>
          <w:rFonts w:ascii="Times New Roman" w:hAnsi="Times New Roman" w:cs="Times New Roman"/>
          <w:noProof/>
          <w:szCs w:val="24"/>
        </w:rPr>
        <w:lastRenderedPageBreak/>
        <w:drawing>
          <wp:inline distT="0" distB="0" distL="0" distR="0" wp14:anchorId="099CC827" wp14:editId="5EB728A1">
            <wp:extent cx="3238500" cy="3238500"/>
            <wp:effectExtent l="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3238500" cy="3238500"/>
                    </a:xfrm>
                    <a:prstGeom prst="rect">
                      <a:avLst/>
                    </a:prstGeom>
                    <a:noFill/>
                    <a:ln>
                      <a:noFill/>
                    </a:ln>
                  </pic:spPr>
                </pic:pic>
              </a:graphicData>
            </a:graphic>
          </wp:inline>
        </w:drawing>
      </w:r>
    </w:p>
    <w:p w14:paraId="3380A161" w14:textId="7593F8ED" w:rsidR="00A30671" w:rsidRDefault="00E773CB" w:rsidP="00E773CB">
      <w:pPr>
        <w:pStyle w:val="EndNoteBibliography"/>
        <w:spacing w:after="0" w:line="480" w:lineRule="auto"/>
        <w:jc w:val="center"/>
        <w:rPr>
          <w:rFonts w:ascii="Times New Roman" w:hAnsi="Times New Roman" w:cs="Times New Roman"/>
          <w:szCs w:val="24"/>
        </w:rPr>
      </w:pPr>
      <w:r>
        <w:rPr>
          <w:rFonts w:ascii="Times New Roman" w:eastAsia="MS Mincho" w:hAnsi="Times New Roman" w:cs="Times New Roman" w:hint="eastAsia"/>
          <w:b/>
          <w:bCs/>
          <w:kern w:val="0"/>
          <w:szCs w:val="24"/>
          <w:lang w:val="de-DE" w:eastAsia="ja-JP"/>
        </w:rPr>
        <w:t>Fig.</w:t>
      </w:r>
      <w:r w:rsidR="00FA7FB1" w:rsidRPr="00C772C0">
        <w:rPr>
          <w:rFonts w:ascii="Times New Roman" w:eastAsia="MS Mincho" w:hAnsi="Times New Roman" w:cs="Times New Roman" w:hint="eastAsia"/>
          <w:b/>
          <w:bCs/>
          <w:kern w:val="0"/>
          <w:szCs w:val="24"/>
          <w:lang w:val="de-DE" w:eastAsia="ja-JP"/>
        </w:rPr>
        <w:t xml:space="preserve"> S1</w:t>
      </w:r>
      <w:r w:rsidR="00473F44">
        <w:rPr>
          <w:rFonts w:ascii="Times New Roman" w:hAnsi="Times New Roman" w:cs="Times New Roman"/>
          <w:b/>
          <w:bCs/>
          <w:szCs w:val="24"/>
        </w:rPr>
        <w:t xml:space="preserve">. </w:t>
      </w:r>
      <w:r w:rsidR="00473F44">
        <w:rPr>
          <w:rFonts w:ascii="Times New Roman" w:hAnsi="Times New Roman" w:cs="Times New Roman"/>
          <w:szCs w:val="24"/>
        </w:rPr>
        <w:t>TEM images of SiO</w:t>
      </w:r>
      <w:r w:rsidR="00473F44">
        <w:rPr>
          <w:rFonts w:ascii="Times New Roman" w:hAnsi="Times New Roman" w:cs="Times New Roman"/>
          <w:szCs w:val="24"/>
          <w:vertAlign w:val="subscript"/>
        </w:rPr>
        <w:t>2</w:t>
      </w:r>
      <w:r w:rsidR="00473F44">
        <w:rPr>
          <w:rFonts w:ascii="Times New Roman" w:hAnsi="Times New Roman" w:cs="Times New Roman"/>
          <w:szCs w:val="24"/>
        </w:rPr>
        <w:t>@MONs nanoparticles.</w:t>
      </w:r>
    </w:p>
    <w:p w14:paraId="68BBD523" w14:textId="77777777" w:rsidR="00A30671" w:rsidRDefault="00A30671" w:rsidP="00E773CB">
      <w:pPr>
        <w:spacing w:line="480" w:lineRule="auto"/>
        <w:ind w:firstLineChars="200" w:firstLine="480"/>
        <w:jc w:val="center"/>
      </w:pPr>
    </w:p>
    <w:p w14:paraId="08EC83D3" w14:textId="77777777" w:rsidR="00A30671" w:rsidRDefault="00A30671" w:rsidP="00E773CB">
      <w:pPr>
        <w:spacing w:line="480" w:lineRule="auto"/>
        <w:ind w:firstLineChars="200" w:firstLine="480"/>
        <w:jc w:val="center"/>
      </w:pPr>
    </w:p>
    <w:p w14:paraId="7489DC8A" w14:textId="77777777" w:rsidR="00A30671" w:rsidRDefault="00473F44" w:rsidP="00E773CB">
      <w:pPr>
        <w:spacing w:line="480" w:lineRule="auto"/>
        <w:ind w:firstLineChars="200" w:firstLine="480"/>
        <w:jc w:val="center"/>
      </w:pPr>
      <w:r>
        <w:rPr>
          <w:noProof/>
        </w:rPr>
        <w:drawing>
          <wp:inline distT="0" distB="0" distL="0" distR="0" wp14:anchorId="339E85A0" wp14:editId="63791C7F">
            <wp:extent cx="3651250" cy="3048000"/>
            <wp:effectExtent l="0" t="0" r="635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3651250" cy="3048000"/>
                    </a:xfrm>
                    <a:prstGeom prst="rect">
                      <a:avLst/>
                    </a:prstGeom>
                    <a:noFill/>
                    <a:ln>
                      <a:noFill/>
                    </a:ln>
                  </pic:spPr>
                </pic:pic>
              </a:graphicData>
            </a:graphic>
          </wp:inline>
        </w:drawing>
      </w:r>
    </w:p>
    <w:p w14:paraId="67DE7E63" w14:textId="4257789B" w:rsidR="00A30671" w:rsidRDefault="00E773CB" w:rsidP="00E773CB">
      <w:pPr>
        <w:spacing w:line="480" w:lineRule="auto"/>
        <w:jc w:val="center"/>
        <w:rPr>
          <w:bCs/>
        </w:rPr>
      </w:pPr>
      <w:r>
        <w:rPr>
          <w:rFonts w:hint="eastAsia"/>
          <w:b/>
          <w:bCs/>
        </w:rPr>
        <w:t>Fig.</w:t>
      </w:r>
      <w:r w:rsidR="00FA7FB1" w:rsidRPr="00C772C0">
        <w:rPr>
          <w:rFonts w:hint="eastAsia"/>
          <w:b/>
          <w:bCs/>
        </w:rPr>
        <w:t xml:space="preserve"> S</w:t>
      </w:r>
      <w:r w:rsidR="00473F44">
        <w:rPr>
          <w:b/>
        </w:rPr>
        <w:t xml:space="preserve">2. </w:t>
      </w:r>
      <w:r w:rsidR="00473F44">
        <w:rPr>
          <w:bCs/>
        </w:rPr>
        <w:t>EDS spectrum of the prepared HMONs.</w:t>
      </w:r>
    </w:p>
    <w:p w14:paraId="5DA3774D" w14:textId="77777777" w:rsidR="00A30671" w:rsidRDefault="00A30671" w:rsidP="00E773CB">
      <w:pPr>
        <w:spacing w:line="480" w:lineRule="auto"/>
        <w:ind w:firstLineChars="200" w:firstLine="480"/>
        <w:jc w:val="center"/>
        <w:rPr>
          <w:bCs/>
        </w:rPr>
      </w:pPr>
    </w:p>
    <w:p w14:paraId="6324AEEB" w14:textId="77777777" w:rsidR="00A30671" w:rsidRDefault="00A30671" w:rsidP="00E773CB">
      <w:pPr>
        <w:spacing w:line="480" w:lineRule="auto"/>
        <w:ind w:firstLineChars="200" w:firstLine="480"/>
        <w:jc w:val="center"/>
        <w:rPr>
          <w:bCs/>
        </w:rPr>
      </w:pPr>
    </w:p>
    <w:p w14:paraId="1157676F" w14:textId="77777777" w:rsidR="00A30671" w:rsidRDefault="00473F44" w:rsidP="00E773CB">
      <w:pPr>
        <w:spacing w:line="480" w:lineRule="auto"/>
        <w:ind w:firstLineChars="200" w:firstLine="480"/>
        <w:jc w:val="center"/>
        <w:rPr>
          <w:bCs/>
        </w:rPr>
      </w:pPr>
      <w:r>
        <w:rPr>
          <w:bCs/>
        </w:rPr>
        <w:br w:type="page"/>
      </w:r>
      <w:r>
        <w:rPr>
          <w:bCs/>
          <w:noProof/>
        </w:rPr>
        <w:lastRenderedPageBreak/>
        <w:drawing>
          <wp:inline distT="0" distB="0" distL="0" distR="0" wp14:anchorId="38471804" wp14:editId="1A71302A">
            <wp:extent cx="4832350" cy="2095500"/>
            <wp:effectExtent l="0" t="0" r="635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4832350" cy="2095500"/>
                    </a:xfrm>
                    <a:prstGeom prst="rect">
                      <a:avLst/>
                    </a:prstGeom>
                    <a:noFill/>
                    <a:ln>
                      <a:noFill/>
                    </a:ln>
                  </pic:spPr>
                </pic:pic>
              </a:graphicData>
            </a:graphic>
          </wp:inline>
        </w:drawing>
      </w:r>
    </w:p>
    <w:p w14:paraId="6127BCAD" w14:textId="03206E5A" w:rsidR="00A30671" w:rsidRDefault="00E773CB" w:rsidP="00E773CB">
      <w:pPr>
        <w:spacing w:line="480" w:lineRule="auto"/>
        <w:jc w:val="center"/>
      </w:pPr>
      <w:r>
        <w:rPr>
          <w:rFonts w:hint="eastAsia"/>
          <w:b/>
          <w:bCs/>
        </w:rPr>
        <w:t>Fig.</w:t>
      </w:r>
      <w:r w:rsidR="00FA7FB1" w:rsidRPr="00C772C0">
        <w:rPr>
          <w:rFonts w:hint="eastAsia"/>
          <w:b/>
          <w:bCs/>
        </w:rPr>
        <w:t xml:space="preserve"> S</w:t>
      </w:r>
      <w:r w:rsidR="00473F44">
        <w:rPr>
          <w:b/>
        </w:rPr>
        <w:t xml:space="preserve">3. </w:t>
      </w:r>
      <w:r w:rsidR="000009E5" w:rsidRPr="000009E5">
        <w:rPr>
          <w:rFonts w:eastAsia="等线"/>
          <w:b/>
          <w:color w:val="000000"/>
          <w:lang w:eastAsia="zh-CN"/>
        </w:rPr>
        <w:t>a</w:t>
      </w:r>
      <w:r w:rsidR="00473F44">
        <w:rPr>
          <w:rFonts w:eastAsia="等线"/>
          <w:bCs/>
          <w:color w:val="000000"/>
          <w:lang w:eastAsia="zh-CN"/>
        </w:rPr>
        <w:t xml:space="preserve"> </w:t>
      </w:r>
      <w:r w:rsidR="00473F44">
        <w:rPr>
          <w:bCs/>
          <w:color w:val="000000"/>
          <w:vertAlign w:val="superscript"/>
        </w:rPr>
        <w:t>13</w:t>
      </w:r>
      <w:r w:rsidR="00473F44">
        <w:rPr>
          <w:bCs/>
          <w:color w:val="000000"/>
        </w:rPr>
        <w:t xml:space="preserve">C and </w:t>
      </w:r>
      <w:r w:rsidR="000009E5" w:rsidRPr="000009E5">
        <w:rPr>
          <w:b/>
          <w:color w:val="000000"/>
        </w:rPr>
        <w:t>b</w:t>
      </w:r>
      <w:r w:rsidR="00473F44">
        <w:rPr>
          <w:bCs/>
          <w:color w:val="000000"/>
        </w:rPr>
        <w:t xml:space="preserve"> </w:t>
      </w:r>
      <w:r w:rsidR="00473F44">
        <w:rPr>
          <w:bCs/>
          <w:color w:val="000000"/>
          <w:vertAlign w:val="superscript"/>
        </w:rPr>
        <w:t>29</w:t>
      </w:r>
      <w:r w:rsidR="00473F44">
        <w:rPr>
          <w:bCs/>
          <w:color w:val="000000"/>
        </w:rPr>
        <w:t>Si NMR spectra of HMONs nanoparticles.</w:t>
      </w:r>
    </w:p>
    <w:p w14:paraId="4C7E3142" w14:textId="77777777" w:rsidR="00A30671" w:rsidRDefault="00A30671" w:rsidP="00E773CB">
      <w:pPr>
        <w:spacing w:line="480" w:lineRule="auto"/>
        <w:ind w:firstLineChars="200" w:firstLine="480"/>
        <w:jc w:val="center"/>
        <w:rPr>
          <w:bCs/>
        </w:rPr>
      </w:pPr>
    </w:p>
    <w:p w14:paraId="203486D9" w14:textId="77777777" w:rsidR="00A30671" w:rsidRDefault="00A30671" w:rsidP="00E773CB">
      <w:pPr>
        <w:spacing w:line="480" w:lineRule="auto"/>
        <w:ind w:firstLineChars="200" w:firstLine="480"/>
        <w:jc w:val="center"/>
        <w:rPr>
          <w:bCs/>
        </w:rPr>
      </w:pPr>
    </w:p>
    <w:p w14:paraId="1A25EC74" w14:textId="77777777" w:rsidR="00A30671" w:rsidRDefault="00473F44" w:rsidP="00E773CB">
      <w:pPr>
        <w:spacing w:line="480" w:lineRule="auto"/>
        <w:ind w:firstLineChars="200" w:firstLine="480"/>
        <w:jc w:val="center"/>
        <w:rPr>
          <w:bCs/>
        </w:rPr>
      </w:pPr>
      <w:r>
        <w:rPr>
          <w:bCs/>
          <w:noProof/>
        </w:rPr>
        <w:drawing>
          <wp:inline distT="0" distB="0" distL="0" distR="0" wp14:anchorId="03518584" wp14:editId="697BCCA7">
            <wp:extent cx="3473450" cy="3098800"/>
            <wp:effectExtent l="0" t="0" r="0" b="635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3473450" cy="3098800"/>
                    </a:xfrm>
                    <a:prstGeom prst="rect">
                      <a:avLst/>
                    </a:prstGeom>
                    <a:noFill/>
                    <a:ln>
                      <a:noFill/>
                    </a:ln>
                  </pic:spPr>
                </pic:pic>
              </a:graphicData>
            </a:graphic>
          </wp:inline>
        </w:drawing>
      </w:r>
    </w:p>
    <w:p w14:paraId="3BECEBC4" w14:textId="505A4107" w:rsidR="00A30671" w:rsidRDefault="00E773CB" w:rsidP="00E773CB">
      <w:pPr>
        <w:spacing w:line="480" w:lineRule="auto"/>
        <w:jc w:val="center"/>
      </w:pPr>
      <w:r>
        <w:rPr>
          <w:rFonts w:hint="eastAsia"/>
          <w:b/>
          <w:bCs/>
        </w:rPr>
        <w:t>Fig.</w:t>
      </w:r>
      <w:r w:rsidR="00FA7FB1" w:rsidRPr="00C772C0">
        <w:rPr>
          <w:rFonts w:hint="eastAsia"/>
          <w:b/>
          <w:bCs/>
        </w:rPr>
        <w:t xml:space="preserve"> S</w:t>
      </w:r>
      <w:r w:rsidR="00473F44">
        <w:rPr>
          <w:b/>
        </w:rPr>
        <w:t xml:space="preserve">4. </w:t>
      </w:r>
      <w:r w:rsidR="00473F44">
        <w:t>FT-IR spectra of 3BP, HMME, and different HMONs-based nanoparticles.</w:t>
      </w:r>
    </w:p>
    <w:p w14:paraId="0B1D9EF0" w14:textId="77777777" w:rsidR="00A30671" w:rsidRDefault="00A30671" w:rsidP="00E773CB">
      <w:pPr>
        <w:spacing w:line="480" w:lineRule="auto"/>
        <w:ind w:firstLineChars="200" w:firstLine="480"/>
        <w:jc w:val="center"/>
      </w:pPr>
    </w:p>
    <w:p w14:paraId="0A6723C6" w14:textId="77777777" w:rsidR="00A30671" w:rsidRDefault="00A30671" w:rsidP="00E773CB">
      <w:pPr>
        <w:spacing w:line="480" w:lineRule="auto"/>
        <w:ind w:firstLineChars="200" w:firstLine="480"/>
        <w:jc w:val="center"/>
      </w:pPr>
    </w:p>
    <w:p w14:paraId="31D41A74" w14:textId="77777777" w:rsidR="00A30671" w:rsidRDefault="00473F44" w:rsidP="00E773CB">
      <w:pPr>
        <w:spacing w:line="480" w:lineRule="auto"/>
        <w:ind w:firstLineChars="200" w:firstLine="480"/>
        <w:jc w:val="center"/>
        <w:rPr>
          <w:lang w:val="en-GB" w:eastAsia="en-GB"/>
        </w:rPr>
      </w:pPr>
      <w:r>
        <w:rPr>
          <w:noProof/>
          <w:lang w:val="en-GB" w:eastAsia="en-GB"/>
        </w:rPr>
        <w:lastRenderedPageBreak/>
        <w:drawing>
          <wp:inline distT="0" distB="0" distL="0" distR="0" wp14:anchorId="4D67093F" wp14:editId="04DA99EC">
            <wp:extent cx="5619750" cy="2305050"/>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a:xfrm>
                      <a:off x="0" y="0"/>
                      <a:ext cx="5619750" cy="2305050"/>
                    </a:xfrm>
                    <a:prstGeom prst="rect">
                      <a:avLst/>
                    </a:prstGeom>
                    <a:noFill/>
                    <a:ln>
                      <a:noFill/>
                    </a:ln>
                  </pic:spPr>
                </pic:pic>
              </a:graphicData>
            </a:graphic>
          </wp:inline>
        </w:drawing>
      </w:r>
    </w:p>
    <w:p w14:paraId="31079E79" w14:textId="22FED794" w:rsidR="00A30671" w:rsidRDefault="00E773CB" w:rsidP="00E773CB">
      <w:pPr>
        <w:spacing w:line="480" w:lineRule="auto"/>
        <w:jc w:val="both"/>
      </w:pPr>
      <w:r>
        <w:rPr>
          <w:rFonts w:hint="eastAsia"/>
          <w:b/>
          <w:bCs/>
        </w:rPr>
        <w:t>Fig.</w:t>
      </w:r>
      <w:r w:rsidR="00FA7FB1" w:rsidRPr="00C772C0">
        <w:rPr>
          <w:rFonts w:hint="eastAsia"/>
          <w:b/>
          <w:bCs/>
        </w:rPr>
        <w:t xml:space="preserve"> S</w:t>
      </w:r>
      <w:r w:rsidR="00473F44">
        <w:rPr>
          <w:b/>
        </w:rPr>
        <w:t xml:space="preserve">5. </w:t>
      </w:r>
      <w:r w:rsidRPr="000009E5">
        <w:rPr>
          <w:b/>
          <w:bCs/>
        </w:rPr>
        <w:t>a</w:t>
      </w:r>
      <w:r>
        <w:t xml:space="preserve"> </w:t>
      </w:r>
      <w:r w:rsidR="00473F44">
        <w:t>N</w:t>
      </w:r>
      <w:r w:rsidR="00473F44">
        <w:rPr>
          <w:vertAlign w:val="subscript"/>
        </w:rPr>
        <w:t>2</w:t>
      </w:r>
      <w:r w:rsidR="00473F44">
        <w:t xml:space="preserve"> adsorption-desorption isotherm</w:t>
      </w:r>
      <w:r w:rsidR="000009E5">
        <w:t xml:space="preserve"> </w:t>
      </w:r>
      <w:r w:rsidR="00473F44">
        <w:t xml:space="preserve">and </w:t>
      </w:r>
      <w:r w:rsidRPr="000009E5">
        <w:rPr>
          <w:b/>
          <w:bCs/>
        </w:rPr>
        <w:t>b</w:t>
      </w:r>
      <w:r w:rsidR="00473F44">
        <w:t xml:space="preserve"> pore-size distribution of HMONs, HMONs-NH</w:t>
      </w:r>
      <w:r w:rsidR="00473F44">
        <w:rPr>
          <w:vertAlign w:val="subscript"/>
        </w:rPr>
        <w:t>2</w:t>
      </w:r>
      <w:r w:rsidR="00473F44">
        <w:t>, HMME@HMONs</w:t>
      </w:r>
      <w:r w:rsidR="00473F44">
        <w:rPr>
          <w:rFonts w:eastAsia="等线"/>
          <w:lang w:eastAsia="zh-CN"/>
        </w:rPr>
        <w:t>-</w:t>
      </w:r>
      <w:r w:rsidR="00473F44">
        <w:t>PEG, and HHBP nanoparticles.</w:t>
      </w:r>
    </w:p>
    <w:p w14:paraId="0C5742A1" w14:textId="77777777" w:rsidR="00A30671" w:rsidRDefault="00A30671" w:rsidP="00E773CB">
      <w:pPr>
        <w:spacing w:line="480" w:lineRule="auto"/>
        <w:ind w:firstLineChars="200" w:firstLine="480"/>
        <w:jc w:val="center"/>
      </w:pPr>
    </w:p>
    <w:p w14:paraId="0AA3D696" w14:textId="77777777" w:rsidR="00A30671" w:rsidRDefault="00A30671" w:rsidP="00E773CB">
      <w:pPr>
        <w:spacing w:line="480" w:lineRule="auto"/>
        <w:ind w:firstLineChars="200" w:firstLine="480"/>
        <w:jc w:val="center"/>
      </w:pPr>
    </w:p>
    <w:p w14:paraId="4A6BDF88" w14:textId="77777777" w:rsidR="00A30671" w:rsidRDefault="00473F44" w:rsidP="00E773CB">
      <w:pPr>
        <w:spacing w:line="480" w:lineRule="auto"/>
        <w:ind w:firstLineChars="200" w:firstLine="480"/>
        <w:jc w:val="center"/>
        <w:rPr>
          <w:lang w:eastAsia="zh-CN"/>
        </w:rPr>
      </w:pPr>
      <w:r>
        <w:rPr>
          <w:noProof/>
          <w:lang w:eastAsia="zh-CN"/>
        </w:rPr>
        <w:drawing>
          <wp:inline distT="0" distB="0" distL="0" distR="0" wp14:anchorId="514F92A7" wp14:editId="74B9F90A">
            <wp:extent cx="4203700" cy="2933700"/>
            <wp:effectExtent l="0" t="0" r="635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a:xfrm>
                      <a:off x="0" y="0"/>
                      <a:ext cx="4203700" cy="2933700"/>
                    </a:xfrm>
                    <a:prstGeom prst="rect">
                      <a:avLst/>
                    </a:prstGeom>
                    <a:noFill/>
                    <a:ln>
                      <a:noFill/>
                    </a:ln>
                  </pic:spPr>
                </pic:pic>
              </a:graphicData>
            </a:graphic>
          </wp:inline>
        </w:drawing>
      </w:r>
    </w:p>
    <w:p w14:paraId="276B303C" w14:textId="59D9869D" w:rsidR="00A30671" w:rsidRDefault="00E773CB" w:rsidP="00E773CB">
      <w:pPr>
        <w:spacing w:line="480" w:lineRule="auto"/>
        <w:jc w:val="both"/>
        <w:rPr>
          <w:bCs/>
        </w:rPr>
      </w:pPr>
      <w:r>
        <w:rPr>
          <w:rFonts w:hint="eastAsia"/>
          <w:b/>
          <w:bCs/>
        </w:rPr>
        <w:t>Fig.</w:t>
      </w:r>
      <w:r w:rsidR="00FA7FB1" w:rsidRPr="00C772C0">
        <w:rPr>
          <w:rFonts w:hint="eastAsia"/>
          <w:b/>
          <w:bCs/>
        </w:rPr>
        <w:t xml:space="preserve"> S</w:t>
      </w:r>
      <w:r w:rsidR="00473F44">
        <w:rPr>
          <w:b/>
        </w:rPr>
        <w:t xml:space="preserve">6. </w:t>
      </w:r>
      <w:r w:rsidR="00473F44">
        <w:rPr>
          <w:bCs/>
        </w:rPr>
        <w:t xml:space="preserve">zeta potentials of </w:t>
      </w:r>
      <w:r w:rsidR="00473F44">
        <w:t>HMONs, HMONs-NH</w:t>
      </w:r>
      <w:r w:rsidR="00473F44">
        <w:rPr>
          <w:vertAlign w:val="subscript"/>
        </w:rPr>
        <w:t>2</w:t>
      </w:r>
      <w:r w:rsidR="00473F44">
        <w:t>, HMME@HMONs-PEG, and HHBP</w:t>
      </w:r>
      <w:r w:rsidR="00473F44">
        <w:rPr>
          <w:bCs/>
        </w:rPr>
        <w:t xml:space="preserve"> aqueous solution after fresh preparation.</w:t>
      </w:r>
    </w:p>
    <w:p w14:paraId="562640BE" w14:textId="77777777" w:rsidR="00A30671" w:rsidRDefault="00A30671" w:rsidP="00E773CB">
      <w:pPr>
        <w:spacing w:line="480" w:lineRule="auto"/>
        <w:ind w:firstLineChars="200" w:firstLine="480"/>
        <w:jc w:val="center"/>
      </w:pPr>
    </w:p>
    <w:p w14:paraId="148E95CA" w14:textId="77777777" w:rsidR="00A30671" w:rsidRDefault="00A30671" w:rsidP="00E773CB">
      <w:pPr>
        <w:spacing w:line="480" w:lineRule="auto"/>
        <w:ind w:firstLineChars="200" w:firstLine="480"/>
        <w:jc w:val="center"/>
      </w:pPr>
    </w:p>
    <w:p w14:paraId="3D1514EA" w14:textId="77777777" w:rsidR="00A30671" w:rsidRDefault="00473F44" w:rsidP="00E773CB">
      <w:pPr>
        <w:spacing w:line="480" w:lineRule="auto"/>
        <w:ind w:firstLineChars="200" w:firstLine="480"/>
        <w:jc w:val="center"/>
      </w:pPr>
      <w:r>
        <w:br w:type="page"/>
      </w:r>
      <w:r>
        <w:rPr>
          <w:noProof/>
          <w:lang w:val="en-US" w:eastAsia="zh-CN"/>
        </w:rPr>
        <w:lastRenderedPageBreak/>
        <w:drawing>
          <wp:inline distT="0" distB="0" distL="0" distR="0" wp14:anchorId="1D93F5D0" wp14:editId="06056CB2">
            <wp:extent cx="3348415" cy="2843629"/>
            <wp:effectExtent l="0" t="0" r="4445"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3353078" cy="2847589"/>
                    </a:xfrm>
                    <a:prstGeom prst="rect">
                      <a:avLst/>
                    </a:prstGeom>
                    <a:noFill/>
                    <a:ln>
                      <a:noFill/>
                    </a:ln>
                  </pic:spPr>
                </pic:pic>
              </a:graphicData>
            </a:graphic>
          </wp:inline>
        </w:drawing>
      </w:r>
    </w:p>
    <w:p w14:paraId="6CD02720" w14:textId="7E8254D5" w:rsidR="00A30671" w:rsidRDefault="00E773CB" w:rsidP="00E773CB">
      <w:pPr>
        <w:spacing w:line="480" w:lineRule="auto"/>
        <w:jc w:val="both"/>
        <w:rPr>
          <w:rFonts w:eastAsia="等线"/>
          <w:lang w:eastAsia="zh-CN"/>
        </w:rPr>
      </w:pPr>
      <w:r>
        <w:rPr>
          <w:rFonts w:hint="eastAsia"/>
          <w:b/>
          <w:bCs/>
        </w:rPr>
        <w:t>Fig.</w:t>
      </w:r>
      <w:r w:rsidR="00FA7FB1" w:rsidRPr="00C772C0">
        <w:rPr>
          <w:rFonts w:hint="eastAsia"/>
          <w:b/>
          <w:bCs/>
        </w:rPr>
        <w:t xml:space="preserve"> S</w:t>
      </w:r>
      <w:r w:rsidR="00FA7FB1">
        <w:rPr>
          <w:b/>
          <w:bCs/>
        </w:rPr>
        <w:t>7</w:t>
      </w:r>
      <w:r w:rsidR="00473F44">
        <w:rPr>
          <w:b/>
        </w:rPr>
        <w:t xml:space="preserve">. </w:t>
      </w:r>
      <w:r w:rsidR="00473F44">
        <w:t>HMME loading capacities</w:t>
      </w:r>
      <w:r w:rsidR="00473F44">
        <w:rPr>
          <w:rFonts w:eastAsia="等线"/>
          <w:lang w:eastAsia="zh-CN"/>
        </w:rPr>
        <w:t xml:space="preserve"> </w:t>
      </w:r>
      <w:r w:rsidR="00473F44">
        <w:t xml:space="preserve">on HMONs-3BP-PEG NPs (w/w%) with </w:t>
      </w:r>
      <w:r w:rsidR="00473F44">
        <w:rPr>
          <w:rFonts w:eastAsia="等线"/>
          <w:lang w:eastAsia="zh-CN"/>
        </w:rPr>
        <w:t>diffrent HMONs-3BP/HMME feeding ratios (n = 3)</w:t>
      </w:r>
      <w:r w:rsidR="00473F44">
        <w:rPr>
          <w:color w:val="000000"/>
        </w:rPr>
        <w:t>.</w:t>
      </w:r>
    </w:p>
    <w:p w14:paraId="0879F9D4" w14:textId="77777777" w:rsidR="00A30671" w:rsidRDefault="00A30671" w:rsidP="00E773CB">
      <w:pPr>
        <w:spacing w:line="480" w:lineRule="auto"/>
        <w:ind w:firstLineChars="200" w:firstLine="480"/>
        <w:jc w:val="center"/>
        <w:rPr>
          <w:color w:val="000000"/>
        </w:rPr>
      </w:pPr>
    </w:p>
    <w:p w14:paraId="4A71EF97" w14:textId="77777777" w:rsidR="00A30671" w:rsidRDefault="00A30671" w:rsidP="00E773CB">
      <w:pPr>
        <w:spacing w:line="480" w:lineRule="auto"/>
        <w:ind w:firstLineChars="200" w:firstLine="480"/>
        <w:jc w:val="center"/>
        <w:rPr>
          <w:color w:val="000000"/>
        </w:rPr>
      </w:pPr>
    </w:p>
    <w:p w14:paraId="100148D4" w14:textId="77777777" w:rsidR="00A30671" w:rsidRDefault="00473F44" w:rsidP="00E773CB">
      <w:pPr>
        <w:spacing w:line="480" w:lineRule="auto"/>
        <w:ind w:firstLineChars="200" w:firstLine="480"/>
        <w:jc w:val="center"/>
        <w:rPr>
          <w:color w:val="000000"/>
        </w:rPr>
      </w:pPr>
      <w:r>
        <w:rPr>
          <w:rFonts w:eastAsia="等线"/>
          <w:noProof/>
          <w:color w:val="000000"/>
          <w:lang w:eastAsia="zh-CN"/>
        </w:rPr>
        <w:drawing>
          <wp:inline distT="0" distB="0" distL="0" distR="0" wp14:anchorId="3DFF277A" wp14:editId="2F955DA0">
            <wp:extent cx="3289209" cy="3266005"/>
            <wp:effectExtent l="0" t="0" r="6985"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3294965" cy="3271720"/>
                    </a:xfrm>
                    <a:prstGeom prst="rect">
                      <a:avLst/>
                    </a:prstGeom>
                    <a:noFill/>
                    <a:ln>
                      <a:noFill/>
                    </a:ln>
                  </pic:spPr>
                </pic:pic>
              </a:graphicData>
            </a:graphic>
          </wp:inline>
        </w:drawing>
      </w:r>
    </w:p>
    <w:p w14:paraId="4F2414BD" w14:textId="7DF9D4A3" w:rsidR="00A30671" w:rsidRDefault="00E773CB" w:rsidP="00E773CB">
      <w:pPr>
        <w:spacing w:line="480" w:lineRule="auto"/>
        <w:jc w:val="both"/>
        <w:rPr>
          <w:color w:val="000000"/>
        </w:rPr>
      </w:pPr>
      <w:r>
        <w:rPr>
          <w:rFonts w:hint="eastAsia"/>
          <w:b/>
          <w:bCs/>
        </w:rPr>
        <w:t>Fig.</w:t>
      </w:r>
      <w:r w:rsidR="00FA7FB1" w:rsidRPr="00C772C0">
        <w:rPr>
          <w:rFonts w:hint="eastAsia"/>
          <w:b/>
          <w:bCs/>
        </w:rPr>
        <w:t xml:space="preserve"> S</w:t>
      </w:r>
      <w:r w:rsidR="00473F44">
        <w:rPr>
          <w:b/>
          <w:bCs/>
        </w:rPr>
        <w:t xml:space="preserve">8. </w:t>
      </w:r>
      <w:r w:rsidR="00473F44">
        <w:t>TEM images of HHBP dispersed in SBF at varied GSH concentrations (0, 5, and 10 mM) for 1, 5, and 7 days</w:t>
      </w:r>
      <w:r w:rsidR="00473F44">
        <w:rPr>
          <w:color w:val="000000"/>
        </w:rPr>
        <w:t>.</w:t>
      </w:r>
    </w:p>
    <w:p w14:paraId="363C72E6" w14:textId="77777777" w:rsidR="00A30671" w:rsidRDefault="00A30671" w:rsidP="00E773CB">
      <w:pPr>
        <w:spacing w:line="480" w:lineRule="auto"/>
        <w:ind w:firstLineChars="200" w:firstLine="480"/>
        <w:jc w:val="center"/>
        <w:rPr>
          <w:color w:val="000000"/>
        </w:rPr>
      </w:pPr>
    </w:p>
    <w:p w14:paraId="4810AC09" w14:textId="77777777" w:rsidR="00A30671" w:rsidRDefault="00473F44" w:rsidP="00E773CB">
      <w:pPr>
        <w:spacing w:line="480" w:lineRule="auto"/>
        <w:ind w:firstLineChars="200" w:firstLine="480"/>
        <w:jc w:val="center"/>
        <w:rPr>
          <w:lang w:val="en-GB" w:eastAsia="en-GB"/>
        </w:rPr>
      </w:pPr>
      <w:r>
        <w:br w:type="page"/>
      </w:r>
      <w:r>
        <w:rPr>
          <w:noProof/>
        </w:rPr>
        <w:lastRenderedPageBreak/>
        <w:drawing>
          <wp:inline distT="0" distB="0" distL="0" distR="0" wp14:anchorId="398C3B35" wp14:editId="53C82CE8">
            <wp:extent cx="2882900" cy="3022600"/>
            <wp:effectExtent l="0" t="0" r="0" b="635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a:xfrm>
                      <a:off x="0" y="0"/>
                      <a:ext cx="2882900" cy="3022600"/>
                    </a:xfrm>
                    <a:prstGeom prst="rect">
                      <a:avLst/>
                    </a:prstGeom>
                    <a:noFill/>
                    <a:ln>
                      <a:noFill/>
                    </a:ln>
                  </pic:spPr>
                </pic:pic>
              </a:graphicData>
            </a:graphic>
          </wp:inline>
        </w:drawing>
      </w:r>
    </w:p>
    <w:p w14:paraId="42A49DE0" w14:textId="2CABD213" w:rsidR="00A30671" w:rsidRDefault="00E773CB" w:rsidP="00E773CB">
      <w:pPr>
        <w:spacing w:line="480" w:lineRule="auto"/>
        <w:jc w:val="both"/>
      </w:pPr>
      <w:r>
        <w:rPr>
          <w:rFonts w:hint="eastAsia"/>
          <w:b/>
          <w:bCs/>
        </w:rPr>
        <w:t>Fig.</w:t>
      </w:r>
      <w:r w:rsidR="00FA7FB1" w:rsidRPr="00C772C0">
        <w:rPr>
          <w:rFonts w:hint="eastAsia"/>
          <w:b/>
          <w:bCs/>
        </w:rPr>
        <w:t xml:space="preserve"> S</w:t>
      </w:r>
      <w:r w:rsidR="00473F44">
        <w:rPr>
          <w:b/>
        </w:rPr>
        <w:t xml:space="preserve">9. </w:t>
      </w:r>
      <w:r w:rsidR="00473F44">
        <w:t>Flow cytometry analyses of 4T1 cells incubated with FITC-conjugated HHBP for 1, 2, 4, and 8 h without or with US irradiation.</w:t>
      </w:r>
    </w:p>
    <w:p w14:paraId="40497497" w14:textId="77777777" w:rsidR="00A30671" w:rsidRDefault="00A30671" w:rsidP="00E773CB">
      <w:pPr>
        <w:spacing w:line="480" w:lineRule="auto"/>
        <w:ind w:firstLineChars="200" w:firstLine="480"/>
        <w:jc w:val="center"/>
      </w:pPr>
    </w:p>
    <w:p w14:paraId="5D0A9301" w14:textId="77777777" w:rsidR="00A30671" w:rsidRDefault="00A30671" w:rsidP="00E773CB">
      <w:pPr>
        <w:spacing w:line="480" w:lineRule="auto"/>
        <w:ind w:firstLineChars="200" w:firstLine="480"/>
        <w:jc w:val="center"/>
      </w:pPr>
    </w:p>
    <w:p w14:paraId="79B67882" w14:textId="77777777" w:rsidR="00A30671" w:rsidRDefault="00473F44" w:rsidP="00E773CB">
      <w:pPr>
        <w:spacing w:line="480" w:lineRule="auto"/>
        <w:ind w:firstLineChars="200" w:firstLine="480"/>
        <w:jc w:val="center"/>
      </w:pPr>
      <w:r>
        <w:rPr>
          <w:noProof/>
        </w:rPr>
        <w:drawing>
          <wp:inline distT="0" distB="0" distL="0" distR="0" wp14:anchorId="416F9E9E" wp14:editId="7224E12C">
            <wp:extent cx="5422900" cy="2559050"/>
            <wp:effectExtent l="0" t="0" r="635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a:xfrm>
                      <a:off x="0" y="0"/>
                      <a:ext cx="5422900" cy="2559050"/>
                    </a:xfrm>
                    <a:prstGeom prst="rect">
                      <a:avLst/>
                    </a:prstGeom>
                    <a:noFill/>
                    <a:ln>
                      <a:noFill/>
                    </a:ln>
                  </pic:spPr>
                </pic:pic>
              </a:graphicData>
            </a:graphic>
          </wp:inline>
        </w:drawing>
      </w:r>
    </w:p>
    <w:p w14:paraId="683A09B0" w14:textId="51ECFD52" w:rsidR="00A30671" w:rsidRDefault="00E773CB" w:rsidP="00E773CB">
      <w:pPr>
        <w:spacing w:line="480" w:lineRule="auto"/>
        <w:jc w:val="both"/>
      </w:pPr>
      <w:r>
        <w:rPr>
          <w:rFonts w:hint="eastAsia"/>
          <w:b/>
          <w:bCs/>
        </w:rPr>
        <w:t>Fig.</w:t>
      </w:r>
      <w:r w:rsidR="00FA7FB1" w:rsidRPr="00C772C0">
        <w:rPr>
          <w:rFonts w:hint="eastAsia"/>
          <w:b/>
          <w:bCs/>
        </w:rPr>
        <w:t xml:space="preserve"> S1</w:t>
      </w:r>
      <w:r w:rsidR="00473F44">
        <w:rPr>
          <w:b/>
        </w:rPr>
        <w:t xml:space="preserve">0. </w:t>
      </w:r>
      <w:r w:rsidR="00473F44">
        <w:t>Quantitative determination of the relative HIF-1</w:t>
      </w:r>
      <w:r w:rsidR="00473F44">
        <w:rPr>
          <w:rFonts w:eastAsia="等线"/>
          <w:lang w:eastAsia="zh-CN"/>
        </w:rPr>
        <w:t>α</w:t>
      </w:r>
      <w:r w:rsidR="00473F44">
        <w:t xml:space="preserve"> </w:t>
      </w:r>
      <w:r w:rsidR="000009E5" w:rsidRPr="000009E5">
        <w:rPr>
          <w:b/>
          <w:bCs/>
        </w:rPr>
        <w:t>a</w:t>
      </w:r>
      <w:r w:rsidR="00473F44">
        <w:t xml:space="preserve"> and HK-Ⅱ </w:t>
      </w:r>
      <w:r w:rsidR="000009E5" w:rsidRPr="000009E5">
        <w:rPr>
          <w:b/>
          <w:bCs/>
        </w:rPr>
        <w:t>b</w:t>
      </w:r>
      <w:r w:rsidR="00473F44">
        <w:t xml:space="preserve"> expression from Western blotting results (see </w:t>
      </w:r>
      <w:r>
        <w:rPr>
          <w:b/>
          <w:bCs/>
        </w:rPr>
        <w:t>Fig.</w:t>
      </w:r>
      <w:r w:rsidR="00473F44">
        <w:rPr>
          <w:b/>
          <w:bCs/>
        </w:rPr>
        <w:t xml:space="preserve"> 2</w:t>
      </w:r>
      <w:r w:rsidR="00473F44">
        <w:rPr>
          <w:rFonts w:eastAsia="等线"/>
          <w:b/>
          <w:bCs/>
          <w:lang w:eastAsia="zh-CN"/>
        </w:rPr>
        <w:t>c</w:t>
      </w:r>
      <w:r w:rsidR="00473F44">
        <w:t>). β-Actin was used as a loading control was used as a loading control. **P &lt; 0.01, ***P &lt; 0.001. Error bars indicate standard deviation (n = 3).</w:t>
      </w:r>
    </w:p>
    <w:p w14:paraId="15928586" w14:textId="77777777" w:rsidR="00A30671" w:rsidRDefault="00A30671" w:rsidP="00E773CB">
      <w:pPr>
        <w:spacing w:line="480" w:lineRule="auto"/>
        <w:ind w:firstLineChars="200" w:firstLine="480"/>
        <w:jc w:val="center"/>
      </w:pPr>
    </w:p>
    <w:p w14:paraId="31191E54" w14:textId="77777777" w:rsidR="00A30671" w:rsidRDefault="00A30671" w:rsidP="00E773CB">
      <w:pPr>
        <w:spacing w:line="480" w:lineRule="auto"/>
        <w:ind w:firstLineChars="200" w:firstLine="480"/>
        <w:jc w:val="center"/>
        <w:rPr>
          <w:color w:val="FF0000"/>
        </w:rPr>
      </w:pPr>
    </w:p>
    <w:p w14:paraId="2BAD3C48" w14:textId="77777777" w:rsidR="00A30671" w:rsidRDefault="00473F44" w:rsidP="00E773CB">
      <w:pPr>
        <w:spacing w:line="480" w:lineRule="auto"/>
        <w:ind w:firstLineChars="200" w:firstLine="480"/>
        <w:jc w:val="center"/>
      </w:pPr>
      <w:r>
        <w:rPr>
          <w:noProof/>
          <w:lang w:val="en-US" w:eastAsia="zh-CN"/>
        </w:rPr>
        <w:lastRenderedPageBreak/>
        <w:drawing>
          <wp:inline distT="0" distB="0" distL="0" distR="0" wp14:anchorId="0BDF43A8" wp14:editId="0F334273">
            <wp:extent cx="5321300" cy="213995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a:xfrm>
                      <a:off x="0" y="0"/>
                      <a:ext cx="5321300" cy="2139950"/>
                    </a:xfrm>
                    <a:prstGeom prst="rect">
                      <a:avLst/>
                    </a:prstGeom>
                    <a:noFill/>
                    <a:ln>
                      <a:noFill/>
                    </a:ln>
                  </pic:spPr>
                </pic:pic>
              </a:graphicData>
            </a:graphic>
          </wp:inline>
        </w:drawing>
      </w:r>
    </w:p>
    <w:p w14:paraId="2FEE5FBD" w14:textId="3B23705C" w:rsidR="00A30671" w:rsidRDefault="00E773CB" w:rsidP="00E773CB">
      <w:pPr>
        <w:spacing w:line="480" w:lineRule="auto"/>
        <w:jc w:val="both"/>
      </w:pPr>
      <w:r>
        <w:rPr>
          <w:rFonts w:hint="eastAsia"/>
          <w:b/>
          <w:bCs/>
        </w:rPr>
        <w:t>Fig.</w:t>
      </w:r>
      <w:r w:rsidR="00FA7FB1" w:rsidRPr="00C772C0">
        <w:rPr>
          <w:rFonts w:hint="eastAsia"/>
          <w:b/>
          <w:bCs/>
        </w:rPr>
        <w:t xml:space="preserve"> S1</w:t>
      </w:r>
      <w:r w:rsidR="00FA7FB1">
        <w:rPr>
          <w:b/>
          <w:bCs/>
        </w:rPr>
        <w:t>1</w:t>
      </w:r>
      <w:r w:rsidR="00473F44">
        <w:rPr>
          <w:b/>
        </w:rPr>
        <w:t xml:space="preserve">. </w:t>
      </w:r>
      <w:r w:rsidR="00473F44">
        <w:t xml:space="preserve">Relative viabilities of </w:t>
      </w:r>
      <w:r w:rsidR="000009E5" w:rsidRPr="000009E5">
        <w:rPr>
          <w:b/>
          <w:bCs/>
        </w:rPr>
        <w:t>a</w:t>
      </w:r>
      <w:r w:rsidR="00473F44">
        <w:t xml:space="preserve"> A549 and </w:t>
      </w:r>
      <w:r w:rsidR="000009E5" w:rsidRPr="000009E5">
        <w:rPr>
          <w:b/>
          <w:bCs/>
        </w:rPr>
        <w:t>b</w:t>
      </w:r>
      <w:r w:rsidR="00473F44">
        <w:t xml:space="preserve"> A375 cells after different treatments, quantified by CCK-8 assay (n = 6). ***P &lt; 0.001.</w:t>
      </w:r>
    </w:p>
    <w:p w14:paraId="66DB975F" w14:textId="77777777" w:rsidR="00A30671" w:rsidRDefault="00A30671" w:rsidP="00E773CB">
      <w:pPr>
        <w:spacing w:line="480" w:lineRule="auto"/>
        <w:ind w:firstLineChars="200" w:firstLine="480"/>
        <w:jc w:val="center"/>
      </w:pPr>
    </w:p>
    <w:p w14:paraId="114AFCD1" w14:textId="77777777" w:rsidR="00A30671" w:rsidRDefault="00A30671" w:rsidP="00E773CB">
      <w:pPr>
        <w:spacing w:line="480" w:lineRule="auto"/>
        <w:ind w:firstLineChars="200" w:firstLine="480"/>
        <w:jc w:val="center"/>
      </w:pPr>
    </w:p>
    <w:p w14:paraId="04D1A796" w14:textId="77777777" w:rsidR="00A30671" w:rsidRDefault="00473F44" w:rsidP="00E773CB">
      <w:pPr>
        <w:spacing w:line="480" w:lineRule="auto"/>
        <w:ind w:firstLineChars="200" w:firstLine="480"/>
        <w:jc w:val="center"/>
      </w:pPr>
      <w:r>
        <w:rPr>
          <w:noProof/>
        </w:rPr>
        <w:drawing>
          <wp:inline distT="0" distB="0" distL="0" distR="0" wp14:anchorId="3C88F504" wp14:editId="72C42333">
            <wp:extent cx="4940392" cy="2451132"/>
            <wp:effectExtent l="0" t="0" r="0" b="635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a:xfrm>
                      <a:off x="0" y="0"/>
                      <a:ext cx="4945187" cy="2453511"/>
                    </a:xfrm>
                    <a:prstGeom prst="rect">
                      <a:avLst/>
                    </a:prstGeom>
                    <a:noFill/>
                    <a:ln>
                      <a:noFill/>
                    </a:ln>
                  </pic:spPr>
                </pic:pic>
              </a:graphicData>
            </a:graphic>
          </wp:inline>
        </w:drawing>
      </w:r>
    </w:p>
    <w:p w14:paraId="7A16C7CE" w14:textId="322470A6" w:rsidR="00A30671" w:rsidRDefault="00E773CB" w:rsidP="00E773CB">
      <w:pPr>
        <w:spacing w:line="480" w:lineRule="auto"/>
        <w:jc w:val="both"/>
      </w:pPr>
      <w:r>
        <w:rPr>
          <w:rFonts w:hint="eastAsia"/>
          <w:b/>
          <w:bCs/>
        </w:rPr>
        <w:t>Fig.</w:t>
      </w:r>
      <w:r w:rsidR="00FA7FB1" w:rsidRPr="00C772C0">
        <w:rPr>
          <w:rFonts w:hint="eastAsia"/>
          <w:b/>
          <w:bCs/>
        </w:rPr>
        <w:t xml:space="preserve"> S1</w:t>
      </w:r>
      <w:r w:rsidR="00473F44">
        <w:rPr>
          <w:b/>
          <w:bCs/>
        </w:rPr>
        <w:t>2</w:t>
      </w:r>
      <w:r w:rsidR="00473F44">
        <w:rPr>
          <w:b/>
        </w:rPr>
        <w:t xml:space="preserve">. </w:t>
      </w:r>
      <w:r w:rsidR="00473F44">
        <w:t xml:space="preserve">Quantitative analysis of LC3-II/LC3-I </w:t>
      </w:r>
      <w:r w:rsidR="00B52168" w:rsidRPr="00B52168">
        <w:rPr>
          <w:b/>
          <w:bCs/>
        </w:rPr>
        <w:t>a</w:t>
      </w:r>
      <w:r w:rsidR="00473F44">
        <w:t xml:space="preserve"> </w:t>
      </w:r>
      <w:r w:rsidR="00473F44">
        <w:rPr>
          <w:rFonts w:eastAsia="等线"/>
          <w:lang w:eastAsia="zh-CN"/>
        </w:rPr>
        <w:t>and</w:t>
      </w:r>
      <w:r w:rsidR="00473F44">
        <w:t xml:space="preserve"> relative p62 </w:t>
      </w:r>
      <w:r w:rsidR="00B52168" w:rsidRPr="00B52168">
        <w:rPr>
          <w:b/>
          <w:bCs/>
        </w:rPr>
        <w:t>b</w:t>
      </w:r>
      <w:r w:rsidR="00473F44">
        <w:t xml:space="preserve"> expression after different treatments from Western blotting results (see </w:t>
      </w:r>
      <w:r>
        <w:t>Fig.</w:t>
      </w:r>
      <w:r w:rsidR="00473F44">
        <w:t xml:space="preserve"> 3</w:t>
      </w:r>
      <w:r w:rsidR="00473F44">
        <w:rPr>
          <w:rFonts w:eastAsia="等线"/>
          <w:lang w:eastAsia="zh-CN"/>
        </w:rPr>
        <w:t>d</w:t>
      </w:r>
      <w:r w:rsidR="00473F44">
        <w:t>). ***P &lt; 0.001. Error bars indicate standard deviation (n = 3).</w:t>
      </w:r>
    </w:p>
    <w:p w14:paraId="56FC3161" w14:textId="77777777" w:rsidR="00A30671" w:rsidRDefault="00A30671" w:rsidP="00E773CB">
      <w:pPr>
        <w:spacing w:line="480" w:lineRule="auto"/>
        <w:ind w:firstLineChars="200" w:firstLine="480"/>
        <w:jc w:val="center"/>
      </w:pPr>
    </w:p>
    <w:p w14:paraId="23FF46B5" w14:textId="77777777" w:rsidR="00A30671" w:rsidRDefault="00A30671" w:rsidP="00E773CB">
      <w:pPr>
        <w:spacing w:line="480" w:lineRule="auto"/>
        <w:ind w:firstLineChars="200" w:firstLine="480"/>
        <w:jc w:val="center"/>
      </w:pPr>
    </w:p>
    <w:p w14:paraId="134859E2" w14:textId="77777777" w:rsidR="00A30671" w:rsidRDefault="00473F44" w:rsidP="00E773CB">
      <w:pPr>
        <w:spacing w:line="480" w:lineRule="auto"/>
        <w:ind w:firstLineChars="200" w:firstLine="480"/>
        <w:jc w:val="center"/>
      </w:pPr>
      <w:r>
        <w:br w:type="page"/>
      </w:r>
      <w:r>
        <w:rPr>
          <w:noProof/>
        </w:rPr>
        <w:lastRenderedPageBreak/>
        <w:drawing>
          <wp:inline distT="0" distB="0" distL="0" distR="0" wp14:anchorId="5F369EBE" wp14:editId="4D74C1DA">
            <wp:extent cx="3543300" cy="342900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a:xfrm>
                      <a:off x="0" y="0"/>
                      <a:ext cx="3543300" cy="3429000"/>
                    </a:xfrm>
                    <a:prstGeom prst="rect">
                      <a:avLst/>
                    </a:prstGeom>
                    <a:noFill/>
                    <a:ln>
                      <a:noFill/>
                    </a:ln>
                  </pic:spPr>
                </pic:pic>
              </a:graphicData>
            </a:graphic>
          </wp:inline>
        </w:drawing>
      </w:r>
    </w:p>
    <w:p w14:paraId="59ACFB8E" w14:textId="62F769EB" w:rsidR="00A30671" w:rsidRDefault="00E773CB" w:rsidP="00E773CB">
      <w:pPr>
        <w:spacing w:line="480" w:lineRule="auto"/>
        <w:jc w:val="both"/>
      </w:pPr>
      <w:r>
        <w:rPr>
          <w:rFonts w:hint="eastAsia"/>
          <w:b/>
          <w:bCs/>
        </w:rPr>
        <w:t>Fig.</w:t>
      </w:r>
      <w:r w:rsidR="00FA7FB1" w:rsidRPr="00C772C0">
        <w:rPr>
          <w:rFonts w:hint="eastAsia"/>
          <w:b/>
          <w:bCs/>
        </w:rPr>
        <w:t xml:space="preserve"> S1</w:t>
      </w:r>
      <w:r w:rsidR="00473F44">
        <w:rPr>
          <w:b/>
        </w:rPr>
        <w:t xml:space="preserve">3. </w:t>
      </w:r>
      <w:r w:rsidR="00473F44">
        <w:t xml:space="preserve">ATP levels in 4T1 cells after </w:t>
      </w:r>
      <w:r w:rsidR="00473F44">
        <w:rPr>
          <w:rFonts w:eastAsia="等线"/>
          <w:lang w:eastAsia="zh-CN"/>
        </w:rPr>
        <w:t>different</w:t>
      </w:r>
      <w:r w:rsidR="00473F44">
        <w:t xml:space="preserve"> </w:t>
      </w:r>
      <w:r w:rsidR="00473F44">
        <w:rPr>
          <w:rFonts w:eastAsia="等线"/>
          <w:lang w:eastAsia="zh-CN"/>
        </w:rPr>
        <w:t>treatments.</w:t>
      </w:r>
      <w:r w:rsidR="00473F44">
        <w:t xml:space="preserve"> The data are shown as mean ± SD (n = 3).</w:t>
      </w:r>
    </w:p>
    <w:p w14:paraId="5C3B693A" w14:textId="77777777" w:rsidR="00A30671" w:rsidRDefault="00A30671" w:rsidP="00E773CB">
      <w:pPr>
        <w:spacing w:line="480" w:lineRule="auto"/>
        <w:ind w:firstLineChars="200" w:firstLine="480"/>
        <w:jc w:val="center"/>
      </w:pPr>
    </w:p>
    <w:p w14:paraId="6E40AC76" w14:textId="77777777" w:rsidR="00A30671" w:rsidRDefault="00A30671" w:rsidP="00E773CB">
      <w:pPr>
        <w:spacing w:line="480" w:lineRule="auto"/>
        <w:ind w:firstLineChars="200" w:firstLine="480"/>
        <w:jc w:val="center"/>
      </w:pPr>
    </w:p>
    <w:p w14:paraId="42251544" w14:textId="77777777" w:rsidR="00A30671" w:rsidRDefault="00473F44" w:rsidP="00E773CB">
      <w:pPr>
        <w:spacing w:line="480" w:lineRule="auto"/>
        <w:ind w:firstLineChars="200" w:firstLine="480"/>
        <w:jc w:val="center"/>
        <w:rPr>
          <w:lang w:val="en-US" w:eastAsia="zh-CN"/>
        </w:rPr>
      </w:pPr>
      <w:r>
        <w:rPr>
          <w:noProof/>
          <w:lang w:val="en-US" w:eastAsia="zh-CN"/>
        </w:rPr>
        <w:drawing>
          <wp:inline distT="0" distB="0" distL="0" distR="0" wp14:anchorId="133DB871" wp14:editId="41D97E46">
            <wp:extent cx="5562600" cy="213360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a:xfrm>
                      <a:off x="0" y="0"/>
                      <a:ext cx="5562600" cy="2133600"/>
                    </a:xfrm>
                    <a:prstGeom prst="rect">
                      <a:avLst/>
                    </a:prstGeom>
                    <a:noFill/>
                    <a:ln>
                      <a:noFill/>
                    </a:ln>
                  </pic:spPr>
                </pic:pic>
              </a:graphicData>
            </a:graphic>
          </wp:inline>
        </w:drawing>
      </w:r>
    </w:p>
    <w:p w14:paraId="23ADA8D9" w14:textId="54F98335" w:rsidR="00A30671" w:rsidRDefault="00E773CB" w:rsidP="00E773CB">
      <w:pPr>
        <w:spacing w:line="480" w:lineRule="auto"/>
        <w:jc w:val="both"/>
      </w:pPr>
      <w:r>
        <w:rPr>
          <w:rFonts w:hint="eastAsia"/>
          <w:b/>
          <w:bCs/>
        </w:rPr>
        <w:t>Fig.</w:t>
      </w:r>
      <w:r w:rsidR="00FA7FB1" w:rsidRPr="00C772C0">
        <w:rPr>
          <w:rFonts w:hint="eastAsia"/>
          <w:b/>
          <w:bCs/>
        </w:rPr>
        <w:t xml:space="preserve"> S1</w:t>
      </w:r>
      <w:r w:rsidR="00473F44">
        <w:rPr>
          <w:b/>
        </w:rPr>
        <w:t xml:space="preserve">4. </w:t>
      </w:r>
      <w:r w:rsidR="00473F44">
        <w:t>Ex vivo fluorescence imaging of the tumor  and the major organs including liver, spleen, kidney,  heart, and lung, collected</w:t>
      </w:r>
      <w:r w:rsidR="00473F44">
        <w:rPr>
          <w:rFonts w:eastAsia="等线"/>
          <w:lang w:eastAsia="zh-CN"/>
        </w:rPr>
        <w:t xml:space="preserve"> </w:t>
      </w:r>
      <w:r w:rsidR="00473F44">
        <w:t>from the mice at 24 h post-injection.</w:t>
      </w:r>
    </w:p>
    <w:p w14:paraId="583349D3" w14:textId="77777777" w:rsidR="00A30671" w:rsidRDefault="00A30671" w:rsidP="00E773CB">
      <w:pPr>
        <w:spacing w:line="480" w:lineRule="auto"/>
        <w:ind w:firstLineChars="200" w:firstLine="480"/>
        <w:jc w:val="center"/>
      </w:pPr>
    </w:p>
    <w:p w14:paraId="42A3F7F2" w14:textId="77777777" w:rsidR="00A30671" w:rsidRDefault="00A30671" w:rsidP="00E773CB">
      <w:pPr>
        <w:spacing w:line="480" w:lineRule="auto"/>
        <w:ind w:firstLineChars="200" w:firstLine="480"/>
        <w:jc w:val="center"/>
      </w:pPr>
    </w:p>
    <w:p w14:paraId="276BE604" w14:textId="77777777" w:rsidR="00A30671" w:rsidRDefault="00473F44" w:rsidP="00E773CB">
      <w:pPr>
        <w:spacing w:line="480" w:lineRule="auto"/>
        <w:ind w:firstLineChars="200" w:firstLine="480"/>
        <w:jc w:val="center"/>
      </w:pPr>
      <w:r>
        <w:rPr>
          <w:noProof/>
        </w:rPr>
        <w:lastRenderedPageBreak/>
        <w:drawing>
          <wp:inline distT="0" distB="0" distL="0" distR="0" wp14:anchorId="4FCE183F" wp14:editId="13D01867">
            <wp:extent cx="4979862" cy="2895507"/>
            <wp:effectExtent l="0" t="0" r="0" b="63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a:xfrm>
                      <a:off x="0" y="0"/>
                      <a:ext cx="4996357" cy="2905098"/>
                    </a:xfrm>
                    <a:prstGeom prst="rect">
                      <a:avLst/>
                    </a:prstGeom>
                    <a:noFill/>
                    <a:ln>
                      <a:noFill/>
                    </a:ln>
                  </pic:spPr>
                </pic:pic>
              </a:graphicData>
            </a:graphic>
          </wp:inline>
        </w:drawing>
      </w:r>
    </w:p>
    <w:p w14:paraId="7163FEE4" w14:textId="3278E33A" w:rsidR="00A30671" w:rsidRDefault="00E773CB" w:rsidP="00E773CB">
      <w:pPr>
        <w:spacing w:line="480" w:lineRule="auto"/>
        <w:jc w:val="both"/>
      </w:pPr>
      <w:r>
        <w:rPr>
          <w:rFonts w:hint="eastAsia"/>
          <w:b/>
          <w:bCs/>
        </w:rPr>
        <w:t>Fig.</w:t>
      </w:r>
      <w:r w:rsidR="00FA7FB1" w:rsidRPr="00C772C0">
        <w:rPr>
          <w:rFonts w:hint="eastAsia"/>
          <w:b/>
          <w:bCs/>
        </w:rPr>
        <w:t xml:space="preserve"> S1</w:t>
      </w:r>
      <w:r w:rsidR="00473F44">
        <w:rPr>
          <w:b/>
        </w:rPr>
        <w:t>5</w:t>
      </w:r>
      <w:r w:rsidR="00473F44">
        <w:rPr>
          <w:b/>
          <w:bCs/>
        </w:rPr>
        <w:t>.</w:t>
      </w:r>
      <w:r w:rsidR="00473F44">
        <w:t xml:space="preserve"> H&amp;E stained histological images of major organs (heart, liver, spleen, lung, and kidney) from mice treated with PBS versus HHBP. Scale bar: 200 μm.</w:t>
      </w:r>
    </w:p>
    <w:p w14:paraId="2436700F" w14:textId="77777777" w:rsidR="00A30671" w:rsidRDefault="00A30671" w:rsidP="00E773CB">
      <w:pPr>
        <w:spacing w:line="480" w:lineRule="auto"/>
        <w:ind w:firstLineChars="200" w:firstLine="480"/>
        <w:jc w:val="center"/>
      </w:pPr>
    </w:p>
    <w:p w14:paraId="5775B368" w14:textId="77777777" w:rsidR="00A30671" w:rsidRDefault="00A30671" w:rsidP="00E773CB">
      <w:pPr>
        <w:spacing w:line="480" w:lineRule="auto"/>
        <w:ind w:firstLineChars="200" w:firstLine="480"/>
        <w:jc w:val="center"/>
      </w:pPr>
    </w:p>
    <w:p w14:paraId="59709351" w14:textId="77777777" w:rsidR="00A30671" w:rsidRDefault="00473F44" w:rsidP="00E773CB">
      <w:pPr>
        <w:spacing w:line="480" w:lineRule="auto"/>
        <w:ind w:firstLineChars="200" w:firstLine="480"/>
        <w:jc w:val="center"/>
      </w:pPr>
      <w:r>
        <w:rPr>
          <w:noProof/>
        </w:rPr>
        <w:drawing>
          <wp:inline distT="0" distB="0" distL="0" distR="0" wp14:anchorId="7D52C25F" wp14:editId="53665631">
            <wp:extent cx="4203609" cy="2452819"/>
            <wp:effectExtent l="0" t="0" r="6985" b="508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a:xfrm>
                      <a:off x="0" y="0"/>
                      <a:ext cx="4221501" cy="2463259"/>
                    </a:xfrm>
                    <a:prstGeom prst="rect">
                      <a:avLst/>
                    </a:prstGeom>
                    <a:noFill/>
                    <a:ln>
                      <a:noFill/>
                    </a:ln>
                  </pic:spPr>
                </pic:pic>
              </a:graphicData>
            </a:graphic>
          </wp:inline>
        </w:drawing>
      </w:r>
    </w:p>
    <w:p w14:paraId="3D62928C" w14:textId="6F8A2F97" w:rsidR="00A30671" w:rsidRDefault="00E773CB" w:rsidP="00E773CB">
      <w:pPr>
        <w:spacing w:line="480" w:lineRule="auto"/>
        <w:jc w:val="both"/>
      </w:pPr>
      <w:r>
        <w:rPr>
          <w:rFonts w:hint="eastAsia"/>
          <w:b/>
          <w:bCs/>
        </w:rPr>
        <w:t>Fig.</w:t>
      </w:r>
      <w:r w:rsidR="00FA7FB1" w:rsidRPr="00C772C0">
        <w:rPr>
          <w:rFonts w:hint="eastAsia"/>
          <w:b/>
          <w:bCs/>
        </w:rPr>
        <w:t xml:space="preserve"> S</w:t>
      </w:r>
      <w:r w:rsidR="00473F44">
        <w:rPr>
          <w:b/>
          <w:bCs/>
        </w:rPr>
        <w:t>1</w:t>
      </w:r>
      <w:r w:rsidR="00473F44">
        <w:rPr>
          <w:b/>
        </w:rPr>
        <w:t xml:space="preserve">6. </w:t>
      </w:r>
      <w:r w:rsidR="00473F44">
        <w:t xml:space="preserve">Blood biochemistry and hematology data of Balb/c mice treated with HHBP at different time point after i.v. injection. </w:t>
      </w:r>
      <w:r w:rsidR="00B52168" w:rsidRPr="00B52168">
        <w:rPr>
          <w:b/>
          <w:bCs/>
        </w:rPr>
        <w:t>a</w:t>
      </w:r>
      <w:r w:rsidR="00473F44">
        <w:t xml:space="preserve"> </w:t>
      </w:r>
      <w:r w:rsidR="00B52168">
        <w:t>A</w:t>
      </w:r>
      <w:r w:rsidR="00473F44">
        <w:t xml:space="preserve">lanine aminotransferase (ALT), </w:t>
      </w:r>
      <w:r w:rsidR="00B52168" w:rsidRPr="00B52168">
        <w:rPr>
          <w:b/>
          <w:bCs/>
        </w:rPr>
        <w:t>b</w:t>
      </w:r>
      <w:r w:rsidR="00473F44">
        <w:t xml:space="preserve"> </w:t>
      </w:r>
      <w:r w:rsidR="00B52168">
        <w:t>A</w:t>
      </w:r>
      <w:r w:rsidR="00473F44">
        <w:t xml:space="preserve">spartate aminotransferase (AST), </w:t>
      </w:r>
      <w:r w:rsidR="00B52168" w:rsidRPr="00B52168">
        <w:rPr>
          <w:b/>
          <w:bCs/>
        </w:rPr>
        <w:t>c</w:t>
      </w:r>
      <w:r w:rsidR="00473F44">
        <w:t xml:space="preserve"> </w:t>
      </w:r>
      <w:r w:rsidR="00B52168">
        <w:t>A</w:t>
      </w:r>
      <w:r w:rsidR="00473F44">
        <w:t xml:space="preserve">lkaline phosphatase (ALP), </w:t>
      </w:r>
      <w:r w:rsidR="00B52168" w:rsidRPr="00B52168">
        <w:rPr>
          <w:b/>
          <w:bCs/>
        </w:rPr>
        <w:t>d</w:t>
      </w:r>
      <w:r w:rsidR="00473F44">
        <w:t xml:space="preserve"> </w:t>
      </w:r>
      <w:r w:rsidR="00B52168">
        <w:t>C</w:t>
      </w:r>
      <w:r w:rsidR="00473F44">
        <w:t xml:space="preserve">reatinine (CREA), </w:t>
      </w:r>
      <w:r w:rsidR="00B52168" w:rsidRPr="00B52168">
        <w:rPr>
          <w:b/>
          <w:bCs/>
        </w:rPr>
        <w:t>e</w:t>
      </w:r>
      <w:r w:rsidR="00473F44">
        <w:t xml:space="preserve"> </w:t>
      </w:r>
      <w:r w:rsidR="00B52168">
        <w:t>U</w:t>
      </w:r>
      <w:r w:rsidR="00473F44">
        <w:t xml:space="preserve">rea nitrogen (BUN), </w:t>
      </w:r>
      <w:r w:rsidR="00B52168" w:rsidRPr="00B52168">
        <w:rPr>
          <w:b/>
          <w:bCs/>
        </w:rPr>
        <w:t>f</w:t>
      </w:r>
      <w:r w:rsidR="00473F44">
        <w:t xml:space="preserve"> </w:t>
      </w:r>
      <w:r w:rsidR="00B52168">
        <w:t>R</w:t>
      </w:r>
      <w:r w:rsidR="00473F44">
        <w:t xml:space="preserve">ed blood cells (RBC), </w:t>
      </w:r>
      <w:r w:rsidR="00B52168" w:rsidRPr="00B52168">
        <w:rPr>
          <w:b/>
          <w:bCs/>
        </w:rPr>
        <w:t>g</w:t>
      </w:r>
      <w:r w:rsidR="00473F44">
        <w:t xml:space="preserve"> </w:t>
      </w:r>
      <w:r w:rsidR="00B52168">
        <w:t>H</w:t>
      </w:r>
      <w:r w:rsidR="00473F44">
        <w:t xml:space="preserve">emoglobin (HGB), </w:t>
      </w:r>
      <w:r w:rsidR="00B52168" w:rsidRPr="00B52168">
        <w:rPr>
          <w:b/>
          <w:bCs/>
        </w:rPr>
        <w:t>h</w:t>
      </w:r>
      <w:r w:rsidR="00473F44">
        <w:t xml:space="preserve"> </w:t>
      </w:r>
      <w:r w:rsidR="00B52168">
        <w:t>W</w:t>
      </w:r>
      <w:r w:rsidR="00473F44">
        <w:t xml:space="preserve">hite blood cells (WBC), </w:t>
      </w:r>
      <w:r w:rsidR="00B52168">
        <w:rPr>
          <w:b/>
          <w:bCs/>
        </w:rPr>
        <w:t>i</w:t>
      </w:r>
      <w:r w:rsidR="00473F44">
        <w:t xml:space="preserve"> </w:t>
      </w:r>
      <w:r w:rsidR="00B52168">
        <w:t>M</w:t>
      </w:r>
      <w:r w:rsidR="00473F44">
        <w:t xml:space="preserve">ean corpuscular volume (MCV), </w:t>
      </w:r>
      <w:r w:rsidR="00B52168" w:rsidRPr="00B52168">
        <w:rPr>
          <w:b/>
          <w:bCs/>
        </w:rPr>
        <w:t>j</w:t>
      </w:r>
      <w:r w:rsidR="00473F44">
        <w:t xml:space="preserve"> </w:t>
      </w:r>
      <w:r w:rsidR="00B52168">
        <w:t>M</w:t>
      </w:r>
      <w:r w:rsidR="00473F44">
        <w:t xml:space="preserve">ean corpuscular hemoglobin concentration (MCHC), </w:t>
      </w:r>
      <w:r w:rsidR="00B52168">
        <w:rPr>
          <w:b/>
          <w:bCs/>
        </w:rPr>
        <w:t>k</w:t>
      </w:r>
      <w:r w:rsidR="00473F44">
        <w:t xml:space="preserve"> </w:t>
      </w:r>
      <w:r w:rsidR="00B52168">
        <w:t>M</w:t>
      </w:r>
      <w:r w:rsidR="00473F44">
        <w:t xml:space="preserve">ean corpuscular hemoglobin (MCH), and </w:t>
      </w:r>
      <w:r w:rsidR="00B52168" w:rsidRPr="00B52168">
        <w:rPr>
          <w:b/>
          <w:bCs/>
        </w:rPr>
        <w:t>l</w:t>
      </w:r>
      <w:r w:rsidR="00473F44">
        <w:t xml:space="preserve"> hematocrit (HCT).</w:t>
      </w:r>
      <w:r w:rsidR="00473F44">
        <w:fldChar w:fldCharType="begin"/>
      </w:r>
      <w:r w:rsidR="00473F44">
        <w:instrText xml:space="preserve"> ADDIN EN.REFLIST </w:instrText>
      </w:r>
      <w:r w:rsidR="00E66182">
        <w:fldChar w:fldCharType="separate"/>
      </w:r>
      <w:r w:rsidR="00473F44">
        <w:fldChar w:fldCharType="end"/>
      </w:r>
    </w:p>
    <w:sectPr w:rsidR="00A30671">
      <w:headerReference w:type="default" r:id="rId23"/>
      <w:footerReference w:type="default" r:id="rId24"/>
      <w:pgSz w:w="11906" w:h="16838"/>
      <w:pgMar w:top="1417" w:right="1417" w:bottom="1134" w:left="1417"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D58421" w14:textId="77777777" w:rsidR="00E66182" w:rsidRDefault="00E66182">
      <w:r>
        <w:separator/>
      </w:r>
    </w:p>
  </w:endnote>
  <w:endnote w:type="continuationSeparator" w:id="0">
    <w:p w14:paraId="63A2CCF9" w14:textId="77777777" w:rsidR="00E66182" w:rsidRDefault="00E661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 w:name="等线">
    <w:altName w:val="DengXian"/>
    <w:panose1 w:val="02010600030101010101"/>
    <w:charset w:val="86"/>
    <w:family w:val="auto"/>
    <w:pitch w:val="variable"/>
    <w:sig w:usb0="A00002BF" w:usb1="38CF7CFA" w:usb2="00000016" w:usb3="00000000" w:csb0="0004000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D6F2F8" w14:textId="77777777" w:rsidR="00A30671" w:rsidRDefault="00473F44">
    <w:pPr>
      <w:pStyle w:val="a3"/>
      <w:jc w:val="center"/>
    </w:pPr>
    <w:r>
      <w:fldChar w:fldCharType="begin"/>
    </w:r>
    <w:r>
      <w:instrText>PAGE   \* MERGEFORMAT</w:instrText>
    </w:r>
    <w:r>
      <w:fldChar w:fldCharType="separate"/>
    </w:r>
    <w:r>
      <w:rPr>
        <w:lang w:val="en-US" w:eastAsia="zh-CN"/>
      </w:rPr>
      <w:t>1</w:t>
    </w:r>
    <w:r>
      <w:fldChar w:fldCharType="end"/>
    </w:r>
  </w:p>
  <w:p w14:paraId="4F33C818" w14:textId="77777777" w:rsidR="00A30671" w:rsidRDefault="00A30671">
    <w:pPr>
      <w:pStyle w:val="a3"/>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27CB58" w14:textId="77777777" w:rsidR="00E66182" w:rsidRDefault="00E66182">
      <w:r>
        <w:separator/>
      </w:r>
    </w:p>
  </w:footnote>
  <w:footnote w:type="continuationSeparator" w:id="0">
    <w:p w14:paraId="761E238A" w14:textId="77777777" w:rsidR="00E66182" w:rsidRDefault="00E6618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68752352"/>
      <w:placeholder>
        <w:docPart w:val="86FEAE78191B488491369A220EF21A02"/>
      </w:placeholder>
      <w:temporary/>
      <w:showingPlcHdr/>
      <w15:appearance w15:val="hidden"/>
    </w:sdtPr>
    <w:sdtEndPr/>
    <w:sdtContent>
      <w:p w14:paraId="32C74F80" w14:textId="77777777" w:rsidR="00B52168" w:rsidRDefault="00B52168">
        <w:pPr>
          <w:pStyle w:val="a4"/>
        </w:pPr>
        <w:r>
          <w:rPr>
            <w:lang w:val="zh-CN" w:eastAsia="zh-CN"/>
          </w:rPr>
          <w:t>[</w:t>
        </w:r>
        <w:r>
          <w:rPr>
            <w:lang w:val="zh-CN" w:eastAsia="zh-CN"/>
          </w:rPr>
          <w:t>在此处键入</w:t>
        </w:r>
        <w:r>
          <w:rPr>
            <w:lang w:val="zh-CN" w:eastAsia="zh-CN"/>
          </w:rPr>
          <w:t>]</w:t>
        </w:r>
      </w:p>
    </w:sdtContent>
  </w:sdt>
  <w:p w14:paraId="1E94F9B2" w14:textId="4C960840" w:rsidR="00A30671" w:rsidRDefault="00A30671">
    <w:pPr>
      <w:pStyle w:val="a4"/>
      <w:pBdr>
        <w:bottom w:val="none" w:sz="0" w:space="1" w:color="auto"/>
      </w:pBdr>
      <w:tabs>
        <w:tab w:val="left" w:pos="5003"/>
      </w:tabs>
      <w:jc w:val="both"/>
      <w:rPr>
        <w:lang w:val="en-US"/>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embedSystemFonts/>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11992C5C"/>
    <w:rsid w:val="000009E5"/>
    <w:rsid w:val="00005D4B"/>
    <w:rsid w:val="000A44BF"/>
    <w:rsid w:val="001224A3"/>
    <w:rsid w:val="0018717C"/>
    <w:rsid w:val="00473F44"/>
    <w:rsid w:val="0062649C"/>
    <w:rsid w:val="00652082"/>
    <w:rsid w:val="006A0402"/>
    <w:rsid w:val="008C21A2"/>
    <w:rsid w:val="00A30671"/>
    <w:rsid w:val="00AD2DED"/>
    <w:rsid w:val="00B52168"/>
    <w:rsid w:val="00BB12A9"/>
    <w:rsid w:val="00BD58F2"/>
    <w:rsid w:val="00E5241C"/>
    <w:rsid w:val="00E66182"/>
    <w:rsid w:val="00E70782"/>
    <w:rsid w:val="00E773CB"/>
    <w:rsid w:val="00FA7FB1"/>
    <w:rsid w:val="11992C5C"/>
    <w:rsid w:val="29FA38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88BDE7A"/>
  <w15:docId w15:val="{8ED903D8-5399-4121-AD24-23253442EC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unhideWhenUsed="1" w:qFormat="1"/>
    <w:lsdException w:name="footer" w:uiPriority="99" w:unhideWhenUsed="1" w:qFormat="1"/>
    <w:lsdException w:name="caption" w:semiHidden="1" w:unhideWhenUsed="1" w:qFormat="1"/>
    <w:lsdException w:name="Title" w:qFormat="1"/>
    <w:lsdException w:name="Default Paragraph Font" w:semiHidden="1"/>
    <w:lsdException w:name="Subtitle" w:qFormat="1"/>
    <w:lsdException w:name="Hyperlink" w:uiPriority="99"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Pr>
      <w:rFonts w:ascii="Times New Roman" w:eastAsia="MS Mincho" w:hAnsi="Times New Roman" w:cs="Times New Roman"/>
      <w:sz w:val="24"/>
      <w:szCs w:val="24"/>
      <w:lang w:val="de-DE" w:eastAsia="ja-JP"/>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unhideWhenUsed/>
    <w:qFormat/>
    <w:pPr>
      <w:tabs>
        <w:tab w:val="center" w:pos="4153"/>
        <w:tab w:val="right" w:pos="8306"/>
      </w:tabs>
      <w:snapToGrid w:val="0"/>
    </w:pPr>
    <w:rPr>
      <w:sz w:val="18"/>
      <w:szCs w:val="18"/>
    </w:rPr>
  </w:style>
  <w:style w:type="paragraph" w:styleId="a4">
    <w:name w:val="header"/>
    <w:basedOn w:val="a"/>
    <w:link w:val="a5"/>
    <w:uiPriority w:val="99"/>
    <w:unhideWhenUsed/>
    <w:qFormat/>
    <w:pPr>
      <w:pBdr>
        <w:bottom w:val="single" w:sz="6" w:space="1" w:color="auto"/>
      </w:pBdr>
      <w:tabs>
        <w:tab w:val="center" w:pos="4153"/>
        <w:tab w:val="right" w:pos="8306"/>
      </w:tabs>
      <w:snapToGrid w:val="0"/>
      <w:jc w:val="center"/>
    </w:pPr>
    <w:rPr>
      <w:sz w:val="18"/>
      <w:szCs w:val="18"/>
    </w:rPr>
  </w:style>
  <w:style w:type="character" w:styleId="a6">
    <w:name w:val="Hyperlink"/>
    <w:uiPriority w:val="99"/>
    <w:unhideWhenUsed/>
    <w:qFormat/>
    <w:rPr>
      <w:color w:val="0000FF"/>
      <w:u w:val="single"/>
    </w:rPr>
  </w:style>
  <w:style w:type="paragraph" w:customStyle="1" w:styleId="affiliation">
    <w:name w:val="affiliation"/>
    <w:basedOn w:val="a"/>
    <w:next w:val="a"/>
    <w:qFormat/>
    <w:pPr>
      <w:overflowPunct w:val="0"/>
      <w:autoSpaceDE w:val="0"/>
      <w:autoSpaceDN w:val="0"/>
      <w:adjustRightInd w:val="0"/>
      <w:spacing w:before="120" w:after="160" w:line="259" w:lineRule="auto"/>
      <w:textAlignment w:val="baseline"/>
    </w:pPr>
    <w:rPr>
      <w:rFonts w:eastAsia="宋体"/>
      <w:i/>
      <w:szCs w:val="20"/>
      <w:lang w:val="en-US" w:eastAsia="de-DE"/>
    </w:rPr>
  </w:style>
  <w:style w:type="paragraph" w:customStyle="1" w:styleId="EndNoteBibliography">
    <w:name w:val="EndNote Bibliography"/>
    <w:basedOn w:val="a"/>
    <w:qFormat/>
    <w:pPr>
      <w:widowControl w:val="0"/>
      <w:spacing w:after="160"/>
      <w:jc w:val="both"/>
    </w:pPr>
    <w:rPr>
      <w:rFonts w:ascii="等线" w:eastAsia="等线" w:hAnsi="等线" w:cstheme="minorBidi"/>
      <w:kern w:val="2"/>
      <w:szCs w:val="22"/>
      <w:lang w:val="en-US" w:eastAsia="zh-CN"/>
    </w:rPr>
  </w:style>
  <w:style w:type="paragraph" w:customStyle="1" w:styleId="msolistparagraph0">
    <w:name w:val="msolistparagraph"/>
    <w:basedOn w:val="a"/>
    <w:qFormat/>
    <w:rsid w:val="008C21A2"/>
    <w:pPr>
      <w:ind w:firstLineChars="200" w:firstLine="420"/>
    </w:pPr>
    <w:rPr>
      <w:lang w:val="en-US" w:eastAsia="zh-CN"/>
    </w:rPr>
  </w:style>
  <w:style w:type="character" w:customStyle="1" w:styleId="a5">
    <w:name w:val="页眉 字符"/>
    <w:basedOn w:val="a0"/>
    <w:link w:val="a4"/>
    <w:uiPriority w:val="99"/>
    <w:rsid w:val="00B52168"/>
    <w:rPr>
      <w:rFonts w:ascii="Times New Roman" w:eastAsia="MS Mincho" w:hAnsi="Times New Roman" w:cs="Times New Roman"/>
      <w:sz w:val="18"/>
      <w:szCs w:val="18"/>
      <w:lang w:val="de-DE"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glossaryDocument" Target="glossary/document.xml"/><Relationship Id="rId3" Type="http://schemas.openxmlformats.org/officeDocument/2006/relationships/settings" Target="settings.xml"/><Relationship Id="rId21" Type="http://schemas.openxmlformats.org/officeDocument/2006/relationships/image" Target="media/image15.png"/><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header" Target="header1.xml"/><Relationship Id="rId10" Type="http://schemas.openxmlformats.org/officeDocument/2006/relationships/image" Target="media/image4.png"/><Relationship Id="rId19" Type="http://schemas.openxmlformats.org/officeDocument/2006/relationships/image" Target="media/image13.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jpeg"/><Relationship Id="rId22" Type="http://schemas.openxmlformats.org/officeDocument/2006/relationships/image" Target="media/image16.png"/><Relationship Id="rId27"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86FEAE78191B488491369A220EF21A02"/>
        <w:category>
          <w:name w:val="常规"/>
          <w:gallery w:val="placeholder"/>
        </w:category>
        <w:types>
          <w:type w:val="bbPlcHdr"/>
        </w:types>
        <w:behaviors>
          <w:behavior w:val="content"/>
        </w:behaviors>
        <w:guid w:val="{E94F6EFF-1354-486B-ACEE-FAEAEA090EDC}"/>
      </w:docPartPr>
      <w:docPartBody>
        <w:p w:rsidR="00CA06EA" w:rsidRDefault="00677FF3" w:rsidP="00677FF3">
          <w:pPr>
            <w:pStyle w:val="86FEAE78191B488491369A220EF21A02"/>
          </w:pPr>
          <w:r>
            <w:rPr>
              <w:lang w:val="zh-CN"/>
            </w:rPr>
            <w:t>[在此处键入]</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 w:name="等线">
    <w:altName w:val="DengXian"/>
    <w:panose1 w:val="02010600030101010101"/>
    <w:charset w:val="86"/>
    <w:family w:val="auto"/>
    <w:pitch w:val="variable"/>
    <w:sig w:usb0="A00002BF" w:usb1="38CF7CFA" w:usb2="00000016" w:usb3="00000000" w:csb0="0004000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7FF3"/>
    <w:rsid w:val="00054D09"/>
    <w:rsid w:val="00677FF3"/>
    <w:rsid w:val="009D0EF2"/>
    <w:rsid w:val="00CA06EA"/>
    <w:rsid w:val="00D311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86FEAE78191B488491369A220EF21A02">
    <w:name w:val="86FEAE78191B488491369A220EF21A02"/>
    <w:rsid w:val="00677FF3"/>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16</Pages>
  <Words>2358</Words>
  <Characters>13444</Characters>
  <Application>Microsoft Office Word</Application>
  <DocSecurity>0</DocSecurity>
  <Lines>112</Lines>
  <Paragraphs>31</Paragraphs>
  <ScaleCrop>false</ScaleCrop>
  <Company/>
  <LinksUpToDate>false</LinksUpToDate>
  <CharactersWithSpaces>15771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nowadays</dc:creator>
  <cp:lastModifiedBy>WuJR</cp:lastModifiedBy>
  <cp:revision>12</cp:revision>
  <dcterms:created xsi:type="dcterms:W3CDTF">2021-09-02T11:31:00Z</dcterms:created>
  <dcterms:modified xsi:type="dcterms:W3CDTF">2021-09-28T16:12:00Z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2340BF90723E4A4D9FC1307361FF3051</vt:lpwstr>
  </property>
</Properties>
</file>