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80"/>
      </w:pPr>
      <w:r>
        <w:rPr>
          <w:b/>
          <w:sz w:val="22"/>
        </w:rPr>
        <w:t>Supplementary Table S2. SF-36 floor and ceiling effects at baseline (T0) and 12 months (T4)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44"/>
        <w:gridCol w:w="1344"/>
        <w:gridCol w:w="1344"/>
        <w:gridCol w:w="1344"/>
        <w:gridCol w:w="1344"/>
        <w:gridCol w:w="1344"/>
        <w:gridCol w:w="1344"/>
      </w:tblGrid>
      <w:tr>
        <w:tc>
          <w:tcPr>
            <w:tcW w:type="dxa" w:w="1344"/>
          </w:tcPr>
          <w:p>
            <w:pPr>
              <w:spacing w:after="0"/>
            </w:pPr>
            <w:r>
              <w:rPr>
                <w:b/>
                <w:sz w:val="19"/>
              </w:rPr>
              <w:t>Subscale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/>
                <w:sz w:val="19"/>
              </w:rPr>
              <w:t>T0 Floor</w:t>
              <w:br/>
              <w:t>(score=0)</w:t>
              <w:br/>
              <w:t>n (%)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/>
                <w:sz w:val="19"/>
              </w:rPr>
              <w:t>T0 Ceiling</w:t>
              <w:br/>
              <w:t>(score=100)</w:t>
              <w:br/>
              <w:t>n (%)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/>
                <w:sz w:val="19"/>
              </w:rPr>
              <w:t>T0 mean±SD</w:t>
              <w:br/>
              <w:t>(n)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/>
                <w:sz w:val="19"/>
              </w:rPr>
              <w:t>T4 Floor</w:t>
              <w:br/>
              <w:t>(score=0)</w:t>
              <w:br/>
              <w:t>n (%)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/>
                <w:sz w:val="19"/>
              </w:rPr>
              <w:t>T4 Ceiling</w:t>
              <w:br/>
              <w:t>(score=100)</w:t>
              <w:br/>
              <w:t>n (%)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/>
                <w:sz w:val="19"/>
              </w:rPr>
              <w:t>T4 mean±SD</w:t>
              <w:br/>
              <w:t>(n)</w:t>
            </w:r>
          </w:p>
        </w:tc>
      </w:tr>
      <w:tr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PF (Physical Functioning)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0 (0.0%)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10 (11.1%)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72.4±21.2 (n=90)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0 (0.0%)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0 (0.0%)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72.7±16.3 (n=89)</w:t>
            </w:r>
          </w:p>
        </w:tc>
      </w:tr>
      <w:tr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RP (Role-Physical)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39 (44.8%)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22 (25.3%)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41.4±43.3 (n=87)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6 (6.7%)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48 (53.9%)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72.8±33.8 (n=89)†</w:t>
            </w:r>
          </w:p>
        </w:tc>
      </w:tr>
      <w:tr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BP (Bodily Pain)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0 (0.0%)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39 (43.3%)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72.0±31.1 (n=90)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0 (0.0%)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48 (53.9%)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85.2±20.8 (n=89)</w:t>
            </w:r>
          </w:p>
        </w:tc>
      </w:tr>
      <w:tr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GH (General Health)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0 (0.0%)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0 (0.0%)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55.2±20.9 (n=90)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0 (0.0%)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3 (3.4%)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62.3±21.3 (n=89)</w:t>
            </w:r>
          </w:p>
        </w:tc>
      </w:tr>
      <w:tr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VT (Vitality)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0 (0.0%)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4 (4.4%)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59.0±24.7 (n=90)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0 (0.0%)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3 (3.4%)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64.3±24.9 (n=89)</w:t>
            </w:r>
          </w:p>
        </w:tc>
      </w:tr>
      <w:tr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SF (Social Functioning)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0 (0.0%)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18 (20.0%)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65.6±24.3 (n=90)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3 (3.4%)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43 (48.3%)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77.5±26.5 (n=89)</w:t>
            </w:r>
          </w:p>
        </w:tc>
      </w:tr>
      <w:tr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RE (Role-Emotional)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36 (40.0%)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24 (26.7%)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43.0±41.6 (n=90)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3 (3.4%)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26 (29.2%)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64.0±28.5 (n=89)</w:t>
            </w:r>
          </w:p>
        </w:tc>
      </w:tr>
      <w:tr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MH (Mental Health)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0 (0.0%)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0 (0.0%)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67.1±21.3 (n=90)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0 (0.0%)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12 (13.5%)</w:t>
            </w:r>
          </w:p>
        </w:tc>
        <w:tc>
          <w:tcPr>
            <w:tcW w:type="dxa" w:w="1344"/>
          </w:tcPr>
          <w:p>
            <w:pPr>
              <w:spacing w:after="0"/>
            </w:pPr>
            <w:r>
              <w:rPr>
                <w:b w:val="0"/>
                <w:sz w:val="19"/>
              </w:rPr>
              <w:t>75.3±20.6 (n=89)</w:t>
            </w:r>
          </w:p>
        </w:tc>
      </w:tr>
    </w:tbl>
    <w:p>
      <w:pPr>
        <w:spacing w:before="80" w:after="160"/>
      </w:pPr>
      <w:r>
        <w:rPr>
          <w:i/>
          <w:sz w:val="19"/>
        </w:rPr>
        <w:t>Scored per official RAND Health SF-36 algorithm (v1). Higher scores = better health. RP T0: n=87 (3 patients had all RP items coded 3; excluded as missing). † RP T4 full-sample mean 72.8±33.8 (n=89). Table 3 reports paired-subset RP T4 mean = 71.8±34.0 (n=86 with both T0 and T4 valid RP). The difference arises because 3 T0-excluded patients contribute their T4 scores to the full sample. Sensitivity analysis (value 3 → 100) gives the same T4 value (no value-3 at T4). All other subscales: T0 n=90; T4 n=89 (one patient missing T4 data).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