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CC1" w:rsidRPr="00F90CC1" w:rsidRDefault="00F90CC1" w:rsidP="00F90CC1">
      <w:pPr>
        <w:spacing w:line="480" w:lineRule="auto"/>
        <w:rPr>
          <w:rFonts w:ascii="Times New Roman" w:hAnsi="Times New Roman" w:cs="Times New Roman"/>
          <w:b/>
          <w:sz w:val="24"/>
          <w:szCs w:val="24"/>
          <w:lang w:val="en-GB"/>
        </w:rPr>
      </w:pPr>
      <w:bookmarkStart w:id="0" w:name="_GoBack"/>
      <w:r w:rsidRPr="00F90CC1">
        <w:rPr>
          <w:rFonts w:ascii="Times New Roman" w:hAnsi="Times New Roman" w:cs="Times New Roman"/>
          <w:b/>
          <w:sz w:val="24"/>
          <w:szCs w:val="24"/>
          <w:lang w:val="en-GB"/>
        </w:rPr>
        <w:t xml:space="preserve">Supplementary Information </w:t>
      </w:r>
    </w:p>
    <w:bookmarkEnd w:id="0"/>
    <w:p w:rsidR="00F90CC1" w:rsidRPr="00F90CC1" w:rsidRDefault="00F90CC1" w:rsidP="00F90CC1">
      <w:pPr>
        <w:spacing w:line="480" w:lineRule="auto"/>
        <w:rPr>
          <w:rFonts w:ascii="Times New Roman" w:eastAsia="Times New Roman" w:hAnsi="Times New Roman" w:cs="Times New Roman"/>
          <w:color w:val="FF0000"/>
          <w:sz w:val="24"/>
          <w:szCs w:val="24"/>
          <w:lang w:val="en-GB"/>
        </w:rPr>
      </w:pPr>
      <w:r w:rsidRPr="00F90CC1">
        <w:rPr>
          <w:rFonts w:ascii="Times New Roman" w:eastAsia="Times New Roman" w:hAnsi="Times New Roman" w:cs="Times New Roman"/>
          <w:b/>
          <w:bCs/>
          <w:sz w:val="24"/>
          <w:szCs w:val="24"/>
          <w:lang w:val="en-GB"/>
        </w:rPr>
        <w:t xml:space="preserve">Table S1 </w:t>
      </w:r>
      <w:r w:rsidRPr="00F90CC1">
        <w:rPr>
          <w:rFonts w:ascii="Times New Roman" w:eastAsia="Times New Roman" w:hAnsi="Times New Roman" w:cs="Times New Roman"/>
          <w:sz w:val="24"/>
          <w:szCs w:val="24"/>
          <w:lang w:val="en-GB"/>
        </w:rPr>
        <w:t>Monthly number of individually identified humpback whales recorded per breeding region during the 2018–2024 breeding seasons. Values represent raw counts of unique individuals used to calculate the monthly proportions</w:t>
      </w:r>
    </w:p>
    <w:tbl>
      <w:tblPr>
        <w:tblW w:w="8080" w:type="dxa"/>
        <w:jc w:val="center"/>
        <w:tblLayout w:type="fixed"/>
        <w:tblLook w:val="0400" w:firstRow="0" w:lastRow="0" w:firstColumn="0" w:lastColumn="0" w:noHBand="0" w:noVBand="1"/>
      </w:tblPr>
      <w:tblGrid>
        <w:gridCol w:w="2127"/>
        <w:gridCol w:w="992"/>
        <w:gridCol w:w="709"/>
        <w:gridCol w:w="708"/>
        <w:gridCol w:w="709"/>
        <w:gridCol w:w="709"/>
        <w:gridCol w:w="658"/>
        <w:gridCol w:w="759"/>
        <w:gridCol w:w="709"/>
      </w:tblGrid>
      <w:tr w:rsidR="00F90CC1" w:rsidRPr="00F90CC1" w:rsidTr="00F90CC1">
        <w:trPr>
          <w:trHeight w:val="512"/>
          <w:jc w:val="center"/>
        </w:trPr>
        <w:tc>
          <w:tcPr>
            <w:tcW w:w="2127"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b/>
                <w:bCs/>
                <w:color w:val="000000"/>
                <w:sz w:val="24"/>
                <w:szCs w:val="24"/>
                <w:lang w:val="en-GB"/>
              </w:rPr>
            </w:pPr>
            <w:r w:rsidRPr="00F90CC1">
              <w:rPr>
                <w:rFonts w:ascii="Times New Roman" w:eastAsia="Times New Roman" w:hAnsi="Times New Roman" w:cs="Times New Roman"/>
                <w:b/>
                <w:bCs/>
                <w:color w:val="000000"/>
                <w:sz w:val="24"/>
                <w:szCs w:val="24"/>
                <w:lang w:val="en-GB"/>
              </w:rPr>
              <w:t>Region</w:t>
            </w:r>
          </w:p>
        </w:tc>
        <w:tc>
          <w:tcPr>
            <w:tcW w:w="992"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b/>
                <w:bCs/>
                <w:color w:val="000000"/>
                <w:sz w:val="24"/>
                <w:szCs w:val="24"/>
                <w:lang w:val="en-GB"/>
              </w:rPr>
            </w:pPr>
            <w:r w:rsidRPr="00F90CC1">
              <w:rPr>
                <w:rFonts w:ascii="Times New Roman" w:eastAsia="Times New Roman" w:hAnsi="Times New Roman" w:cs="Times New Roman"/>
                <w:b/>
                <w:bCs/>
                <w:color w:val="000000"/>
                <w:sz w:val="24"/>
                <w:szCs w:val="24"/>
                <w:lang w:val="en-GB"/>
              </w:rPr>
              <w:t>Season</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b/>
                <w:bCs/>
                <w:color w:val="000000"/>
                <w:sz w:val="24"/>
                <w:szCs w:val="24"/>
                <w:lang w:val="en-GB"/>
              </w:rPr>
            </w:pPr>
            <w:r w:rsidRPr="00F90CC1">
              <w:rPr>
                <w:rFonts w:ascii="Times New Roman" w:eastAsia="Times New Roman" w:hAnsi="Times New Roman" w:cs="Times New Roman"/>
                <w:b/>
                <w:bCs/>
                <w:color w:val="000000"/>
                <w:sz w:val="24"/>
                <w:szCs w:val="24"/>
                <w:lang w:val="en-GB"/>
              </w:rPr>
              <w:t>Oct</w:t>
            </w:r>
          </w:p>
        </w:tc>
        <w:tc>
          <w:tcPr>
            <w:tcW w:w="708"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b/>
                <w:bCs/>
                <w:color w:val="000000"/>
                <w:sz w:val="24"/>
                <w:szCs w:val="24"/>
                <w:lang w:val="en-GB"/>
              </w:rPr>
            </w:pPr>
            <w:r w:rsidRPr="00F90CC1">
              <w:rPr>
                <w:rFonts w:ascii="Times New Roman" w:eastAsia="Times New Roman" w:hAnsi="Times New Roman" w:cs="Times New Roman"/>
                <w:b/>
                <w:bCs/>
                <w:color w:val="000000"/>
                <w:sz w:val="24"/>
                <w:szCs w:val="24"/>
                <w:lang w:val="en-GB"/>
              </w:rPr>
              <w:t>Nov</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b/>
                <w:bCs/>
                <w:color w:val="000000"/>
                <w:sz w:val="24"/>
                <w:szCs w:val="24"/>
                <w:lang w:val="en-GB"/>
              </w:rPr>
            </w:pPr>
            <w:r w:rsidRPr="00F90CC1">
              <w:rPr>
                <w:rFonts w:ascii="Times New Roman" w:eastAsia="Times New Roman" w:hAnsi="Times New Roman" w:cs="Times New Roman"/>
                <w:b/>
                <w:bCs/>
                <w:color w:val="000000"/>
                <w:sz w:val="24"/>
                <w:szCs w:val="24"/>
                <w:lang w:val="en-GB"/>
              </w:rPr>
              <w:t>Dec</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b/>
                <w:bCs/>
                <w:color w:val="000000"/>
                <w:sz w:val="24"/>
                <w:szCs w:val="24"/>
                <w:lang w:val="en-GB"/>
              </w:rPr>
            </w:pPr>
            <w:r w:rsidRPr="00F90CC1">
              <w:rPr>
                <w:rFonts w:ascii="Times New Roman" w:eastAsia="Times New Roman" w:hAnsi="Times New Roman" w:cs="Times New Roman"/>
                <w:b/>
                <w:bCs/>
                <w:color w:val="000000"/>
                <w:sz w:val="24"/>
                <w:szCs w:val="24"/>
                <w:lang w:val="en-GB"/>
              </w:rPr>
              <w:t>Jan</w:t>
            </w:r>
          </w:p>
        </w:tc>
        <w:tc>
          <w:tcPr>
            <w:tcW w:w="658"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b/>
                <w:bCs/>
                <w:color w:val="000000"/>
                <w:sz w:val="24"/>
                <w:szCs w:val="24"/>
                <w:lang w:val="en-GB"/>
              </w:rPr>
            </w:pPr>
            <w:r w:rsidRPr="00F90CC1">
              <w:rPr>
                <w:rFonts w:ascii="Times New Roman" w:eastAsia="Times New Roman" w:hAnsi="Times New Roman" w:cs="Times New Roman"/>
                <w:b/>
                <w:bCs/>
                <w:color w:val="000000"/>
                <w:sz w:val="24"/>
                <w:szCs w:val="24"/>
                <w:lang w:val="en-GB"/>
              </w:rPr>
              <w:t>Feb</w:t>
            </w:r>
          </w:p>
        </w:tc>
        <w:tc>
          <w:tcPr>
            <w:tcW w:w="75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b/>
                <w:bCs/>
                <w:color w:val="000000"/>
                <w:sz w:val="24"/>
                <w:szCs w:val="24"/>
                <w:lang w:val="en-GB"/>
              </w:rPr>
            </w:pPr>
            <w:r w:rsidRPr="00F90CC1">
              <w:rPr>
                <w:rFonts w:ascii="Times New Roman" w:eastAsia="Times New Roman" w:hAnsi="Times New Roman" w:cs="Times New Roman"/>
                <w:b/>
                <w:bCs/>
                <w:color w:val="000000"/>
                <w:sz w:val="24"/>
                <w:szCs w:val="24"/>
                <w:lang w:val="en-GB"/>
              </w:rPr>
              <w:t>Mar</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b/>
                <w:bCs/>
                <w:color w:val="000000"/>
                <w:sz w:val="24"/>
                <w:szCs w:val="24"/>
                <w:lang w:val="en-GB"/>
              </w:rPr>
            </w:pPr>
            <w:r w:rsidRPr="00F90CC1">
              <w:rPr>
                <w:rFonts w:ascii="Times New Roman" w:eastAsia="Times New Roman" w:hAnsi="Times New Roman" w:cs="Times New Roman"/>
                <w:b/>
                <w:bCs/>
                <w:color w:val="000000"/>
                <w:sz w:val="24"/>
                <w:szCs w:val="24"/>
                <w:lang w:val="en-GB"/>
              </w:rPr>
              <w:t>Apr</w:t>
            </w:r>
          </w:p>
        </w:tc>
      </w:tr>
      <w:tr w:rsidR="00F90CC1" w:rsidRPr="00F90CC1" w:rsidTr="00F90CC1">
        <w:trPr>
          <w:trHeight w:val="288"/>
          <w:jc w:val="center"/>
        </w:trPr>
        <w:tc>
          <w:tcPr>
            <w:tcW w:w="2127" w:type="dxa"/>
            <w:vMerge w:val="restart"/>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Baja California Sur</w:t>
            </w:r>
          </w:p>
        </w:tc>
        <w:tc>
          <w:tcPr>
            <w:tcW w:w="992"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2018</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14</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12</w:t>
            </w:r>
          </w:p>
        </w:tc>
        <w:tc>
          <w:tcPr>
            <w:tcW w:w="658"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16</w:t>
            </w:r>
          </w:p>
        </w:tc>
        <w:tc>
          <w:tcPr>
            <w:tcW w:w="75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28</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2019</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25</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14</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7</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5</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2020</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19</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14</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12</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5</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8</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6</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5</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9</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8</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2022</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8</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8</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13</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14</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2023</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26</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7</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15</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22</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18</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2024</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11</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29</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5</w:t>
            </w:r>
          </w:p>
        </w:tc>
        <w:tc>
          <w:tcPr>
            <w:tcW w:w="658"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12</w:t>
            </w:r>
          </w:p>
        </w:tc>
        <w:tc>
          <w:tcPr>
            <w:tcW w:w="75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29</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7</w:t>
            </w:r>
          </w:p>
        </w:tc>
      </w:tr>
      <w:tr w:rsidR="00F90CC1" w:rsidRPr="00F90CC1" w:rsidTr="00F90CC1">
        <w:trPr>
          <w:trHeight w:val="288"/>
          <w:jc w:val="center"/>
        </w:trPr>
        <w:tc>
          <w:tcPr>
            <w:tcW w:w="2127" w:type="dxa"/>
            <w:vMerge w:val="restart"/>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Nayarit - Jalisco</w:t>
            </w:r>
          </w:p>
        </w:tc>
        <w:tc>
          <w:tcPr>
            <w:tcW w:w="992"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2018</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23</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28</w:t>
            </w:r>
          </w:p>
        </w:tc>
        <w:tc>
          <w:tcPr>
            <w:tcW w:w="658"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19</w:t>
            </w:r>
          </w:p>
        </w:tc>
        <w:tc>
          <w:tcPr>
            <w:tcW w:w="75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10</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2019</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45</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28</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27</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10</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2020</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30</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56</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21</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12</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8</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57</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34</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9</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2022</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19</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51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30</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32</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9</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2023</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33</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46</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46</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25</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18</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2024</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23</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38</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31</w:t>
            </w:r>
          </w:p>
        </w:tc>
        <w:tc>
          <w:tcPr>
            <w:tcW w:w="658"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22</w:t>
            </w:r>
          </w:p>
        </w:tc>
        <w:tc>
          <w:tcPr>
            <w:tcW w:w="75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13</w:t>
            </w:r>
          </w:p>
        </w:tc>
        <w:tc>
          <w:tcPr>
            <w:tcW w:w="709" w:type="dxa"/>
            <w:tcBorders>
              <w:bottom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val="restart"/>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Southern México – Central America</w:t>
            </w:r>
          </w:p>
        </w:tc>
        <w:tc>
          <w:tcPr>
            <w:tcW w:w="992"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2018</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31</w:t>
            </w:r>
          </w:p>
        </w:tc>
        <w:tc>
          <w:tcPr>
            <w:tcW w:w="658"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27</w:t>
            </w:r>
          </w:p>
        </w:tc>
        <w:tc>
          <w:tcPr>
            <w:tcW w:w="75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19</w:t>
            </w:r>
          </w:p>
        </w:tc>
        <w:tc>
          <w:tcPr>
            <w:tcW w:w="709" w:type="dxa"/>
            <w:tcBorders>
              <w:top w:val="single" w:sz="4" w:space="0" w:color="000000"/>
            </w:tcBorders>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17</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2019</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32</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16</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6</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2020</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21</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36</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10</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4</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53</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117</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42</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10</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2022</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33</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88</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73</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38</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8</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2023</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30</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76</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65</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42</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1</w:t>
            </w:r>
          </w:p>
        </w:tc>
      </w:tr>
      <w:tr w:rsidR="00F90CC1" w:rsidRPr="00F90CC1" w:rsidTr="00F90CC1">
        <w:trPr>
          <w:trHeight w:val="288"/>
          <w:jc w:val="center"/>
        </w:trPr>
        <w:tc>
          <w:tcPr>
            <w:tcW w:w="2127" w:type="dxa"/>
            <w:vMerge/>
            <w:tcBorders>
              <w:top w:val="single" w:sz="4" w:space="0" w:color="000000"/>
            </w:tcBorders>
            <w:vAlign w:val="center"/>
          </w:tcPr>
          <w:p w:rsidR="00F90CC1" w:rsidRPr="00F90CC1" w:rsidRDefault="00F90CC1" w:rsidP="00F90CC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lang w:val="en-GB"/>
              </w:rPr>
            </w:pPr>
          </w:p>
        </w:tc>
        <w:tc>
          <w:tcPr>
            <w:tcW w:w="992"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2024</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c>
          <w:tcPr>
            <w:tcW w:w="708" w:type="dxa"/>
            <w:vAlign w:val="center"/>
          </w:tcPr>
          <w:p w:rsidR="00F90CC1" w:rsidRPr="00F90CC1" w:rsidRDefault="00F90CC1" w:rsidP="00F90CC1">
            <w:pPr>
              <w:spacing w:after="0" w:line="24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36</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71</w:t>
            </w:r>
          </w:p>
        </w:tc>
        <w:tc>
          <w:tcPr>
            <w:tcW w:w="658"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45</w:t>
            </w:r>
          </w:p>
        </w:tc>
        <w:tc>
          <w:tcPr>
            <w:tcW w:w="75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29</w:t>
            </w:r>
          </w:p>
        </w:tc>
        <w:tc>
          <w:tcPr>
            <w:tcW w:w="709" w:type="dxa"/>
            <w:vAlign w:val="center"/>
          </w:tcPr>
          <w:p w:rsidR="00F90CC1" w:rsidRPr="00F90CC1" w:rsidRDefault="00F90CC1" w:rsidP="00F90CC1">
            <w:pPr>
              <w:spacing w:after="0" w:line="240" w:lineRule="auto"/>
              <w:jc w:val="center"/>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w:t>
            </w:r>
          </w:p>
        </w:tc>
      </w:tr>
    </w:tbl>
    <w:p w:rsidR="00F90CC1" w:rsidRPr="00F90CC1" w:rsidRDefault="00F90CC1" w:rsidP="00F90CC1">
      <w:pPr>
        <w:suppressLineNumbers/>
        <w:spacing w:line="480" w:lineRule="auto"/>
        <w:jc w:val="both"/>
        <w:rPr>
          <w:rFonts w:ascii="Times New Roman" w:eastAsia="Times New Roman" w:hAnsi="Times New Roman" w:cs="Times New Roman"/>
          <w:b/>
          <w:bCs/>
          <w:sz w:val="24"/>
          <w:szCs w:val="24"/>
          <w:lang w:val="en-GB"/>
        </w:rPr>
      </w:pPr>
    </w:p>
    <w:p w:rsidR="00F90CC1" w:rsidRPr="00F90CC1" w:rsidRDefault="00F90CC1" w:rsidP="00F90CC1">
      <w:pPr>
        <w:suppressLineNumbers/>
        <w:spacing w:line="480" w:lineRule="auto"/>
        <w:ind w:left="720" w:hanging="720"/>
        <w:jc w:val="both"/>
        <w:rPr>
          <w:rFonts w:ascii="Times New Roman" w:eastAsia="Times New Roman" w:hAnsi="Times New Roman" w:cs="Times New Roman"/>
          <w:b/>
          <w:bCs/>
          <w:sz w:val="24"/>
          <w:szCs w:val="24"/>
          <w:lang w:val="en-GB"/>
        </w:rPr>
      </w:pPr>
    </w:p>
    <w:p w:rsidR="00F90CC1" w:rsidRPr="00F90CC1" w:rsidRDefault="00F90CC1" w:rsidP="00F90CC1">
      <w:pPr>
        <w:suppressLineNumbers/>
        <w:spacing w:line="480" w:lineRule="auto"/>
        <w:ind w:left="720" w:hanging="720"/>
        <w:jc w:val="both"/>
        <w:rPr>
          <w:rFonts w:ascii="Times New Roman" w:eastAsia="Times New Roman" w:hAnsi="Times New Roman" w:cs="Times New Roman"/>
          <w:b/>
          <w:bCs/>
          <w:sz w:val="24"/>
          <w:szCs w:val="24"/>
          <w:lang w:val="en-GB"/>
        </w:rPr>
      </w:pPr>
    </w:p>
    <w:p w:rsidR="00F90CC1" w:rsidRPr="00F90CC1" w:rsidRDefault="00F90CC1" w:rsidP="00F90CC1">
      <w:pPr>
        <w:suppressLineNumbers/>
        <w:spacing w:line="480" w:lineRule="auto"/>
        <w:ind w:left="720" w:hanging="720"/>
        <w:jc w:val="both"/>
        <w:rPr>
          <w:rFonts w:ascii="Times New Roman" w:eastAsia="Times New Roman" w:hAnsi="Times New Roman" w:cs="Times New Roman"/>
          <w:b/>
          <w:bCs/>
          <w:sz w:val="24"/>
          <w:szCs w:val="24"/>
          <w:lang w:val="en-GB"/>
        </w:rPr>
      </w:pPr>
    </w:p>
    <w:p w:rsidR="00F90CC1" w:rsidRPr="00F90CC1" w:rsidRDefault="00F90CC1" w:rsidP="00F90CC1">
      <w:pPr>
        <w:suppressLineNumbers/>
        <w:spacing w:line="480" w:lineRule="auto"/>
        <w:ind w:left="720" w:hanging="720"/>
        <w:jc w:val="both"/>
        <w:rPr>
          <w:rFonts w:ascii="Times New Roman" w:eastAsia="Times New Roman" w:hAnsi="Times New Roman" w:cs="Times New Roman"/>
          <w:b/>
          <w:bCs/>
          <w:sz w:val="24"/>
          <w:szCs w:val="24"/>
          <w:lang w:val="en-GB"/>
        </w:rPr>
      </w:pPr>
    </w:p>
    <w:p w:rsidR="00F90CC1" w:rsidRPr="00F90CC1" w:rsidRDefault="00F90CC1" w:rsidP="00F90CC1">
      <w:pPr>
        <w:suppressLineNumbers/>
        <w:spacing w:line="480" w:lineRule="auto"/>
        <w:ind w:left="720" w:hanging="720"/>
        <w:jc w:val="both"/>
        <w:rPr>
          <w:rFonts w:ascii="Times New Roman" w:eastAsia="Times New Roman" w:hAnsi="Times New Roman" w:cs="Times New Roman"/>
          <w:b/>
          <w:bCs/>
          <w:sz w:val="24"/>
          <w:szCs w:val="24"/>
          <w:lang w:val="en-GB"/>
        </w:rPr>
      </w:pPr>
    </w:p>
    <w:p w:rsidR="00F90CC1" w:rsidRPr="00F90CC1" w:rsidRDefault="00F90CC1" w:rsidP="00F90CC1">
      <w:pPr>
        <w:suppressLineNumbers/>
        <w:spacing w:line="480" w:lineRule="auto"/>
        <w:ind w:left="720" w:hanging="720"/>
        <w:jc w:val="both"/>
        <w:rPr>
          <w:rFonts w:ascii="Times New Roman" w:eastAsia="Times New Roman" w:hAnsi="Times New Roman" w:cs="Times New Roman"/>
          <w:b/>
          <w:bCs/>
          <w:sz w:val="24"/>
          <w:szCs w:val="24"/>
          <w:lang w:val="en-GB"/>
        </w:rPr>
      </w:pPr>
    </w:p>
    <w:p w:rsidR="00F90CC1" w:rsidRPr="00F90CC1" w:rsidRDefault="00F90CC1" w:rsidP="00F90CC1">
      <w:pPr>
        <w:spacing w:line="480" w:lineRule="auto"/>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lastRenderedPageBreak/>
        <w:t>Table S2 Parameter estimates from the quasibinomial GLM analysing monthly proportions of resighted individuals across breeding regions</w:t>
      </w:r>
    </w:p>
    <w:p w:rsidR="00F90CC1" w:rsidRPr="00F90CC1" w:rsidRDefault="00F90CC1" w:rsidP="00F90CC1">
      <w:pPr>
        <w:spacing w:line="480" w:lineRule="auto"/>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Summary of parameter estimates from the generalized linear model with quasibinomial distribution evaluating the monthly proportion of resighted individuals of the Central American humpback whale population unit across breeding regions. Estimates and standard errors are given on the logit scale</w:t>
      </w:r>
    </w:p>
    <w:tbl>
      <w:tblPr>
        <w:tblW w:w="7298" w:type="dxa"/>
        <w:jc w:val="center"/>
        <w:tblLayout w:type="fixed"/>
        <w:tblLook w:val="0400" w:firstRow="0" w:lastRow="0" w:firstColumn="0" w:lastColumn="0" w:noHBand="0" w:noVBand="1"/>
      </w:tblPr>
      <w:tblGrid>
        <w:gridCol w:w="3261"/>
        <w:gridCol w:w="1275"/>
        <w:gridCol w:w="821"/>
        <w:gridCol w:w="969"/>
        <w:gridCol w:w="972"/>
      </w:tblGrid>
      <w:tr w:rsidR="00F90CC1" w:rsidRPr="00F90CC1" w:rsidTr="00F90CC1">
        <w:trPr>
          <w:trHeight w:val="471"/>
          <w:jc w:val="center"/>
        </w:trPr>
        <w:tc>
          <w:tcPr>
            <w:tcW w:w="3261"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Term</w:t>
            </w:r>
          </w:p>
        </w:tc>
        <w:tc>
          <w:tcPr>
            <w:tcW w:w="1275"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Estimate</w:t>
            </w:r>
          </w:p>
        </w:tc>
        <w:tc>
          <w:tcPr>
            <w:tcW w:w="821"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SE</w:t>
            </w:r>
          </w:p>
        </w:tc>
        <w:tc>
          <w:tcPr>
            <w:tcW w:w="969"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t value</w:t>
            </w:r>
          </w:p>
        </w:tc>
        <w:tc>
          <w:tcPr>
            <w:tcW w:w="972"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p value</w:t>
            </w:r>
          </w:p>
        </w:tc>
      </w:tr>
      <w:tr w:rsidR="00F90CC1" w:rsidRPr="00F90CC1" w:rsidTr="000F64E0">
        <w:trPr>
          <w:jc w:val="center"/>
        </w:trPr>
        <w:tc>
          <w:tcPr>
            <w:tcW w:w="3261" w:type="dxa"/>
            <w:tcBorders>
              <w:top w:val="single" w:sz="4" w:space="0" w:color="000000"/>
            </w:tcBorders>
            <w:vAlign w:val="bottom"/>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(Intercept)</w:t>
            </w:r>
          </w:p>
        </w:tc>
        <w:tc>
          <w:tcPr>
            <w:tcW w:w="1275" w:type="dxa"/>
            <w:tcBorders>
              <w:top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-3.664</w:t>
            </w:r>
          </w:p>
        </w:tc>
        <w:tc>
          <w:tcPr>
            <w:tcW w:w="821" w:type="dxa"/>
            <w:tcBorders>
              <w:top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0.886</w:t>
            </w:r>
          </w:p>
        </w:tc>
        <w:tc>
          <w:tcPr>
            <w:tcW w:w="969" w:type="dxa"/>
            <w:tcBorders>
              <w:top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-4.133</w:t>
            </w:r>
          </w:p>
        </w:tc>
        <w:tc>
          <w:tcPr>
            <w:tcW w:w="972" w:type="dxa"/>
            <w:tcBorders>
              <w:top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&lt;0.001</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SMex-CAm</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-0.792</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0.47</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-1.687</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0.095</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NY-JA</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-0.228</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1.655</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-0.138</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0.891</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November</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1.309</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0.931</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1.406</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0.163</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December</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2.542</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0.903</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2.815</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&lt;0.01</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January</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1.836</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0.912</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2.014</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0.047</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February</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1.984</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0.909</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2.182</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0.032</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March</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2.662</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0.902</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2.951</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&lt;0.01</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April</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1.748</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0.918</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1.904</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0.060</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SMex-CAm × November</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-2.842</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2.035</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-1.396</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0.166</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NY-JA × November</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0.789</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1.703</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0.463</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0.644</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SMex-CAm× December</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-0.42</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0.574</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-0.732</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0.466</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NY-JA × December</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0.699</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1.671</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0.418</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0.677</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lastRenderedPageBreak/>
              <w:t>SMex-CAm × January</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2.063</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0.539</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3.831</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&lt;0.001</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NY-JA × January</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1.208</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1.677</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0.721</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0.473</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SMex-CAm × February</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1.865</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0.535</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3.49</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&lt;0.001</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NY-JA × February</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0.43</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1.679</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0.256</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0.798</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SMex-CAm× March</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0.178</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0.537</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0.331</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0.741</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NY-JA × March</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-1.137</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1.685</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-0.675</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0.501</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SMex-CAm× April</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NA</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NA</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NA</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NA</w:t>
            </w:r>
          </w:p>
        </w:tc>
      </w:tr>
      <w:tr w:rsidR="00F90CC1" w:rsidRPr="00F90CC1" w:rsidTr="000F64E0">
        <w:trPr>
          <w:jc w:val="center"/>
        </w:trPr>
        <w:tc>
          <w:tcPr>
            <w:tcW w:w="326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NY-JA × April</w:t>
            </w:r>
          </w:p>
        </w:tc>
        <w:tc>
          <w:tcPr>
            <w:tcW w:w="1275"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NA</w:t>
            </w:r>
          </w:p>
        </w:tc>
        <w:tc>
          <w:tcPr>
            <w:tcW w:w="821"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NA</w:t>
            </w:r>
          </w:p>
        </w:tc>
        <w:tc>
          <w:tcPr>
            <w:tcW w:w="969"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NA</w:t>
            </w:r>
          </w:p>
        </w:tc>
        <w:tc>
          <w:tcPr>
            <w:tcW w:w="972"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NA</w:t>
            </w:r>
          </w:p>
        </w:tc>
      </w:tr>
    </w:tbl>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suppressLineNumbers/>
        <w:spacing w:line="480" w:lineRule="auto"/>
        <w:jc w:val="both"/>
        <w:rPr>
          <w:rFonts w:ascii="Times New Roman" w:eastAsia="Times New Roman" w:hAnsi="Times New Roman" w:cs="Times New Roman"/>
          <w:sz w:val="24"/>
          <w:szCs w:val="24"/>
          <w:lang w:val="en-GB"/>
        </w:rPr>
      </w:pPr>
    </w:p>
    <w:p w:rsidR="00F90CC1" w:rsidRPr="00F90CC1" w:rsidRDefault="00F90CC1" w:rsidP="00F90CC1">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b/>
          <w:bCs/>
          <w:color w:val="000000"/>
          <w:sz w:val="24"/>
          <w:szCs w:val="24"/>
          <w:lang w:val="en-GB"/>
        </w:rPr>
        <w:lastRenderedPageBreak/>
        <w:t>Table S3 Parameter estimates from the quasibinomial GLM analysing proportion of recaptures among movement directions</w:t>
      </w:r>
    </w:p>
    <w:p w:rsidR="00F90CC1" w:rsidRDefault="00F90CC1" w:rsidP="00F90CC1">
      <w:pPr>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lang w:val="en-GB"/>
        </w:rPr>
      </w:pPr>
      <w:r w:rsidRPr="00F90CC1">
        <w:rPr>
          <w:rFonts w:ascii="Times New Roman" w:eastAsia="Times New Roman" w:hAnsi="Times New Roman" w:cs="Times New Roman"/>
          <w:color w:val="000000"/>
          <w:sz w:val="24"/>
          <w:szCs w:val="24"/>
          <w:lang w:val="en-GB"/>
        </w:rPr>
        <w:t>Summary of parameter estimates from the generalized linear model with quasibinomial distribution evaluating the proportion of recaptures among movement directions of the Central American humpback whale population unit. Estimates and standard errors are given on the logit scale. Movement directions are expressed as origin region to destination region (e.g., BCS to NY-JA)</w:t>
      </w:r>
    </w:p>
    <w:tbl>
      <w:tblPr>
        <w:tblW w:w="6941" w:type="dxa"/>
        <w:jc w:val="center"/>
        <w:tblLayout w:type="fixed"/>
        <w:tblLook w:val="0400" w:firstRow="0" w:lastRow="0" w:firstColumn="0" w:lastColumn="0" w:noHBand="0" w:noVBand="1"/>
      </w:tblPr>
      <w:tblGrid>
        <w:gridCol w:w="2883"/>
        <w:gridCol w:w="1228"/>
        <w:gridCol w:w="871"/>
        <w:gridCol w:w="977"/>
        <w:gridCol w:w="982"/>
      </w:tblGrid>
      <w:tr w:rsidR="00F90CC1" w:rsidRPr="00F90CC1" w:rsidTr="000F64E0">
        <w:trPr>
          <w:jc w:val="center"/>
        </w:trPr>
        <w:tc>
          <w:tcPr>
            <w:tcW w:w="2883"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Predictor</w:t>
            </w:r>
          </w:p>
        </w:tc>
        <w:tc>
          <w:tcPr>
            <w:tcW w:w="1228"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Estimate</w:t>
            </w:r>
          </w:p>
        </w:tc>
        <w:tc>
          <w:tcPr>
            <w:tcW w:w="871"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SE</w:t>
            </w:r>
          </w:p>
        </w:tc>
        <w:tc>
          <w:tcPr>
            <w:tcW w:w="977"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t value</w:t>
            </w:r>
          </w:p>
        </w:tc>
        <w:tc>
          <w:tcPr>
            <w:tcW w:w="982" w:type="dxa"/>
            <w:tcBorders>
              <w:bottom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b/>
                <w:bCs/>
                <w:sz w:val="24"/>
                <w:szCs w:val="24"/>
                <w:lang w:val="en-GB"/>
              </w:rPr>
            </w:pPr>
            <w:r w:rsidRPr="00F90CC1">
              <w:rPr>
                <w:rFonts w:ascii="Times New Roman" w:eastAsia="Times New Roman" w:hAnsi="Times New Roman" w:cs="Times New Roman"/>
                <w:b/>
                <w:bCs/>
                <w:sz w:val="24"/>
                <w:szCs w:val="24"/>
                <w:lang w:val="en-GB"/>
              </w:rPr>
              <w:t>p value</w:t>
            </w:r>
          </w:p>
        </w:tc>
      </w:tr>
      <w:tr w:rsidR="00F90CC1" w:rsidRPr="00F90CC1" w:rsidTr="000F64E0">
        <w:trPr>
          <w:jc w:val="center"/>
        </w:trPr>
        <w:tc>
          <w:tcPr>
            <w:tcW w:w="2883" w:type="dxa"/>
            <w:tcBorders>
              <w:top w:val="single" w:sz="4" w:space="0" w:color="000000"/>
            </w:tcBorders>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(Intercept BCS to NY-JA)</w:t>
            </w:r>
          </w:p>
        </w:tc>
        <w:tc>
          <w:tcPr>
            <w:tcW w:w="1228" w:type="dxa"/>
            <w:tcBorders>
              <w:top w:val="single" w:sz="4" w:space="0" w:color="000000"/>
            </w:tcBorders>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-1.851</w:t>
            </w:r>
          </w:p>
        </w:tc>
        <w:tc>
          <w:tcPr>
            <w:tcW w:w="871" w:type="dxa"/>
            <w:tcBorders>
              <w:top w:val="single" w:sz="4" w:space="0" w:color="000000"/>
            </w:tcBorders>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0.184</w:t>
            </w:r>
          </w:p>
        </w:tc>
        <w:tc>
          <w:tcPr>
            <w:tcW w:w="977" w:type="dxa"/>
            <w:tcBorders>
              <w:top w:val="single" w:sz="4" w:space="0" w:color="000000"/>
            </w:tcBorders>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-10.058</w:t>
            </w:r>
          </w:p>
        </w:tc>
        <w:tc>
          <w:tcPr>
            <w:tcW w:w="982" w:type="dxa"/>
            <w:tcBorders>
              <w:top w:val="single" w:sz="4" w:space="0" w:color="000000"/>
            </w:tcBorders>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&lt;0.001</w:t>
            </w:r>
          </w:p>
        </w:tc>
      </w:tr>
      <w:tr w:rsidR="00F90CC1" w:rsidRPr="00F90CC1" w:rsidTr="000F64E0">
        <w:trPr>
          <w:jc w:val="center"/>
        </w:trPr>
        <w:tc>
          <w:tcPr>
            <w:tcW w:w="2883"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NY-JA to BCS</w:t>
            </w:r>
          </w:p>
        </w:tc>
        <w:tc>
          <w:tcPr>
            <w:tcW w:w="1228"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0.048</w:t>
            </w:r>
          </w:p>
        </w:tc>
        <w:tc>
          <w:tcPr>
            <w:tcW w:w="871"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0.258</w:t>
            </w:r>
          </w:p>
        </w:tc>
        <w:tc>
          <w:tcPr>
            <w:tcW w:w="977"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0.186</w:t>
            </w:r>
          </w:p>
        </w:tc>
        <w:tc>
          <w:tcPr>
            <w:tcW w:w="982"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0.854</w:t>
            </w:r>
          </w:p>
        </w:tc>
      </w:tr>
      <w:tr w:rsidR="00F90CC1" w:rsidRPr="00F90CC1" w:rsidTr="000F64E0">
        <w:trPr>
          <w:jc w:val="center"/>
        </w:trPr>
        <w:tc>
          <w:tcPr>
            <w:tcW w:w="2883"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NY/JA to  SMex-CAm</w:t>
            </w:r>
          </w:p>
        </w:tc>
        <w:tc>
          <w:tcPr>
            <w:tcW w:w="1228"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1.464</w:t>
            </w:r>
          </w:p>
        </w:tc>
        <w:tc>
          <w:tcPr>
            <w:tcW w:w="871"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0.224</w:t>
            </w:r>
          </w:p>
        </w:tc>
        <w:tc>
          <w:tcPr>
            <w:tcW w:w="977"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6.521</w:t>
            </w:r>
          </w:p>
        </w:tc>
        <w:tc>
          <w:tcPr>
            <w:tcW w:w="982"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&lt;0.001</w:t>
            </w:r>
          </w:p>
        </w:tc>
      </w:tr>
      <w:tr w:rsidR="00F90CC1" w:rsidRPr="00F90CC1" w:rsidTr="000F64E0">
        <w:trPr>
          <w:jc w:val="center"/>
        </w:trPr>
        <w:tc>
          <w:tcPr>
            <w:tcW w:w="2883"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SMex-CAm to NY/JA</w:t>
            </w:r>
          </w:p>
        </w:tc>
        <w:tc>
          <w:tcPr>
            <w:tcW w:w="1228"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-0.274</w:t>
            </w:r>
          </w:p>
        </w:tc>
        <w:tc>
          <w:tcPr>
            <w:tcW w:w="871"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0.287</w:t>
            </w:r>
          </w:p>
        </w:tc>
        <w:tc>
          <w:tcPr>
            <w:tcW w:w="977"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-0.953</w:t>
            </w:r>
          </w:p>
        </w:tc>
        <w:tc>
          <w:tcPr>
            <w:tcW w:w="982"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0.347</w:t>
            </w:r>
          </w:p>
        </w:tc>
      </w:tr>
      <w:tr w:rsidR="00F90CC1" w:rsidRPr="00F90CC1" w:rsidTr="000F64E0">
        <w:trPr>
          <w:jc w:val="center"/>
        </w:trPr>
        <w:tc>
          <w:tcPr>
            <w:tcW w:w="2883"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BCS to SMex-CAm</w:t>
            </w:r>
          </w:p>
        </w:tc>
        <w:tc>
          <w:tcPr>
            <w:tcW w:w="1228"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-0.180</w:t>
            </w:r>
          </w:p>
        </w:tc>
        <w:tc>
          <w:tcPr>
            <w:tcW w:w="871"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0.297</w:t>
            </w:r>
          </w:p>
        </w:tc>
        <w:tc>
          <w:tcPr>
            <w:tcW w:w="977"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-0.605</w:t>
            </w:r>
          </w:p>
        </w:tc>
        <w:tc>
          <w:tcPr>
            <w:tcW w:w="982"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0.550</w:t>
            </w:r>
          </w:p>
        </w:tc>
      </w:tr>
      <w:tr w:rsidR="00F90CC1" w:rsidRPr="00F90CC1" w:rsidTr="000F64E0">
        <w:trPr>
          <w:jc w:val="center"/>
        </w:trPr>
        <w:tc>
          <w:tcPr>
            <w:tcW w:w="2883" w:type="dxa"/>
            <w:vAlign w:val="center"/>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eastAsia="Times New Roman" w:hAnsi="Times New Roman" w:cs="Times New Roman"/>
                <w:sz w:val="24"/>
                <w:szCs w:val="24"/>
                <w:lang w:val="en-GB"/>
              </w:rPr>
              <w:t>SMex-CAm to</w:t>
            </w:r>
            <w:r w:rsidRPr="00F90CC1">
              <w:rPr>
                <w:rFonts w:ascii="Times New Roman" w:eastAsia="Times New Roman" w:hAnsi="Times New Roman" w:cs="Times New Roman"/>
                <w:color w:val="FF0000"/>
                <w:sz w:val="24"/>
                <w:szCs w:val="24"/>
                <w:lang w:val="en-GB"/>
              </w:rPr>
              <w:t xml:space="preserve"> </w:t>
            </w:r>
            <w:r w:rsidRPr="00F90CC1">
              <w:rPr>
                <w:rFonts w:ascii="Times New Roman" w:eastAsia="Times New Roman" w:hAnsi="Times New Roman" w:cs="Times New Roman"/>
                <w:sz w:val="24"/>
                <w:szCs w:val="24"/>
                <w:lang w:val="en-GB"/>
              </w:rPr>
              <w:t>BCS</w:t>
            </w:r>
          </w:p>
        </w:tc>
        <w:tc>
          <w:tcPr>
            <w:tcW w:w="1228"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0.048</w:t>
            </w:r>
          </w:p>
        </w:tc>
        <w:tc>
          <w:tcPr>
            <w:tcW w:w="871"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0.258</w:t>
            </w:r>
          </w:p>
        </w:tc>
        <w:tc>
          <w:tcPr>
            <w:tcW w:w="977"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0.186</w:t>
            </w:r>
          </w:p>
        </w:tc>
        <w:tc>
          <w:tcPr>
            <w:tcW w:w="982" w:type="dxa"/>
          </w:tcPr>
          <w:p w:rsidR="00F90CC1" w:rsidRPr="00F90CC1" w:rsidRDefault="00F90CC1" w:rsidP="000F64E0">
            <w:pPr>
              <w:spacing w:line="480" w:lineRule="auto"/>
              <w:jc w:val="center"/>
              <w:rPr>
                <w:rFonts w:ascii="Times New Roman" w:eastAsia="Times New Roman" w:hAnsi="Times New Roman" w:cs="Times New Roman"/>
                <w:sz w:val="24"/>
                <w:szCs w:val="24"/>
                <w:lang w:val="en-GB"/>
              </w:rPr>
            </w:pPr>
            <w:r w:rsidRPr="00F90CC1">
              <w:rPr>
                <w:rFonts w:ascii="Times New Roman" w:hAnsi="Times New Roman" w:cs="Times New Roman"/>
                <w:sz w:val="24"/>
                <w:szCs w:val="24"/>
                <w:lang w:val="en-GB"/>
              </w:rPr>
              <w:t>0.854</w:t>
            </w:r>
          </w:p>
        </w:tc>
      </w:tr>
    </w:tbl>
    <w:p w:rsidR="00F90CC1" w:rsidRPr="00F90CC1" w:rsidRDefault="00F90CC1" w:rsidP="00F90CC1">
      <w:pPr>
        <w:suppressLineNumbers/>
        <w:pBdr>
          <w:top w:val="nil"/>
          <w:left w:val="nil"/>
          <w:bottom w:val="nil"/>
          <w:right w:val="nil"/>
          <w:between w:val="nil"/>
        </w:pBdr>
        <w:spacing w:before="280" w:after="280" w:line="480" w:lineRule="auto"/>
        <w:rPr>
          <w:rFonts w:ascii="Times New Roman" w:eastAsia="Times New Roman" w:hAnsi="Times New Roman" w:cs="Times New Roman"/>
          <w:color w:val="000000"/>
          <w:sz w:val="24"/>
          <w:szCs w:val="24"/>
          <w:lang w:val="en-GB"/>
        </w:rPr>
      </w:pPr>
    </w:p>
    <w:sectPr w:rsidR="00F90CC1" w:rsidRPr="00F90CC1">
      <w:footerReference w:type="default" r:id="rId4"/>
      <w:pgSz w:w="11906" w:h="16838"/>
      <w:pgMar w:top="1417" w:right="1700" w:bottom="1417" w:left="1700" w:header="708" w:footer="708"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3AC7" w:rsidRDefault="00F90CC1">
    <w:pPr>
      <w:pBdr>
        <w:top w:val="nil"/>
        <w:left w:val="nil"/>
        <w:bottom w:val="nil"/>
        <w:right w:val="nil"/>
        <w:between w:val="nil"/>
      </w:pBdr>
      <w:tabs>
        <w:tab w:val="center" w:pos="4252"/>
        <w:tab w:val="right" w:pos="8504"/>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rsidR="00FD3AC7" w:rsidRDefault="00F90CC1">
    <w:pPr>
      <w:pBdr>
        <w:top w:val="nil"/>
        <w:left w:val="nil"/>
        <w:bottom w:val="nil"/>
        <w:right w:val="nil"/>
        <w:between w:val="nil"/>
      </w:pBdr>
      <w:tabs>
        <w:tab w:val="center" w:pos="4252"/>
        <w:tab w:val="right" w:pos="8504"/>
      </w:tabs>
      <w:spacing w:after="0"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C1"/>
    <w:rsid w:val="008F0428"/>
    <w:rsid w:val="00A66F5C"/>
    <w:rsid w:val="00F90C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7E5A6"/>
  <w15:chartTrackingRefBased/>
  <w15:docId w15:val="{D7C285DE-B67A-436B-B4F6-F0F655FC5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90CC1"/>
    <w:rPr>
      <w:rFonts w:ascii="Calibri" w:eastAsia="Calibri" w:hAnsi="Calibri" w:cs="Calibri"/>
      <w:lang w:val="en"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lnea">
    <w:name w:val="line number"/>
    <w:basedOn w:val="Fuentedeprrafopredeter"/>
    <w:uiPriority w:val="99"/>
    <w:semiHidden/>
    <w:unhideWhenUsed/>
    <w:rsid w:val="00F90C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454</Words>
  <Characters>2499</Characters>
  <Application>Microsoft Office Word</Application>
  <DocSecurity>0</DocSecurity>
  <Lines>20</Lines>
  <Paragraphs>5</Paragraphs>
  <ScaleCrop>false</ScaleCrop>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PAULA</cp:lastModifiedBy>
  <cp:revision>1</cp:revision>
  <dcterms:created xsi:type="dcterms:W3CDTF">2026-04-21T08:40:00Z</dcterms:created>
  <dcterms:modified xsi:type="dcterms:W3CDTF">2026-04-21T08:48:00Z</dcterms:modified>
</cp:coreProperties>
</file>