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D1474" w14:textId="77777777" w:rsidR="003C326F" w:rsidRPr="004B6B48" w:rsidRDefault="003C326F" w:rsidP="003C326F">
      <w:pPr>
        <w:pStyle w:val="Caption"/>
        <w:numPr>
          <w:ilvl w:val="0"/>
          <w:numId w:val="0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B6B48">
        <w:rPr>
          <w:rFonts w:ascii="Times New Roman" w:eastAsia="MyriadPro-Regular" w:hAnsi="Times New Roman"/>
          <w:sz w:val="24"/>
          <w:szCs w:val="24"/>
        </w:rPr>
        <w:t xml:space="preserve">Supplemental Table 1 </w:t>
      </w:r>
      <w:r w:rsidRPr="004B6B48">
        <w:rPr>
          <w:rFonts w:ascii="Times New Roman" w:hAnsi="Times New Roman"/>
          <w:sz w:val="24"/>
          <w:szCs w:val="24"/>
        </w:rPr>
        <w:t xml:space="preserve">Scoring clinical diseases </w:t>
      </w:r>
    </w:p>
    <w:tbl>
      <w:tblPr>
        <w:tblStyle w:val="GridTable1Light"/>
        <w:tblW w:w="9276" w:type="dxa"/>
        <w:tblLook w:val="04A0" w:firstRow="1" w:lastRow="0" w:firstColumn="1" w:lastColumn="0" w:noHBand="0" w:noVBand="1"/>
      </w:tblPr>
      <w:tblGrid>
        <w:gridCol w:w="1183"/>
        <w:gridCol w:w="2039"/>
        <w:gridCol w:w="3343"/>
        <w:gridCol w:w="2711"/>
      </w:tblGrid>
      <w:tr w:rsidR="003C326F" w14:paraId="42498536" w14:textId="77777777" w:rsidTr="00FD7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4086557F" w14:textId="77777777" w:rsidR="003C326F" w:rsidRPr="00D63DA0" w:rsidRDefault="003C326F" w:rsidP="00FD7B86">
            <w:pPr>
              <w:pStyle w:val="paragraph"/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Score</w:t>
            </w:r>
          </w:p>
        </w:tc>
        <w:tc>
          <w:tcPr>
            <w:tcW w:w="2039" w:type="dxa"/>
          </w:tcPr>
          <w:p w14:paraId="7C8ABB2E" w14:textId="77777777" w:rsidR="003C326F" w:rsidRPr="00D63DA0" w:rsidRDefault="003C326F" w:rsidP="00FD7B86">
            <w:pPr>
              <w:pStyle w:val="paragraph"/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General Illness</w:t>
            </w:r>
          </w:p>
        </w:tc>
        <w:tc>
          <w:tcPr>
            <w:tcW w:w="3343" w:type="dxa"/>
          </w:tcPr>
          <w:p w14:paraId="713BCFF0" w14:textId="77777777" w:rsidR="003C326F" w:rsidRPr="00D63DA0" w:rsidRDefault="003C326F" w:rsidP="00FD7B86">
            <w:pPr>
              <w:pStyle w:val="paragraph"/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Upper Respiratory Tract Diseases</w:t>
            </w:r>
          </w:p>
        </w:tc>
        <w:tc>
          <w:tcPr>
            <w:tcW w:w="2711" w:type="dxa"/>
          </w:tcPr>
          <w:p w14:paraId="1EA530B0" w14:textId="77777777" w:rsidR="003C326F" w:rsidRPr="00D63DA0" w:rsidRDefault="003C326F" w:rsidP="00FD7B86">
            <w:pPr>
              <w:pStyle w:val="paragraph"/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Lower Respiratory Tract Diseases</w:t>
            </w:r>
          </w:p>
        </w:tc>
      </w:tr>
      <w:tr w:rsidR="003C326F" w14:paraId="27CB014E" w14:textId="77777777" w:rsidTr="00FD7B8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9884814" w14:textId="77777777" w:rsidR="003C326F" w:rsidRPr="00D63DA0" w:rsidRDefault="003C326F" w:rsidP="00FD7B86">
            <w:pPr>
              <w:pStyle w:val="paragraph"/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0 (Absent)</w:t>
            </w:r>
          </w:p>
        </w:tc>
        <w:tc>
          <w:tcPr>
            <w:tcW w:w="2039" w:type="dxa"/>
          </w:tcPr>
          <w:p w14:paraId="1C41EA7B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Bright, Alert, normal appetite, normal behaviour</w:t>
            </w:r>
          </w:p>
        </w:tc>
        <w:tc>
          <w:tcPr>
            <w:tcW w:w="3343" w:type="dxa"/>
          </w:tcPr>
          <w:p w14:paraId="27CD218A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No nasal discharge, No coughing, No ocular discharge</w:t>
            </w:r>
          </w:p>
        </w:tc>
        <w:tc>
          <w:tcPr>
            <w:tcW w:w="2711" w:type="dxa"/>
          </w:tcPr>
          <w:p w14:paraId="038C6F19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Normal respiration</w:t>
            </w:r>
          </w:p>
          <w:p w14:paraId="3D8EBBE4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rate</w:t>
            </w: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&lt;50 per minute)</w:t>
            </w:r>
          </w:p>
        </w:tc>
      </w:tr>
      <w:tr w:rsidR="003C326F" w14:paraId="135F548E" w14:textId="77777777" w:rsidTr="00FD7B86">
        <w:trPr>
          <w:trHeight w:val="10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31FDE142" w14:textId="77777777" w:rsidR="003C326F" w:rsidRPr="00D63DA0" w:rsidRDefault="003C326F" w:rsidP="00FD7B86">
            <w:pPr>
              <w:pStyle w:val="paragraph"/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1 (mild)</w:t>
            </w:r>
          </w:p>
        </w:tc>
        <w:tc>
          <w:tcPr>
            <w:tcW w:w="2039" w:type="dxa"/>
          </w:tcPr>
          <w:p w14:paraId="73B7653C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Reduced responsiveness</w:t>
            </w:r>
          </w:p>
          <w:p w14:paraId="5DB39AD8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Decreased appetite</w:t>
            </w:r>
          </w:p>
          <w:p w14:paraId="4E48279C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Otherwise normal behaviour</w:t>
            </w:r>
          </w:p>
        </w:tc>
        <w:tc>
          <w:tcPr>
            <w:tcW w:w="3343" w:type="dxa"/>
          </w:tcPr>
          <w:p w14:paraId="41246F07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Nasal or ocular discharge</w:t>
            </w:r>
          </w:p>
          <w:p w14:paraId="2DC433D7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Intermittent watery-Mucus</w:t>
            </w:r>
          </w:p>
          <w:p w14:paraId="5B057FD8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Occasional spontaneous dry cough-induced cough (unpreductive) present</w:t>
            </w:r>
          </w:p>
        </w:tc>
        <w:tc>
          <w:tcPr>
            <w:tcW w:w="2711" w:type="dxa"/>
          </w:tcPr>
          <w:p w14:paraId="7D0658E8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Abnormal respiration</w:t>
            </w:r>
          </w:p>
          <w:p w14:paraId="778DBB82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RR 51-70</w:t>
            </w:r>
          </w:p>
        </w:tc>
      </w:tr>
      <w:tr w:rsidR="003C326F" w14:paraId="0FAD0C88" w14:textId="77777777" w:rsidTr="00FD7B86">
        <w:trPr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4B3B7578" w14:textId="77777777" w:rsidR="003C326F" w:rsidRPr="00D63DA0" w:rsidRDefault="003C326F" w:rsidP="00FD7B86">
            <w:pPr>
              <w:pStyle w:val="paragraph"/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2 (Moderate)</w:t>
            </w:r>
          </w:p>
        </w:tc>
        <w:tc>
          <w:tcPr>
            <w:tcW w:w="2039" w:type="dxa"/>
          </w:tcPr>
          <w:p w14:paraId="43166B0A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Depressed, Lethargic</w:t>
            </w:r>
          </w:p>
          <w:p w14:paraId="4E152E6E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Decreased appetite</w:t>
            </w:r>
          </w:p>
          <w:p w14:paraId="1DA31CF6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retreats</w:t>
            </w:r>
          </w:p>
        </w:tc>
        <w:tc>
          <w:tcPr>
            <w:tcW w:w="3343" w:type="dxa"/>
          </w:tcPr>
          <w:p w14:paraId="159ACB88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Increased nasal or ocular discharge</w:t>
            </w:r>
          </w:p>
          <w:p w14:paraId="6E7EE2CA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Persistent mucoid-mucopurulent discharge</w:t>
            </w:r>
          </w:p>
          <w:p w14:paraId="14CF5D0A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Frequent spontaneous productive cough-induced productive cough present</w:t>
            </w:r>
          </w:p>
        </w:tc>
        <w:tc>
          <w:tcPr>
            <w:tcW w:w="2711" w:type="dxa"/>
          </w:tcPr>
          <w:p w14:paraId="723113A2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Abnormal respiration-obvious abdominal breathing</w:t>
            </w:r>
          </w:p>
          <w:p w14:paraId="5FCB273C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RR 71-100</w:t>
            </w:r>
          </w:p>
        </w:tc>
      </w:tr>
      <w:tr w:rsidR="003C326F" w14:paraId="1EDE22BA" w14:textId="77777777" w:rsidTr="00FD7B86">
        <w:trPr>
          <w:trHeight w:val="10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7CC667D0" w14:textId="77777777" w:rsidR="003C326F" w:rsidRPr="00D63DA0" w:rsidRDefault="003C326F" w:rsidP="00FD7B86">
            <w:pPr>
              <w:pStyle w:val="paragraph"/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</w:pPr>
            <w:r w:rsidRPr="00D63DA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 w:eastAsia="nl-NL"/>
              </w:rPr>
              <w:t>3 (Severe)</w:t>
            </w:r>
          </w:p>
        </w:tc>
        <w:tc>
          <w:tcPr>
            <w:tcW w:w="2039" w:type="dxa"/>
          </w:tcPr>
          <w:p w14:paraId="62898F6C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Depressed-soporeus anorexia</w:t>
            </w:r>
          </w:p>
          <w:p w14:paraId="524FFB9F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Unstable to stand without assistance</w:t>
            </w:r>
          </w:p>
        </w:tc>
        <w:tc>
          <w:tcPr>
            <w:tcW w:w="3343" w:type="dxa"/>
          </w:tcPr>
          <w:p w14:paraId="6174F759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Severe nasal or ocular discharge</w:t>
            </w:r>
          </w:p>
          <w:p w14:paraId="5F420372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Persistent puralent-haemorrhagic discharge</w:t>
            </w:r>
          </w:p>
          <w:p w14:paraId="028B1EC2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Frequent spontaneous productive cough-induced productive cough present-prolonged when induced</w:t>
            </w:r>
          </w:p>
        </w:tc>
        <w:tc>
          <w:tcPr>
            <w:tcW w:w="2711" w:type="dxa"/>
          </w:tcPr>
          <w:p w14:paraId="2E27B2FF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Abnormal respiration-severe abdominal breathing</w:t>
            </w:r>
          </w:p>
          <w:p w14:paraId="440AB529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Dyspnoeic (e.g. mou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th</w:t>
            </w: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 xml:space="preserve"> breathing/frothing)</w:t>
            </w:r>
          </w:p>
          <w:p w14:paraId="69D4AC2D" w14:textId="77777777" w:rsidR="003C326F" w:rsidRPr="00316923" w:rsidRDefault="003C326F" w:rsidP="00FD7B86">
            <w:pPr>
              <w:pStyle w:val="paragraph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</w:pPr>
            <w:r w:rsidRPr="00316923">
              <w:rPr>
                <w:rFonts w:ascii="Times New Roman" w:hAnsi="Times New Roman" w:cs="Times New Roman"/>
                <w:sz w:val="20"/>
                <w:szCs w:val="20"/>
                <w:lang w:val="en-US" w:eastAsia="nl-NL"/>
              </w:rPr>
              <w:t>RR&gt;100</w:t>
            </w:r>
          </w:p>
        </w:tc>
      </w:tr>
    </w:tbl>
    <w:p w14:paraId="4AE6EE05" w14:textId="77777777" w:rsidR="003C326F" w:rsidRDefault="003C326F" w:rsidP="003C326F">
      <w:pPr>
        <w:pStyle w:val="paragraph"/>
        <w:spacing w:line="360" w:lineRule="auto"/>
        <w:rPr>
          <w:lang w:val="en-US" w:eastAsia="nl-NL"/>
        </w:rPr>
      </w:pPr>
    </w:p>
    <w:p w14:paraId="1846155A" w14:textId="77777777" w:rsidR="003C326F" w:rsidRDefault="003C326F" w:rsidP="003C326F">
      <w:pPr>
        <w:rPr>
          <w:rFonts w:ascii="Times New Roman" w:eastAsia="MyriadPro-Regular" w:hAnsi="Times New Roman" w:cs="Times New Roman"/>
          <w:b/>
          <w:sz w:val="24"/>
          <w:szCs w:val="24"/>
          <w:lang w:eastAsia="nl-NL"/>
        </w:rPr>
      </w:pPr>
      <w:r>
        <w:rPr>
          <w:rFonts w:ascii="Times New Roman" w:eastAsia="MyriadPro-Regular" w:hAnsi="Times New Roman"/>
          <w:sz w:val="24"/>
          <w:szCs w:val="24"/>
        </w:rPr>
        <w:br w:type="page"/>
      </w:r>
    </w:p>
    <w:p w14:paraId="53ADE7E0" w14:textId="77777777" w:rsidR="003C326F" w:rsidRPr="004B6B48" w:rsidRDefault="003C326F" w:rsidP="003C326F">
      <w:pPr>
        <w:pStyle w:val="Caption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4B6B48">
        <w:rPr>
          <w:rFonts w:ascii="Times New Roman" w:eastAsia="MyriadPro-Regular" w:hAnsi="Times New Roman"/>
          <w:sz w:val="24"/>
          <w:szCs w:val="24"/>
        </w:rPr>
        <w:lastRenderedPageBreak/>
        <w:t xml:space="preserve">Supplemental Table </w:t>
      </w:r>
      <w:r>
        <w:rPr>
          <w:rFonts w:ascii="Times New Roman" w:eastAsia="MyriadPro-Regular" w:hAnsi="Times New Roman"/>
          <w:sz w:val="24"/>
          <w:szCs w:val="24"/>
        </w:rPr>
        <w:t>2</w:t>
      </w:r>
      <w:r w:rsidRPr="004B6B48">
        <w:rPr>
          <w:rFonts w:ascii="Times New Roman" w:eastAsia="MyriadPro-Regular" w:hAnsi="Times New Roman"/>
          <w:sz w:val="24"/>
          <w:szCs w:val="24"/>
        </w:rPr>
        <w:t xml:space="preserve"> </w:t>
      </w:r>
      <w:r w:rsidRPr="004B6B48">
        <w:rPr>
          <w:rFonts w:ascii="Times New Roman" w:hAnsi="Times New Roman"/>
          <w:sz w:val="24"/>
          <w:szCs w:val="24"/>
        </w:rPr>
        <w:t xml:space="preserve">Scoring </w:t>
      </w:r>
      <w:r>
        <w:rPr>
          <w:rFonts w:ascii="Times New Roman" w:hAnsi="Times New Roman"/>
          <w:sz w:val="24"/>
          <w:szCs w:val="24"/>
        </w:rPr>
        <w:t>histopathology</w:t>
      </w:r>
      <w:r w:rsidRPr="004B6B4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7"/>
        <w:gridCol w:w="670"/>
        <w:gridCol w:w="1763"/>
        <w:gridCol w:w="1555"/>
        <w:gridCol w:w="1890"/>
        <w:gridCol w:w="1924"/>
      </w:tblGrid>
      <w:tr w:rsidR="003C326F" w:rsidRPr="003D3B76" w14:paraId="544C95B7" w14:textId="77777777" w:rsidTr="00FD7B86">
        <w:trPr>
          <w:trHeight w:val="324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EEECE1"/>
            <w:noWrap/>
            <w:hideMark/>
          </w:tcPr>
          <w:p w14:paraId="51A54F78" w14:textId="77777777" w:rsidR="003C326F" w:rsidRPr="003D3B7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Category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EECE1"/>
            <w:hideMark/>
          </w:tcPr>
          <w:p w14:paraId="4DE6994B" w14:textId="77777777" w:rsidR="003C326F" w:rsidRPr="003D3B7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0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EECE1"/>
            <w:hideMark/>
          </w:tcPr>
          <w:p w14:paraId="22939EE6" w14:textId="77777777" w:rsidR="003C326F" w:rsidRPr="003D3B7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EECE1"/>
            <w:hideMark/>
          </w:tcPr>
          <w:p w14:paraId="1443B06E" w14:textId="77777777" w:rsidR="003C326F" w:rsidRPr="003D3B7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EECE1"/>
            <w:hideMark/>
          </w:tcPr>
          <w:p w14:paraId="03D41B65" w14:textId="77777777" w:rsidR="003C326F" w:rsidRPr="003D3B7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3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EECE1"/>
            <w:hideMark/>
          </w:tcPr>
          <w:p w14:paraId="7B2BA457" w14:textId="77777777" w:rsidR="003C326F" w:rsidRPr="003D3B7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3D3B76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4</w:t>
            </w:r>
          </w:p>
        </w:tc>
      </w:tr>
      <w:tr w:rsidR="003C326F" w:rsidRPr="003D3B76" w14:paraId="47E3CCFF" w14:textId="77777777" w:rsidTr="00FD7B86">
        <w:trPr>
          <w:trHeight w:val="1512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EEECE1"/>
            <w:noWrap/>
            <w:hideMark/>
          </w:tcPr>
          <w:p w14:paraId="19186DEA" w14:textId="77777777" w:rsidR="003C326F" w:rsidRPr="0024435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t>bronchitis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D7B14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  <w:t>absent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79CA3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one or few small foci 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 in at least 1 MF)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0E20D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small- to medium-size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(in at least 3 MF)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5CAF1D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frequent and/or moderately sized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 in &gt; 3 MF)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B6D3AF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extensive to confluent foci affecting most/all of the tissue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(in &gt; 3 MF with bronchial obstruction)</w:t>
            </w:r>
          </w:p>
        </w:tc>
      </w:tr>
      <w:tr w:rsidR="003C326F" w:rsidRPr="003D3B76" w14:paraId="67697355" w14:textId="77777777" w:rsidTr="00FD7B86">
        <w:trPr>
          <w:trHeight w:val="1500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EEECE1"/>
            <w:hideMark/>
          </w:tcPr>
          <w:p w14:paraId="093C262F" w14:textId="77777777" w:rsidR="003C326F" w:rsidRPr="0024435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t>peribronchitis/</w:t>
            </w: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br/>
              <w:t>-vasculitis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91A0DB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  <w:t>absent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4CBD8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one or few small foci 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1 MF)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9D18F3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small- to medium-size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3 MF)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3094D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frequent and/or moderately sized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&gt; 3 MF or 10 - 30% affected in at least 1 MF)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8C5D0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extensive to confluent foci affecting most/all of the tissue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(&gt;10% in &gt; 3 MF or &gt;30% in at least 1 MF)</w:t>
            </w:r>
          </w:p>
        </w:tc>
      </w:tr>
      <w:tr w:rsidR="003C326F" w:rsidRPr="003D3B76" w14:paraId="475429D1" w14:textId="77777777" w:rsidTr="00FD7B86">
        <w:trPr>
          <w:trHeight w:val="1500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EEECE1"/>
            <w:hideMark/>
          </w:tcPr>
          <w:p w14:paraId="537A7B9D" w14:textId="77777777" w:rsidR="003C326F" w:rsidRPr="0024435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t xml:space="preserve">interstitial </w:t>
            </w: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br/>
              <w:t>pneumonia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519EB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  <w:t>absent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004B8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one or few small foci 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1 MF)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1D11A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small- to medium-size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3 MF)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F8626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frequent and/or moderately sized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&gt; 3 MF or 10 - 30% affected in at least 1 MF)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A2005" w14:textId="77777777" w:rsidR="003C326F" w:rsidRPr="00244356" w:rsidRDefault="003C326F" w:rsidP="00FD7B86">
            <w:pPr>
              <w:tabs>
                <w:tab w:val="left" w:pos="7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extensive to confluent foci affecting most/all of the tissue</w:t>
            </w:r>
          </w:p>
          <w:p w14:paraId="64DB2CD7" w14:textId="77777777" w:rsidR="003C326F" w:rsidRPr="00244356" w:rsidRDefault="003C326F" w:rsidP="00FD7B86">
            <w:pPr>
              <w:tabs>
                <w:tab w:val="left" w:pos="7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(&gt;10% in &gt; 3 MF or &gt;30% in at least 1 MF)</w:t>
            </w:r>
          </w:p>
        </w:tc>
      </w:tr>
      <w:tr w:rsidR="003C326F" w:rsidRPr="003D3B76" w14:paraId="666E75E6" w14:textId="77777777" w:rsidTr="00FD7B86">
        <w:trPr>
          <w:trHeight w:val="1500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EEECE1"/>
            <w:noWrap/>
            <w:hideMark/>
          </w:tcPr>
          <w:p w14:paraId="02D51E7B" w14:textId="77777777" w:rsidR="003C326F" w:rsidRPr="0024435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t>atelectasis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F0935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  <w:t>absent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11CC3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one or few small foci 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1 MF)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91B8A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small- to medium-size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3 MF)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24789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frequent and/or moderately sized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&gt; 3 MF or 10 - 30% affected in at least 1 MF)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F3AC6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extensive to confluent foci affecting most/all of the tissue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(&gt;10% in &gt; 3 MF or &gt;30% in at least 1 MF)</w:t>
            </w:r>
          </w:p>
        </w:tc>
      </w:tr>
      <w:tr w:rsidR="003C326F" w:rsidRPr="003D3B76" w14:paraId="49AB1A53" w14:textId="77777777" w:rsidTr="00FD7B86">
        <w:trPr>
          <w:trHeight w:val="1500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EEECE1"/>
            <w:noWrap/>
            <w:hideMark/>
          </w:tcPr>
          <w:p w14:paraId="36ADECB2" w14:textId="77777777" w:rsidR="003C326F" w:rsidRPr="00244356" w:rsidRDefault="003C326F" w:rsidP="00FD7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nl-NL"/>
              </w:rPr>
              <w:t>alveolitis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E30F8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  <w:t>absent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97ECC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one or few small foci 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1 MF)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236BE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small- to medium-size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at least 3 MF)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8B00AC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frequent and/or moderately sized foci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(&lt; 10% in &gt; 3 MF or 10 - 30% affected in at least 1 MF)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5A4AC" w14:textId="77777777" w:rsidR="003C326F" w:rsidRPr="00244356" w:rsidRDefault="003C326F" w:rsidP="00FD7B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extensive to confluent foci affecting most/all of the tissue</w:t>
            </w:r>
            <w:r w:rsidRPr="00244356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br/>
              <w:t>(&gt;10% in &gt; 3 MF or &gt;30% in at least 1 MF)</w:t>
            </w:r>
          </w:p>
        </w:tc>
      </w:tr>
    </w:tbl>
    <w:p w14:paraId="441DB2B3" w14:textId="77777777" w:rsidR="003C326F" w:rsidRPr="003D3B76" w:rsidRDefault="003C326F" w:rsidP="003C326F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</w:rPr>
      </w:pPr>
      <w:r w:rsidRPr="003D3B76">
        <w:rPr>
          <w:rFonts w:ascii="Times New Roman" w:eastAsia="MyriadPro-Regular" w:hAnsi="Times New Roman" w:cs="Times New Roman"/>
        </w:rPr>
        <w:t>MF: Lung location, microscopic focus</w:t>
      </w:r>
    </w:p>
    <w:p w14:paraId="425D60FB" w14:textId="77777777" w:rsidR="003C326F" w:rsidRPr="00B36FFB" w:rsidRDefault="003C326F" w:rsidP="003C326F">
      <w:pPr>
        <w:pStyle w:val="paragraph"/>
        <w:spacing w:line="360" w:lineRule="auto"/>
        <w:rPr>
          <w:lang w:val="en-US" w:eastAsia="nl-NL"/>
        </w:rPr>
      </w:pPr>
    </w:p>
    <w:p w14:paraId="135E62DD" w14:textId="77777777" w:rsidR="003C326F" w:rsidRDefault="003C326F" w:rsidP="003C326F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3"/>
          <w:szCs w:val="23"/>
        </w:rPr>
      </w:pPr>
    </w:p>
    <w:p w14:paraId="27037E6B" w14:textId="77777777" w:rsidR="003C326F" w:rsidRDefault="003C326F" w:rsidP="003C326F">
      <w:pPr>
        <w:rPr>
          <w:rFonts w:ascii="Times New Roman" w:eastAsia="MyriadPro-Regular" w:hAnsi="Times New Roman" w:cs="Times New Roman"/>
          <w:sz w:val="23"/>
          <w:szCs w:val="23"/>
        </w:rPr>
      </w:pPr>
      <w:r>
        <w:rPr>
          <w:rFonts w:ascii="Times New Roman" w:eastAsia="MyriadPro-Regular" w:hAnsi="Times New Roman" w:cs="Times New Roman"/>
          <w:sz w:val="23"/>
          <w:szCs w:val="23"/>
        </w:rPr>
        <w:br w:type="page"/>
      </w:r>
    </w:p>
    <w:p w14:paraId="4C15A94F" w14:textId="77777777" w:rsidR="003C326F" w:rsidRDefault="003C326F" w:rsidP="003C326F">
      <w:pPr>
        <w:autoSpaceDE w:val="0"/>
        <w:autoSpaceDN w:val="0"/>
        <w:adjustRightInd w:val="0"/>
        <w:spacing w:after="0" w:line="480" w:lineRule="auto"/>
        <w:rPr>
          <w:rFonts w:ascii="Times New Roman" w:eastAsia="MyriadPro-Regular" w:hAnsi="Times New Roman" w:cs="Times New Roman"/>
          <w:sz w:val="23"/>
          <w:szCs w:val="23"/>
        </w:rPr>
      </w:pPr>
      <w:r w:rsidRPr="002164F3">
        <w:rPr>
          <w:rFonts w:ascii="Times New Roman" w:eastAsia="MyriadPro-Regular" w:hAnsi="Times New Roman" w:cs="Times New Roman"/>
          <w:b/>
          <w:bCs/>
          <w:sz w:val="23"/>
          <w:szCs w:val="23"/>
        </w:rPr>
        <w:lastRenderedPageBreak/>
        <w:t>Supplemental Figure 1</w:t>
      </w:r>
      <w:r>
        <w:rPr>
          <w:rFonts w:ascii="Times New Roman" w:eastAsia="MyriadPro-Regular" w:hAnsi="Times New Roman" w:cs="Times New Roman"/>
          <w:b/>
          <w:bCs/>
          <w:sz w:val="23"/>
          <w:szCs w:val="23"/>
        </w:rPr>
        <w:t>.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 </w:t>
      </w:r>
      <w:r w:rsidRPr="00646855">
        <w:rPr>
          <w:rFonts w:ascii="Times New Roman" w:eastAsia="MyriadPro-Regular" w:hAnsi="Times New Roman" w:cs="Times New Roman"/>
          <w:sz w:val="23"/>
          <w:szCs w:val="23"/>
        </w:rPr>
        <w:t xml:space="preserve">Lung </w:t>
      </w:r>
      <w:r>
        <w:rPr>
          <w:rFonts w:ascii="Times New Roman" w:eastAsia="MyriadPro-Regular" w:hAnsi="Times New Roman" w:cs="Times New Roman"/>
          <w:sz w:val="23"/>
          <w:szCs w:val="23"/>
        </w:rPr>
        <w:t>h</w:t>
      </w:r>
      <w:r w:rsidRPr="00646855">
        <w:rPr>
          <w:rFonts w:ascii="Times New Roman" w:eastAsia="MyriadPro-Regular" w:hAnsi="Times New Roman" w:cs="Times New Roman"/>
          <w:sz w:val="23"/>
          <w:szCs w:val="23"/>
        </w:rPr>
        <w:t>istopathology composite scores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 by category.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 </w:t>
      </w:r>
      <w:r>
        <w:rPr>
          <w:rFonts w:ascii="Times New Roman" w:eastAsia="MyriadPro-Regular" w:hAnsi="Times New Roman" w:cs="Times New Roman"/>
          <w:sz w:val="23"/>
          <w:szCs w:val="23"/>
        </w:rPr>
        <w:t>S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tudy groups </w:t>
      </w:r>
      <w:r>
        <w:rPr>
          <w:rFonts w:ascii="Times New Roman" w:eastAsia="MyriadPro-Regular" w:hAnsi="Times New Roman" w:cs="Times New Roman"/>
          <w:sz w:val="23"/>
          <w:szCs w:val="23"/>
        </w:rPr>
        <w:t>received either a single dose (1D) or two doses (2D) of ChAd155-RSV vaccine or placebo (saline). Each treatment was followed by either a short (4 weeks) or long (16 weeks) duration of immunity (short DOI or long DOI, respectively), and then a bovine RSV (bRSV) challenge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. </w:t>
      </w:r>
      <w:r>
        <w:rPr>
          <w:rFonts w:ascii="Times New Roman" w:eastAsia="MyriadPro-Regular" w:hAnsi="Times New Roman" w:cs="Times New Roman"/>
          <w:sz w:val="23"/>
          <w:szCs w:val="23"/>
        </w:rPr>
        <w:t>Study groups in (</w:t>
      </w:r>
      <w:r w:rsidRPr="00B2215F">
        <w:rPr>
          <w:rFonts w:ascii="Times New Roman" w:eastAsia="MyriadPro-Regular" w:hAnsi="Times New Roman" w:cs="Times New Roman"/>
          <w:b/>
          <w:bCs/>
          <w:sz w:val="23"/>
          <w:szCs w:val="23"/>
        </w:rPr>
        <w:t>d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) 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>included calves with</w:t>
      </w:r>
      <w:r>
        <w:rPr>
          <w:rFonts w:ascii="Times New Roman" w:eastAsia="MyriadPro-Regular" w:hAnsi="Times New Roman" w:cs="Times New Roman"/>
          <w:sz w:val="23"/>
          <w:szCs w:val="23"/>
        </w:rPr>
        <w:t>out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 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(Ab-) 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or with </w:t>
      </w:r>
      <w:r>
        <w:rPr>
          <w:rFonts w:ascii="Times New Roman" w:eastAsia="MyriadPro-Regular" w:hAnsi="Times New Roman" w:cs="Times New Roman"/>
          <w:sz w:val="23"/>
          <w:szCs w:val="23"/>
        </w:rPr>
        <w:t>(Ab+) maternal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 </w:t>
      </w:r>
      <w:r>
        <w:rPr>
          <w:rFonts w:ascii="Times New Roman" w:eastAsia="MyriadPro-Regular" w:hAnsi="Times New Roman" w:cs="Times New Roman"/>
          <w:sz w:val="23"/>
          <w:szCs w:val="23"/>
        </w:rPr>
        <w:t>anti-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bRSV </w:t>
      </w:r>
      <w:r>
        <w:rPr>
          <w:rFonts w:ascii="Times New Roman" w:eastAsia="MyriadPro-Regular" w:hAnsi="Times New Roman" w:cs="Times New Roman"/>
          <w:sz w:val="23"/>
          <w:szCs w:val="23"/>
        </w:rPr>
        <w:t>antibodies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. </w:t>
      </w:r>
      <w:r>
        <w:rPr>
          <w:rFonts w:ascii="Times New Roman" w:eastAsia="MyriadPro-Regular" w:hAnsi="Times New Roman" w:cs="Times New Roman"/>
          <w:sz w:val="23"/>
          <w:szCs w:val="23"/>
        </w:rPr>
        <w:t>P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athology scores for alveolitis, interstitial pneumonia, peribronchitis and bronchitis 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were 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>determined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 based on 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microscopic analysis of the lung pathological changes </w:t>
      </w:r>
      <w:r>
        <w:rPr>
          <w:rFonts w:ascii="Times New Roman" w:eastAsia="MyriadPro-Regular" w:hAnsi="Times New Roman" w:cs="Times New Roman"/>
          <w:sz w:val="23"/>
          <w:szCs w:val="23"/>
        </w:rPr>
        <w:t>upon the bRSV challenge. C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>omposite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 scores</w:t>
      </w:r>
      <w:r w:rsidRPr="00630587">
        <w:rPr>
          <w:rFonts w:ascii="Times New Roman" w:eastAsia="MyriadPro-Regular" w:hAnsi="Times New Roman" w:cs="Times New Roman"/>
          <w:sz w:val="23"/>
          <w:szCs w:val="23"/>
        </w:rPr>
        <w:t xml:space="preserve"> </w:t>
      </w:r>
      <w:r>
        <w:rPr>
          <w:rFonts w:ascii="Times New Roman" w:eastAsia="MyriadPro-Regular" w:hAnsi="Times New Roman" w:cs="Times New Roman"/>
          <w:sz w:val="23"/>
          <w:szCs w:val="23"/>
        </w:rPr>
        <w:t>were derived by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 sum</w:t>
      </w:r>
      <w:r>
        <w:rPr>
          <w:rFonts w:ascii="Times New Roman" w:eastAsia="MyriadPro-Regular" w:hAnsi="Times New Roman" w:cs="Times New Roman"/>
          <w:sz w:val="23"/>
          <w:szCs w:val="23"/>
        </w:rPr>
        <w:t>ming the</w:t>
      </w:r>
      <w:r w:rsidRPr="00B2215F">
        <w:rPr>
          <w:rFonts w:ascii="Times New Roman" w:eastAsia="MyriadPro-Regular" w:hAnsi="Times New Roman" w:cs="Times New Roman"/>
          <w:sz w:val="23"/>
          <w:szCs w:val="23"/>
        </w:rPr>
        <w:t xml:space="preserve"> scores </w:t>
      </w:r>
      <w:r>
        <w:rPr>
          <w:rFonts w:ascii="Times New Roman" w:eastAsia="MyriadPro-Regular" w:hAnsi="Times New Roman" w:cs="Times New Roman"/>
          <w:sz w:val="23"/>
          <w:szCs w:val="23"/>
        </w:rPr>
        <w:t xml:space="preserve">per category across all animals in the study group. </w:t>
      </w:r>
    </w:p>
    <w:p w14:paraId="760D1EC0" w14:textId="77777777" w:rsidR="003C326F" w:rsidRDefault="003C326F" w:rsidP="003C326F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3"/>
          <w:szCs w:val="23"/>
        </w:rPr>
      </w:pPr>
    </w:p>
    <w:p w14:paraId="7061B0E5" w14:textId="77777777" w:rsidR="003C326F" w:rsidRDefault="003C326F" w:rsidP="003C326F">
      <w:pPr>
        <w:rPr>
          <w:rFonts w:ascii="Times New Roman" w:eastAsia="MyriadPro-Regular" w:hAnsi="Times New Roman" w:cs="Times New Roman"/>
          <w:sz w:val="23"/>
          <w:szCs w:val="23"/>
        </w:rPr>
      </w:pPr>
      <w:r w:rsidRPr="002164F3">
        <w:rPr>
          <w:noProof/>
        </w:rPr>
        <w:drawing>
          <wp:inline distT="0" distB="0" distL="0" distR="0" wp14:anchorId="2BCDFD38" wp14:editId="1878272F">
            <wp:extent cx="5943600" cy="44361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yriadPro-Regular" w:hAnsi="Times New Roman" w:cs="Times New Roman"/>
          <w:sz w:val="23"/>
          <w:szCs w:val="23"/>
        </w:rPr>
        <w:br w:type="page"/>
      </w:r>
    </w:p>
    <w:p w14:paraId="6ECC38D9" w14:textId="77777777" w:rsidR="003C326F" w:rsidRPr="003D3B76" w:rsidRDefault="003C326F" w:rsidP="003C326F">
      <w:pPr>
        <w:pStyle w:val="tableref"/>
        <w:tabs>
          <w:tab w:val="clear" w:pos="360"/>
        </w:tabs>
        <w:spacing w:after="240" w:line="480" w:lineRule="auto"/>
        <w:ind w:left="0" w:firstLine="0"/>
        <w:jc w:val="both"/>
        <w:rPr>
          <w:rFonts w:ascii="Times New Roman" w:eastAsia="MyriadPro-Regular" w:hAnsi="Times New Roman" w:cs="Times New Roman"/>
          <w:sz w:val="24"/>
          <w:szCs w:val="24"/>
        </w:rPr>
      </w:pPr>
      <w:r w:rsidRPr="003D3B76">
        <w:rPr>
          <w:rFonts w:ascii="Times New Roman" w:eastAsia="MyriadPro-Regular" w:hAnsi="Times New Roman" w:cs="Times New Roman"/>
          <w:b/>
          <w:bCs/>
          <w:sz w:val="24"/>
          <w:szCs w:val="24"/>
        </w:rPr>
        <w:lastRenderedPageBreak/>
        <w:t>Supplemental Figure 2:</w:t>
      </w:r>
      <w:r w:rsidRPr="003D3B76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r w:rsidRPr="003D3B76">
        <w:rPr>
          <w:rFonts w:ascii="Times New Roman" w:hAnsi="Times New Roman" w:cs="Times New Roman"/>
          <w:sz w:val="24"/>
          <w:szCs w:val="24"/>
        </w:rPr>
        <w:t xml:space="preserve">RSV load determined by qPCR. qPCR was performed </w:t>
      </w:r>
      <w:r w:rsidRPr="003D3B76">
        <w:rPr>
          <w:rFonts w:ascii="Times New Roman" w:hAnsi="Times New Roman" w:cs="Times New Roman"/>
          <w:bCs/>
          <w:sz w:val="24"/>
          <w:szCs w:val="24"/>
        </w:rPr>
        <w:t xml:space="preserve">on nasopharyngeal swabs (dpci 0-9) and on BAL samples (dpci -6, 5, 7, 9) </w:t>
      </w:r>
      <w:r w:rsidRPr="003D3B76">
        <w:rPr>
          <w:rFonts w:ascii="Times New Roman" w:hAnsi="Times New Roman" w:cs="Times New Roman"/>
          <w:sz w:val="24"/>
          <w:szCs w:val="24"/>
        </w:rPr>
        <w:t xml:space="preserve">and the </w:t>
      </w:r>
      <w:r w:rsidRPr="003D3B76">
        <w:rPr>
          <w:rFonts w:ascii="Times New Roman" w:hAnsi="Times New Roman" w:cs="Times New Roman"/>
          <w:bCs/>
          <w:sz w:val="24"/>
          <w:szCs w:val="24"/>
        </w:rPr>
        <w:t>Mean Ct values were calculated and displayed graphically over time.</w:t>
      </w:r>
      <w:r w:rsidRPr="003D3B76">
        <w:rPr>
          <w:rFonts w:ascii="Times New Roman" w:hAnsi="Times New Roman" w:cs="Times New Roman"/>
          <w:sz w:val="24"/>
          <w:szCs w:val="24"/>
        </w:rPr>
        <w:t xml:space="preserve"> Values show the group means with error bars representing the standard error of the mean (SEM).</w:t>
      </w:r>
    </w:p>
    <w:p w14:paraId="2BADE02F" w14:textId="77777777" w:rsidR="003C326F" w:rsidRDefault="003C326F" w:rsidP="003C326F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3"/>
          <w:szCs w:val="23"/>
        </w:rPr>
      </w:pPr>
      <w:r w:rsidRPr="001754FD">
        <w:rPr>
          <w:noProof/>
        </w:rPr>
        <w:drawing>
          <wp:inline distT="0" distB="0" distL="0" distR="0" wp14:anchorId="548407BF" wp14:editId="682A03C6">
            <wp:extent cx="5943600" cy="55479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4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E2E96" w14:textId="77777777" w:rsidR="003C326F" w:rsidRDefault="003C326F" w:rsidP="003C326F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3"/>
          <w:szCs w:val="23"/>
        </w:rPr>
      </w:pPr>
    </w:p>
    <w:p w14:paraId="7CD4FAAD" w14:textId="77777777" w:rsidR="00386883" w:rsidRDefault="003C326F"/>
    <w:sectPr w:rsidR="00386883" w:rsidSect="00AD1F5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61725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DFB785" w14:textId="77777777" w:rsidR="001B0125" w:rsidRDefault="003C326F">
        <w:pPr>
          <w:pStyle w:val="Footer"/>
          <w:jc w:val="right"/>
        </w:pPr>
        <w:r w:rsidRPr="00595ED3">
          <w:rPr>
            <w:rFonts w:ascii="Times New Roman" w:hAnsi="Times New Roman" w:cs="Times New Roman"/>
          </w:rPr>
          <w:fldChar w:fldCharType="begin"/>
        </w:r>
        <w:r w:rsidRPr="00595ED3">
          <w:rPr>
            <w:rFonts w:ascii="Times New Roman" w:hAnsi="Times New Roman" w:cs="Times New Roman"/>
          </w:rPr>
          <w:instrText xml:space="preserve"> PAGE   \* MERGEFORMAT </w:instrText>
        </w:r>
        <w:r w:rsidRPr="00595ED3">
          <w:rPr>
            <w:rFonts w:ascii="Times New Roman" w:hAnsi="Times New Roman" w:cs="Times New Roman"/>
          </w:rPr>
          <w:fldChar w:fldCharType="separate"/>
        </w:r>
        <w:r w:rsidRPr="00595ED3">
          <w:rPr>
            <w:rFonts w:ascii="Times New Roman" w:hAnsi="Times New Roman" w:cs="Times New Roman"/>
            <w:noProof/>
          </w:rPr>
          <w:t>2</w:t>
        </w:r>
        <w:r w:rsidRPr="00595ED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7903511" w14:textId="77777777" w:rsidR="001B0125" w:rsidRDefault="003C326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E0C77"/>
    <w:multiLevelType w:val="hybridMultilevel"/>
    <w:tmpl w:val="6CD46E5A"/>
    <w:lvl w:ilvl="0" w:tplc="E3C82690">
      <w:start w:val="1"/>
      <w:numFmt w:val="decimal"/>
      <w:pStyle w:val="Caption"/>
      <w:lvlText w:val="Table  %1"/>
      <w:lvlJc w:val="right"/>
      <w:pPr>
        <w:ind w:left="644" w:hanging="360"/>
      </w:pPr>
      <w:rPr>
        <w:rFonts w:ascii="Arial" w:hAnsi="Arial" w:hint="default"/>
        <w:b/>
        <w:i w:val="0"/>
        <w:caps w:val="0"/>
        <w:spacing w:val="-2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26F"/>
    <w:rsid w:val="003107CE"/>
    <w:rsid w:val="00316534"/>
    <w:rsid w:val="00373D83"/>
    <w:rsid w:val="003C326F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FC306"/>
  <w15:chartTrackingRefBased/>
  <w15:docId w15:val="{80BE4004-96F3-4E59-B2D2-C455E00C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26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C3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326F"/>
    <w:rPr>
      <w:rFonts w:eastAsiaTheme="minorEastAsia"/>
    </w:rPr>
  </w:style>
  <w:style w:type="paragraph" w:customStyle="1" w:styleId="paragraph">
    <w:name w:val="paragraph"/>
    <w:basedOn w:val="Normal"/>
    <w:rsid w:val="003C326F"/>
    <w:pPr>
      <w:spacing w:after="240" w:line="240" w:lineRule="auto"/>
    </w:pPr>
    <w:rPr>
      <w:rFonts w:ascii="Arial" w:eastAsia="Times New Roman" w:hAnsi="Arial" w:cs="Arial"/>
      <w:lang w:val="en-GB" w:eastAsia="en-GB"/>
    </w:rPr>
  </w:style>
  <w:style w:type="paragraph" w:styleId="Caption">
    <w:name w:val="caption"/>
    <w:next w:val="paragraph"/>
    <w:qFormat/>
    <w:rsid w:val="003C326F"/>
    <w:pPr>
      <w:keepNext/>
      <w:numPr>
        <w:numId w:val="1"/>
      </w:numPr>
      <w:spacing w:after="80" w:line="240" w:lineRule="auto"/>
    </w:pPr>
    <w:rPr>
      <w:rFonts w:ascii="Arial" w:eastAsia="Times New Roman" w:hAnsi="Arial" w:cs="Times New Roman"/>
      <w:b/>
      <w:sz w:val="20"/>
      <w:szCs w:val="20"/>
      <w:lang w:eastAsia="nl-NL"/>
    </w:rPr>
  </w:style>
  <w:style w:type="table" w:styleId="GridTable1Light">
    <w:name w:val="Grid Table 1 Light"/>
    <w:basedOn w:val="TableNormal"/>
    <w:uiPriority w:val="46"/>
    <w:rsid w:val="003C326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ref">
    <w:name w:val="table:ref"/>
    <w:basedOn w:val="Normal"/>
    <w:link w:val="tablerefChar"/>
    <w:rsid w:val="003C326F"/>
    <w:pPr>
      <w:tabs>
        <w:tab w:val="left" w:pos="360"/>
      </w:tabs>
      <w:ind w:left="360" w:hanging="360"/>
    </w:pPr>
    <w:rPr>
      <w:rFonts w:ascii="Arial Narrow" w:hAnsi="Arial Narrow" w:cs="Arial Narrow"/>
      <w:szCs w:val="20"/>
      <w:lang w:val="en-GB"/>
    </w:rPr>
  </w:style>
  <w:style w:type="character" w:customStyle="1" w:styleId="tablerefChar">
    <w:name w:val="table:ref Char"/>
    <w:link w:val="tableref"/>
    <w:rsid w:val="003C326F"/>
    <w:rPr>
      <w:rFonts w:ascii="Arial Narrow" w:eastAsiaTheme="minorEastAsia" w:hAnsi="Arial Narrow" w:cs="Arial Narrow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2021-10-11T18:20:00Z</dcterms:created>
  <dcterms:modified xsi:type="dcterms:W3CDTF">2021-10-11T18:20:00Z</dcterms:modified>
</cp:coreProperties>
</file>