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00" w:rsidRPr="00CF0100" w:rsidRDefault="00CF0100" w:rsidP="00CF0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Descriptive statistics</w:t>
      </w:r>
    </w:p>
    <w:tbl>
      <w:tblPr>
        <w:tblW w:w="976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2"/>
        <w:gridCol w:w="1200"/>
        <w:gridCol w:w="1200"/>
        <w:gridCol w:w="1200"/>
        <w:gridCol w:w="1200"/>
        <w:gridCol w:w="1200"/>
        <w:gridCol w:w="1200"/>
        <w:gridCol w:w="1200"/>
      </w:tblGrid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CBI1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EVZ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GBI1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GVZ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OVX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VIXIE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VSTOXX</w:t>
            </w: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1.58E-05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8.212160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-8.47E-06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17.10477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41.07149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41.81250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21.07911</w:t>
            </w: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Median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7.330000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16.69000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38.46500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36.03500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19.83000</w:t>
            </w: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Maximum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0.014488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533.0000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0.016572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31.70000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115.3900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102.1600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49.64000</w:t>
            </w: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Minimum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-0.013219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4.710000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-0.014203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10.22000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23.73000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19.49000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12.12000</w:t>
            </w: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Std. Dev.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0.002432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15.06767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0.002707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3.056672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11.33661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18.14655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5.948767</w:t>
            </w: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0100" w:rsidRPr="00CF0100" w:rsidTr="00027067">
        <w:trPr>
          <w:trHeight w:val="204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27067" w:rsidRDefault="00027067" w:rsidP="00027067">
      <w:r>
        <w:t>CBI1 and GBI1:</w:t>
      </w:r>
    </w:p>
    <w:p w:rsidR="00027067" w:rsidRDefault="00027067" w:rsidP="00027067">
      <w:r>
        <w:t>Very small means and medians near zero → likely daily/weekly returns.</w:t>
      </w:r>
    </w:p>
    <w:p w:rsidR="00027067" w:rsidRDefault="00027067" w:rsidP="00027067">
      <w:r>
        <w:t>Symmetric distributions around zero.</w:t>
      </w:r>
    </w:p>
    <w:p w:rsidR="00027067" w:rsidRDefault="00027067" w:rsidP="00027067">
      <w:r>
        <w:t>Low standard deviation (~0.0024 to 0.0027), implying low volatility.</w:t>
      </w:r>
    </w:p>
    <w:p w:rsidR="00027067" w:rsidRDefault="00027067" w:rsidP="00027067">
      <w:r>
        <w:t>No clear skew based on the mean/median.</w:t>
      </w:r>
    </w:p>
    <w:p w:rsidR="00027067" w:rsidRDefault="00027067" w:rsidP="00027067"/>
    <w:p w:rsidR="00027067" w:rsidRDefault="00027067" w:rsidP="00027067">
      <w:r>
        <w:t>EVZ (Euro Volatility Index):</w:t>
      </w:r>
    </w:p>
    <w:p w:rsidR="00027067" w:rsidRDefault="00027067" w:rsidP="00027067">
      <w:r>
        <w:t>Mean = 8.21, Median = 7.33 → slightly right-skewed.</w:t>
      </w:r>
    </w:p>
    <w:p w:rsidR="00027067" w:rsidRDefault="00027067" w:rsidP="00027067">
      <w:r>
        <w:t>Very high maximum value of 533.00 — likely an outlier or crisis-period spike.</w:t>
      </w:r>
    </w:p>
    <w:p w:rsidR="00027067" w:rsidRDefault="00027067" w:rsidP="00027067">
      <w:r>
        <w:t>Std. dev. = 15.07, indicating high variability.</w:t>
      </w:r>
    </w:p>
    <w:p w:rsidR="00027067" w:rsidRDefault="00027067" w:rsidP="00027067">
      <w:r>
        <w:t>Compare median and std. dev → volatility can be extreme in rare cases.</w:t>
      </w:r>
    </w:p>
    <w:p w:rsidR="00027067" w:rsidRDefault="00027067" w:rsidP="00027067"/>
    <w:p w:rsidR="00027067" w:rsidRDefault="00027067" w:rsidP="00027067">
      <w:r>
        <w:t>GVZ (Gold Volatility Index):</w:t>
      </w:r>
    </w:p>
    <w:p w:rsidR="00027067" w:rsidRDefault="00027067" w:rsidP="00027067">
      <w:r>
        <w:lastRenderedPageBreak/>
        <w:t>Mean = 17.10, Median = 16.69 → roughly symmetric.</w:t>
      </w:r>
    </w:p>
    <w:p w:rsidR="00027067" w:rsidRDefault="00027067" w:rsidP="00027067">
      <w:r>
        <w:t>Maximum = 31.70, Minimum = 10.22 → moderate spread.</w:t>
      </w:r>
    </w:p>
    <w:p w:rsidR="00027067" w:rsidRDefault="00027067" w:rsidP="00027067">
      <w:r>
        <w:t>Std. dev. = 3.06 → moderate risk profile.</w:t>
      </w:r>
    </w:p>
    <w:p w:rsidR="00027067" w:rsidRDefault="00027067" w:rsidP="00027067"/>
    <w:p w:rsidR="00027067" w:rsidRDefault="00027067" w:rsidP="00027067">
      <w:r>
        <w:t>OVX (Oil Volatility Index):</w:t>
      </w:r>
    </w:p>
    <w:p w:rsidR="00027067" w:rsidRDefault="00027067" w:rsidP="00027067">
      <w:r>
        <w:t>Mean = 41.07, Median = 38.47 → slightly right-skewed.</w:t>
      </w:r>
    </w:p>
    <w:p w:rsidR="00027067" w:rsidRDefault="00027067" w:rsidP="00027067">
      <w:r>
        <w:t>Very wide range (23.73 to 115.39).</w:t>
      </w:r>
    </w:p>
    <w:p w:rsidR="00027067" w:rsidRDefault="00027067" w:rsidP="00027067">
      <w:r>
        <w:t>Std. dev. = 11.34 → high volatility.</w:t>
      </w:r>
    </w:p>
    <w:p w:rsidR="00027067" w:rsidRDefault="00027067" w:rsidP="00027067"/>
    <w:p w:rsidR="00027067" w:rsidRDefault="00027067" w:rsidP="00027067">
      <w:r>
        <w:t>VIXIE (CBOE VIX Index Estimate):</w:t>
      </w:r>
    </w:p>
    <w:p w:rsidR="00027067" w:rsidRDefault="00027067" w:rsidP="00027067">
      <w:r>
        <w:t>Mean = 41.81, Median = 36.04 → right-skewed.</w:t>
      </w:r>
    </w:p>
    <w:p w:rsidR="00027067" w:rsidRDefault="00027067" w:rsidP="00027067">
      <w:r>
        <w:t>Maximum = 102.16 shows significant spikes in market stress.</w:t>
      </w:r>
    </w:p>
    <w:p w:rsidR="00027067" w:rsidRDefault="00027067" w:rsidP="00027067">
      <w:r>
        <w:t>High std. dev. (18.15) implies high fluctuation.</w:t>
      </w:r>
    </w:p>
    <w:p w:rsidR="00027067" w:rsidRDefault="00027067" w:rsidP="00027067"/>
    <w:p w:rsidR="00027067" w:rsidRDefault="00027067" w:rsidP="00027067">
      <w:r>
        <w:t>VSTOXX (European stock volatility index):</w:t>
      </w:r>
    </w:p>
    <w:p w:rsidR="00027067" w:rsidRDefault="00027067" w:rsidP="00027067">
      <w:r>
        <w:t>Mean = 21.08, Median = 19.83 → mildly right-skewed.</w:t>
      </w:r>
    </w:p>
    <w:p w:rsidR="00027067" w:rsidRDefault="00027067" w:rsidP="00027067">
      <w:r>
        <w:t>Std. dev. = 5.95, which is moderate.</w:t>
      </w:r>
    </w:p>
    <w:p w:rsidR="00027067" w:rsidRDefault="00027067" w:rsidP="00027067">
      <w:r>
        <w:t>Max = 49.64, Min = 12.12 → shows range of fear/stress in European equities.</w:t>
      </w:r>
    </w:p>
    <w:p w:rsidR="00027067" w:rsidRDefault="00027067" w:rsidP="00027067"/>
    <w:p w:rsidR="00027067" w:rsidRDefault="00027067" w:rsidP="00027067">
      <w:r>
        <w:t>Volatility indices (GVZ, OVX, VIXIE, VSTOXX, EVZ) are all right-skewed with large ranges, consistent with behavior during market stress.</w:t>
      </w:r>
    </w:p>
    <w:p w:rsidR="00027067" w:rsidRDefault="00027067" w:rsidP="00027067">
      <w:r>
        <w:t>CBI1 and GBI1 likely represent returns (e.g., of bond indices) and show much smaller values and lower volatility.</w:t>
      </w:r>
    </w:p>
    <w:p w:rsidR="00027067" w:rsidRDefault="00027067" w:rsidP="00027067">
      <w:r>
        <w:t>Outliers or extreme events are present in some volatility indices (notably EVZ, OVX, and VIXIE).</w:t>
      </w:r>
    </w:p>
    <w:p w:rsidR="002132C2" w:rsidRDefault="002132C2" w:rsidP="00027067"/>
    <w:p w:rsidR="00C3008F" w:rsidRDefault="00CF0100">
      <w:r>
        <w:t>Correlation matrix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200"/>
        <w:gridCol w:w="1200"/>
        <w:gridCol w:w="1200"/>
        <w:gridCol w:w="1200"/>
        <w:gridCol w:w="1200"/>
        <w:gridCol w:w="1200"/>
        <w:gridCol w:w="1200"/>
      </w:tblGrid>
      <w:tr w:rsidR="00CF0100" w:rsidRPr="00CF0100" w:rsidTr="002132C2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CBI1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EVZ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GBI1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GVZ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OVX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VIXIE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VSTOXX</w:t>
            </w:r>
          </w:p>
        </w:tc>
      </w:tr>
      <w:tr w:rsidR="00CF0100" w:rsidRPr="00CF0100" w:rsidTr="002132C2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CBI1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-0.015901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0.975696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-0.013587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-0.037023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-0.096814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-0.090558</w:t>
            </w:r>
          </w:p>
        </w:tc>
      </w:tr>
      <w:tr w:rsidR="00CF0100" w:rsidRPr="00CF0100" w:rsidTr="002132C2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EVZ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-0.015901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-0.026461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0.026064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0.036402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0.081509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0.059327</w:t>
            </w:r>
          </w:p>
        </w:tc>
      </w:tr>
      <w:tr w:rsidR="00CF0100" w:rsidRPr="00CF0100" w:rsidTr="002132C2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GBI1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0.975696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-0.026461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-0.007174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-0.029531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-0.084800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-0.077050</w:t>
            </w:r>
          </w:p>
        </w:tc>
      </w:tr>
      <w:tr w:rsidR="00CF0100" w:rsidRPr="00CF0100" w:rsidTr="002132C2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GVZ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-0.013587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0.026064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-0.007174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0.544767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0.437699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0.681847</w:t>
            </w:r>
          </w:p>
        </w:tc>
      </w:tr>
      <w:tr w:rsidR="00CF0100" w:rsidRPr="00CF0100" w:rsidTr="002132C2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OVX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-0.037023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0.036402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-0.029531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0.544767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0.653479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0.783244</w:t>
            </w:r>
          </w:p>
        </w:tc>
      </w:tr>
      <w:tr w:rsidR="00CF0100" w:rsidRPr="00CF0100" w:rsidTr="002132C2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VIXIE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-0.096814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0.081509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-0.084800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0.437699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0.653479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0.733460</w:t>
            </w:r>
          </w:p>
        </w:tc>
      </w:tr>
      <w:tr w:rsidR="00CF0100" w:rsidRPr="00CF0100" w:rsidTr="002132C2">
        <w:trPr>
          <w:trHeight w:val="20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VSTOXX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-0.090558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0.059327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-0.077050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0.681847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0.783244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0.733460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100" w:rsidRPr="00CF0100" w:rsidRDefault="00CF0100" w:rsidP="00CF0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100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</w:tr>
    </w:tbl>
    <w:p w:rsidR="00CF0100" w:rsidRDefault="00CF0100"/>
    <w:p w:rsidR="00CF0100" w:rsidRDefault="003F2A25">
      <w:r>
        <w:t>Unit root test</w:t>
      </w:r>
    </w:p>
    <w:p w:rsidR="003F2A25" w:rsidRPr="003F2A25" w:rsidRDefault="003F2A25" w:rsidP="003F2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008"/>
        <w:gridCol w:w="1104"/>
        <w:gridCol w:w="1104"/>
        <w:gridCol w:w="912"/>
      </w:tblGrid>
      <w:tr w:rsidR="003F2A25" w:rsidRPr="003F2A25" w:rsidTr="003F2A25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Null Hypothesis: CBI1 has a unit root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5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=22)</w:t>
            </w: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-33.03097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-3.435436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-2.863674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-2.567956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sz w:val="18"/>
                <w:szCs w:val="18"/>
              </w:rPr>
              <w:br/>
            </w: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Null Hypothesis: GBI1 has a unit root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5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=22)</w:t>
            </w: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-34.07246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-3.435436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-2.863674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-2.567956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sz w:val="18"/>
                <w:szCs w:val="18"/>
              </w:rPr>
              <w:br/>
            </w: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Null Hypothesis: EVZ has a unit root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5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=22)</w:t>
            </w: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-34.86446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-3.435432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-2.863672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-2.567955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F2A25" w:rsidRPr="003F2A25" w:rsidRDefault="003F2A25" w:rsidP="003F2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008"/>
        <w:gridCol w:w="1104"/>
        <w:gridCol w:w="1104"/>
        <w:gridCol w:w="912"/>
      </w:tblGrid>
      <w:tr w:rsidR="003F2A25" w:rsidRPr="003F2A25" w:rsidTr="003F2A25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Null Hypothesis: GVZ has a unit root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5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=22)</w:t>
            </w: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-5.117054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-3.435432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-2.863672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-2.567955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F2A25" w:rsidRPr="003F2A25" w:rsidRDefault="003F2A25" w:rsidP="003F2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008"/>
        <w:gridCol w:w="1104"/>
        <w:gridCol w:w="1104"/>
        <w:gridCol w:w="912"/>
      </w:tblGrid>
      <w:tr w:rsidR="003F2A25" w:rsidRPr="003F2A25" w:rsidTr="003F2A25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Null Hypothesis: OVX has a unit root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5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=22)</w:t>
            </w: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-6.602267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-3.435432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-2.863672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-2.567955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2A25" w:rsidRPr="003F2A25" w:rsidTr="003F2A25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A25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A25" w:rsidRPr="003F2A25" w:rsidRDefault="003F2A25" w:rsidP="003F2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27067" w:rsidRPr="00027067" w:rsidRDefault="00027067" w:rsidP="00027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008"/>
        <w:gridCol w:w="1104"/>
        <w:gridCol w:w="1104"/>
        <w:gridCol w:w="912"/>
      </w:tblGrid>
      <w:tr w:rsidR="00027067" w:rsidRPr="00027067" w:rsidTr="00027067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Null Hypothesis: VIXIE has a unit root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 w:rsidTr="00027067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 w:rsidTr="00027067">
        <w:trPr>
          <w:trHeight w:val="204"/>
        </w:trPr>
        <w:tc>
          <w:tcPr>
            <w:tcW w:w="5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1 (Automatic - based on SIC, </w:t>
            </w:r>
            <w:proofErr w:type="spellStart"/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=22)</w:t>
            </w:r>
          </w:p>
        </w:tc>
      </w:tr>
      <w:tr w:rsidR="00027067" w:rsidRPr="00027067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027067" w:rsidRPr="00027067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 w:rsidTr="00027067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-4.130002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 0.0009</w:t>
            </w:r>
          </w:p>
        </w:tc>
      </w:tr>
      <w:tr w:rsidR="00027067" w:rsidRPr="00027067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-3.435436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-2.863674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-2.567956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 w:rsidTr="00027067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27067" w:rsidRPr="00027067" w:rsidRDefault="00027067" w:rsidP="00027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008"/>
        <w:gridCol w:w="1104"/>
        <w:gridCol w:w="1104"/>
        <w:gridCol w:w="912"/>
      </w:tblGrid>
      <w:tr w:rsidR="00027067" w:rsidRPr="00027067" w:rsidTr="00027067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Null Hypothesis: VSTOXX has a unit root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 w:rsidTr="00027067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 w:rsidTr="00027067">
        <w:trPr>
          <w:trHeight w:val="204"/>
        </w:trPr>
        <w:tc>
          <w:tcPr>
            <w:tcW w:w="5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=22)</w:t>
            </w:r>
          </w:p>
        </w:tc>
      </w:tr>
      <w:tr w:rsidR="00027067" w:rsidRPr="00027067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027067" w:rsidRPr="00027067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 w:rsidTr="00027067">
        <w:trPr>
          <w:trHeight w:val="204"/>
        </w:trPr>
        <w:tc>
          <w:tcPr>
            <w:tcW w:w="39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-5.259289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027067" w:rsidRPr="00027067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-3.435432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-2.863672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val="20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-2.567955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hRule="exact" w:val="81"/>
        </w:trPr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>
        <w:trPr>
          <w:trHeight w:hRule="exact" w:val="122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7067" w:rsidRPr="00027067" w:rsidTr="00027067">
        <w:trPr>
          <w:trHeight w:val="204"/>
        </w:trPr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067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67" w:rsidRPr="00027067" w:rsidRDefault="00027067" w:rsidP="0002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F2A25" w:rsidRDefault="00027067" w:rsidP="003F2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27067">
        <w:rPr>
          <w:rFonts w:ascii="Arial" w:hAnsi="Arial" w:cs="Arial"/>
          <w:sz w:val="18"/>
          <w:szCs w:val="18"/>
        </w:rPr>
        <w:br/>
      </w:r>
      <w:r w:rsidRPr="00027067">
        <w:rPr>
          <w:rFonts w:ascii="Arial" w:hAnsi="Arial" w:cs="Arial"/>
          <w:sz w:val="18"/>
          <w:szCs w:val="18"/>
        </w:rPr>
        <w:br/>
      </w:r>
      <w:r w:rsidR="002132C2">
        <w:rPr>
          <w:rFonts w:ascii="Arial" w:hAnsi="Arial" w:cs="Arial"/>
          <w:sz w:val="18"/>
          <w:szCs w:val="18"/>
        </w:rPr>
        <w:t>granger causality</w:t>
      </w:r>
    </w:p>
    <w:p w:rsidR="002132C2" w:rsidRDefault="002132C2" w:rsidP="003F2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720"/>
        <w:gridCol w:w="912"/>
        <w:gridCol w:w="816"/>
      </w:tblGrid>
      <w:tr w:rsidR="002132C2" w:rsidRPr="002132C2" w:rsidTr="002132C2">
        <w:trPr>
          <w:trHeight w:val="204"/>
        </w:trPr>
        <w:tc>
          <w:tcPr>
            <w:tcW w:w="6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Pairwise Granger Causality Tests</w:t>
            </w:r>
          </w:p>
        </w:tc>
      </w:tr>
      <w:tr w:rsidR="002132C2" w:rsidRPr="002132C2" w:rsidTr="002132C2">
        <w:trPr>
          <w:trHeight w:val="204"/>
        </w:trPr>
        <w:tc>
          <w:tcPr>
            <w:tcW w:w="6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Date: 08/25/25   Time: 12:48</w:t>
            </w:r>
          </w:p>
        </w:tc>
      </w:tr>
      <w:tr w:rsidR="002132C2" w:rsidRPr="002132C2" w:rsidTr="002132C2">
        <w:trPr>
          <w:trHeight w:val="204"/>
        </w:trPr>
        <w:tc>
          <w:tcPr>
            <w:tcW w:w="6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Sample: 5/01/2020 1/24/2025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Lags: 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Null Hypothesis: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EVZ does not Granger Cause CBI1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0.10147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0.9035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CBI1 does not Granger Cause EVZ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0.35695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0.6999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GBI1 does not Granger Cause CBI1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0.78526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0.4562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CBI1 does not Granger Cause GBI1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5.19383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0.0057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GVZ does not Granger Cause CBI1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2.89234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0.0558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CBI1 does not Granger Cause GVZ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3.28689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0.0377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OVX does not Granger Cause CBI1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1.42015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0.2421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CBI1 does not Granger Cause OVX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0.04119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0.9597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VIXIE does not Granger Cause CBI1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9.64055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7.E-05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CBI1 does not Granger Cause VIXIE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0.40747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0.6654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VSTOXX does not Granger Cause CBI1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8.01476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CBI1 does not Granger Cause VSTOXX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2.89859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0.0555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GBI1 does not Granger Cause EVZ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0.14112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0.8684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EVZ does not Granger Cause GBI1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0.01367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0.9864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GVZ does not Granger Cause EVZ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0.68167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0.5060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EVZ does not Granger Cause GVZ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0.22210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0.8009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OVX does not Granger Cause EVZ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4.04178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0.0178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EVZ does not Granger Cause OVX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0.64181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0.5265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VIXIE does not Granger Cause EVZ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4.54746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0.0108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EVZ does not Granger Cause VIXIE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0.65243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0.5210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VSTOXX does not Granger Cause EVZ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2.78574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0.0621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EVZ does not Granger Cause VSTOXX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2.00878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0.1346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GVZ does not Granger Cause GBI1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1.80597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0.1648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GBI1 does not Granger Cause GVZ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3.15620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0.0429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OVX does not Granger Cause GBI1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1.09937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0.3334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GBI1 does not Granger Cause OVX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0.11061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0.8953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VIXIE does not Granger Cause GBI1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7.11109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0.0009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GBI1 does not Granger Cause VIXIE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0.06353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0.9385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VSTOXX does not Granger Cause GBI1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6.65378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0.0013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GBI1 does not Granger Cause VSTOXX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2.59665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0.0749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OVX does not Granger Cause GVZ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0.33734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0.7137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GVZ does not Granger Cause OVX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4.71744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VIXIE does not Granger Cause GVZ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9.29773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GVZ does not Granger Cause VIXIE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1.67550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0.1876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VSTOXX does not Granger Cause GVZ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4.91890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0.0075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GVZ does not Granger Cause VSTOXX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3.77147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0.0233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VIXIE does not Granger Cause OVX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13.5114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2.E-06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OVX does not Granger Cause VIXIE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5.27246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0.0052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VSTOXX does not Granger Cause OVX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17.4943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3.E-08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OVX does not Granger Cause VSTOXX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0.98733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0.3729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val="204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VSTOXX does not Granger Cause VIXIE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1234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0.15286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0.8583</w:t>
            </w:r>
          </w:p>
        </w:tc>
      </w:tr>
      <w:tr w:rsidR="002132C2" w:rsidRPr="002132C2" w:rsidTr="002132C2">
        <w:trPr>
          <w:trHeight w:val="204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VIXIE does not Granger Cause VSTOXX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 6.68937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2C2">
              <w:rPr>
                <w:rFonts w:ascii="Arial" w:hAnsi="Arial" w:cs="Arial"/>
                <w:color w:val="000000"/>
                <w:sz w:val="18"/>
                <w:szCs w:val="18"/>
              </w:rPr>
              <w:t>0.0013</w:t>
            </w:r>
          </w:p>
        </w:tc>
      </w:tr>
      <w:tr w:rsidR="002132C2" w:rsidRPr="002132C2">
        <w:trPr>
          <w:trHeight w:hRule="exact" w:val="81"/>
        </w:trPr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32C2" w:rsidRPr="002132C2">
        <w:trPr>
          <w:trHeight w:hRule="exact" w:val="1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2C2" w:rsidRPr="002132C2" w:rsidRDefault="002132C2" w:rsidP="0021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32C2">
        <w:rPr>
          <w:rFonts w:ascii="Arial" w:hAnsi="Arial" w:cs="Arial"/>
          <w:sz w:val="18"/>
          <w:szCs w:val="18"/>
        </w:rPr>
        <w:br/>
        <w:t>VIXIE is a strong "causal driver," Granger causing multiple variables including CBI1, EVZ, GBI1, GVZ, OVX, and VSTOXX.</w:t>
      </w: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32C2">
        <w:rPr>
          <w:rFonts w:ascii="Arial" w:hAnsi="Arial" w:cs="Arial"/>
          <w:sz w:val="18"/>
          <w:szCs w:val="18"/>
        </w:rPr>
        <w:t>There are several bidirectional causal relationships, e.g.:</w:t>
      </w: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32C2">
        <w:rPr>
          <w:rFonts w:ascii="Arial" w:hAnsi="Arial" w:cs="Arial"/>
          <w:sz w:val="18"/>
          <w:szCs w:val="18"/>
        </w:rPr>
        <w:t>OVX ↔ VIXIE</w:t>
      </w: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32C2">
        <w:rPr>
          <w:rFonts w:ascii="Arial" w:hAnsi="Arial" w:cs="Arial"/>
          <w:sz w:val="18"/>
          <w:szCs w:val="18"/>
        </w:rPr>
        <w:t>GVZ → VSTOXX and VSTOXX → GVZ (only one direction is significant here, GVZ → VSTOXX, but VSTOXX → GVZ is borderline)</w:t>
      </w: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32C2">
        <w:rPr>
          <w:rFonts w:ascii="Arial" w:hAnsi="Arial" w:cs="Arial"/>
          <w:sz w:val="18"/>
          <w:szCs w:val="18"/>
        </w:rPr>
        <w:t>CBI1 Granger causes GBI1 and GVZ but is mainly a "receiver" from VIXIE and VSTOXX.</w:t>
      </w: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32C2">
        <w:rPr>
          <w:rFonts w:ascii="Arial" w:hAnsi="Arial" w:cs="Arial"/>
          <w:sz w:val="18"/>
          <w:szCs w:val="18"/>
        </w:rPr>
        <w:t>Volatility indices (VIXIE, VSTOXX, OVX, GVZ) show a network of causal influences, reflecting interconnectedness in volatility markets.</w:t>
      </w:r>
    </w:p>
    <w:p w:rsidR="002132C2" w:rsidRP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F2A25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132C2">
        <w:rPr>
          <w:rFonts w:ascii="Arial" w:hAnsi="Arial" w:cs="Arial"/>
          <w:sz w:val="18"/>
          <w:szCs w:val="18"/>
        </w:rPr>
        <w:t>No causality detected between EVZ and CBI1 in either direction (high p-values).</w:t>
      </w:r>
    </w:p>
    <w:p w:rsidR="002132C2" w:rsidRDefault="002132C2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F55A3" w:rsidRPr="00EF55A3" w:rsidRDefault="00EF55A3" w:rsidP="00EF5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4"/>
        <w:gridCol w:w="1200"/>
        <w:gridCol w:w="1200"/>
        <w:gridCol w:w="1200"/>
        <w:gridCol w:w="1200"/>
        <w:gridCol w:w="1200"/>
        <w:gridCol w:w="1200"/>
        <w:gridCol w:w="1200"/>
      </w:tblGrid>
      <w:tr w:rsidR="00EF55A3" w:rsidRPr="00EF55A3" w:rsidTr="00EF55A3">
        <w:trPr>
          <w:trHeight w:val="204"/>
        </w:trPr>
        <w:tc>
          <w:tcPr>
            <w:tcW w:w="5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 xml:space="preserve"> Vector </w:t>
            </w:r>
            <w:proofErr w:type="spellStart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Autoregression</w:t>
            </w:r>
            <w:proofErr w:type="spellEnd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 xml:space="preserve"> Estimates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 w:rsidTr="00EF55A3">
        <w:trPr>
          <w:trHeight w:val="204"/>
        </w:trPr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Date: 08/25/25   Time: 12:57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 w:rsidTr="00EF55A3">
        <w:trPr>
          <w:trHeight w:val="204"/>
        </w:trPr>
        <w:tc>
          <w:tcPr>
            <w:tcW w:w="5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Sample (adjusted): 5/06/2020 1/24/2025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 w:rsidTr="00EF55A3">
        <w:trPr>
          <w:trHeight w:val="204"/>
        </w:trPr>
        <w:tc>
          <w:tcPr>
            <w:tcW w:w="68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Included observations: 1233 after adjustments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 w:rsidTr="00EF55A3">
        <w:trPr>
          <w:trHeight w:val="204"/>
        </w:trPr>
        <w:tc>
          <w:tcPr>
            <w:tcW w:w="68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Standard errors in ( ) &amp; t-statistics in [ 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CBI1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GBI1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EVZ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GVZ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OVX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VIXIE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VSTOXX</w:t>
            </w:r>
          </w:p>
        </w:tc>
      </w:tr>
      <w:tr w:rsidR="00EF55A3" w:rsidRPr="00EF55A3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CBI1(-1)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-0.043870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0.307255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-1016.563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30.77759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90.76377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394.5125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-23.51475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(0.14176)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(0.15819)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(883.654)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(48.1980)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(162.712)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(172.400)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(94.1830)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[-0.30947]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[ 1.94226]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[-1.15041]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[ 0.63856]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[ 0.55782]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[ 2.28835]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[-0.24967]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CBI1(-2)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0.151253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0.232499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-414.7435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14.60338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33.26408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404.1130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-10.96881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(0.13374)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(0.14925)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(833.675)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(45.4720)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(153.510)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(162.649)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(88.8561)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[ 1.13093]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[ 1.55781]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[-0.49749]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[ 0.32115]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[ 0.21669]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[ 2.48457]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[-0.12344]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GBI1(-1)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0.071282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-0.255502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855.1589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-36.32682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-41.74348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-348.2880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-8.469477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(0.12589)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(0.14048)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(784.700)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(42.8007)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(144.492)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(153.094)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(83.6362)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[ 0.56624]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[-1.81878]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[ 1.08979]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[-0.84874]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[-0.28890]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[-2.27499]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[-0.10127]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GBI1(-2)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-0.092182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-0.169169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439.1709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0.217718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-4.058746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-352.0911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25.42593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(0.12058)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(0.13456)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(751.640)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(40.9975)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(138.404)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(146.644)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(80.1125)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[-0.76447]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[-1.25719]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[ 0.58428]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[ 0.00531]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[-0.02933]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[-2.40099]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[ 0.31738]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EVZ(-1)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-8.16E-08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2.53E-07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0.001163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0.000446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0.000578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0.005031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0.003866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(4.6E-06)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(5.1E-06)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(0.02856)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(0.00156)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(0.00526)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(0.00557)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(0.00304)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[-0.01781]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[ 0.04941]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[ 0.04071]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[ 0.28602]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[ 0.10990]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[ 0.90278]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[ 1.26978]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EVZ(-2)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-8.52E-07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3.31E-07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-0.001277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-0.000985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-0.007794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-0.004305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-0.004771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(4.6E-06)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(5.1E-06)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(0.02856)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(0.00156)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(0.00526)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(0.00557)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(0.00304)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[-0.18601]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[ 0.06466]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[-0.04472]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[-0.63222]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[-1.48218]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[-0.77265]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[-1.56741]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GVZ(-1)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-7.08E-05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-5.09E-05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-0.131393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0.873264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0.103460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0.077758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0.143047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(9.0E-05)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(0.00010)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(0.56302)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(0.03071)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(0.10367)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(0.10984)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(0.06001)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[-0.78331]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[-0.50493]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[-0.23337]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[ 28.4365]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[ 0.99795]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[ 0.70789]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[ 2.38379]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GVZ(-2)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0.000109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9.42E-05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0.186563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0.069518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-0.118249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-0.124209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-0.116482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(9.0E-05)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(0.00010)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(0.56314)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(0.03072)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(0.10369)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(0.10987)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(0.06002)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[ 1.20260]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[ 0.93394]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[ 0.33129]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[ 2.26328]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[-1.14036]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[-1.13054]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[-1.94068]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OVX(-1)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1.30E-05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1.92E-05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-0.515782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-0.010566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0.798073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0.090766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0.015270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(2.7E-05)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(3.0E-05)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(0.16695)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(0.00911)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(0.03074)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(0.03257)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(0.01779)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[ 0.48369]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[ 0.64158]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[-3.08940]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[-1.16029]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[ 25.9605]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[ 2.78662]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[ 0.85813]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OVX(-2)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-7.94E-06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-9.87E-06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0.504180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0.004912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0.113355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-0.093065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-0.006564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(2.6E-05)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(2.9E-05)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(0.16337)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(0.00891)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(0.03008)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(0.03187)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(0.01741)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[-0.30294]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[-0.33758]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[ 3.08605]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[ 0.55121]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[ 3.76806]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[-2.91978]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[-0.37697]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VIXIE(-1)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-7.37E-05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-4.04E-05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0.065589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0.038348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0.096408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1.198969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0.064414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(3.3E-05)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(3.7E-05)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(0.20457)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(0.01116)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(0.03767)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(0.03991)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(0.02180)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[-2.24719]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[-1.10306]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[ 0.32062]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[ 3.43678]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[ 2.55934]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[ 30.0405]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[ 2.95423]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VIXIE(-2)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7.45E-05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4.05E-05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0.010335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-0.039533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-0.089682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-0.216621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-0.062789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(3.3E-05)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(3.6E-05)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(0.20323)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(0.01109)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(0.03742)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(0.03965)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(0.02166)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[ 2.28430]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[ 1.11355]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[ 0.05085]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[-3.56629]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[-2.39650]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[-5.46328]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[-2.89868]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VSTOXX(-1)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-6.38E-05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-8.15E-05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0.671748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-0.008128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0.087539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-0.026624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0.797874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(6.0E-05)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(6.7E-05)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(0.37589)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(0.02050)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(0.06921)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(0.07333)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(0.04006)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[-1.05780]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[-1.21049]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[ 1.78711]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[-0.39642]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[ 1.26476]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[-0.36305]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[ 19.9154]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VSTOXX(-2)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1.39E-05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2.12E-05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-0.716510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0.033949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0.017705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0.044603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0.136269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(5.9E-05)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(6.6E-05)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(0.37076)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(0.02022)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(0.06827)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(0.07234)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(0.03952)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[ 0.23301]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[ 0.31943]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[-1.93254]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[ 1.67876]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[ 0.25934]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[ 0.61661]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[ 3.44835]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0.000185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0.000115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5.538078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0.711587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1.387361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1.184904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0.502253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(0.00041)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(0.00046)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(2.55977)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(0.13962)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(0.47135)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(0.49941)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(0.27283)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[ 0.45165]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[ 0.25066]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[ 2.16351]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[ 5.09659]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[ 2.94340]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[ 2.37261]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[ 1.84090]</w:t>
            </w:r>
          </w:p>
        </w:tc>
      </w:tr>
      <w:tr w:rsidR="00EF55A3" w:rsidRPr="00EF55A3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R-squared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0.028753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0.024057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0.018359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0.928060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0.936766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0.973800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0.927162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Adj. R-squared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0.017589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0.012840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0.007076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0.927233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0.936040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0.973499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0.926324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 xml:space="preserve"> Sum sq. </w:t>
            </w:r>
            <w:proofErr w:type="spellStart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resids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0.007084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0.008821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275240.1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818.8531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9332.304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10476.65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3126.745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S.E. equation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0.002412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0.002691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15.03253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0.819935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2.768030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2.932835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1.602222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F-statistic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2.575585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2.144586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1.627136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1122.334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1288.850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3233.568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1107.427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Log likelihood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5689.858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5554.613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-5083.703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-1497.217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-2997.367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-3068.675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-2323.231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 xml:space="preserve"> AIC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-9.204960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-8.985585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8.270402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2.452907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4.886240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5.001907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3.792750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Schwarz SC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-9.142707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-8.923332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8.332655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2.515160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4.948493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5.064160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3.855003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Mean dependent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1.69E-05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-8.16E-06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8.212206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17.08726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40.92416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41.69676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21.04025</w:t>
            </w:r>
          </w:p>
        </w:tc>
      </w:tr>
      <w:tr w:rsidR="00EF55A3" w:rsidRPr="00EF55A3">
        <w:trPr>
          <w:trHeight w:val="20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S.D. dependent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0.002433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0.002709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15.08600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3.039563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10.94498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18.01575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5.902841</w:t>
            </w:r>
          </w:p>
        </w:tc>
      </w:tr>
      <w:tr w:rsidR="00EF55A3" w:rsidRPr="00EF55A3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 w:rsidTr="00EF55A3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 xml:space="preserve"> Determinant </w:t>
            </w:r>
            <w:proofErr w:type="spellStart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 xml:space="preserve"> covariance (</w:t>
            </w:r>
            <w:proofErr w:type="spellStart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dof</w:t>
            </w:r>
            <w:proofErr w:type="spellEnd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 xml:space="preserve"> adj.)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1.66E-08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 w:rsidTr="00EF55A3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 xml:space="preserve"> Determinant </w:t>
            </w:r>
            <w:proofErr w:type="spellStart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 xml:space="preserve"> covariance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1.52E-08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 w:rsidTr="00EF55A3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Log likelihood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-1150.605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 w:rsidTr="00EF55A3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information criterion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2.036667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 w:rsidTr="00EF55A3">
        <w:trPr>
          <w:trHeight w:val="204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Schwarz criterion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55A3">
              <w:rPr>
                <w:rFonts w:ascii="Arial" w:hAnsi="Arial" w:cs="Arial"/>
                <w:color w:val="000000"/>
                <w:sz w:val="18"/>
                <w:szCs w:val="18"/>
              </w:rPr>
              <w:t> 2.472439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hRule="exact" w:val="81"/>
        </w:trPr>
        <w:tc>
          <w:tcPr>
            <w:tcW w:w="203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55A3" w:rsidRPr="00EF55A3">
        <w:trPr>
          <w:trHeight w:hRule="exact" w:val="122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5A3" w:rsidRPr="00EF55A3" w:rsidRDefault="00EF55A3" w:rsidP="00EF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132C2" w:rsidRDefault="00EF55A3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F55A3">
        <w:rPr>
          <w:rFonts w:ascii="Arial" w:hAnsi="Arial" w:cs="Arial"/>
          <w:sz w:val="18"/>
          <w:szCs w:val="18"/>
        </w:rPr>
        <w:br/>
      </w:r>
      <w:r w:rsidR="0048412C" w:rsidRPr="0048412C">
        <w:rPr>
          <w:rFonts w:ascii="Arial" w:hAnsi="Arial" w:cs="Arial"/>
          <w:sz w:val="18"/>
          <w:szCs w:val="18"/>
        </w:rPr>
        <w:t>R-squared for GVZ is very high (0.928), meaning the lags explain most of the variation in GVZ.</w:t>
      </w:r>
    </w:p>
    <w:p w:rsidR="0048412C" w:rsidRDefault="0048412C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66C88" w:rsidRDefault="00466C88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Impulse Response</w:t>
      </w:r>
    </w:p>
    <w:bookmarkStart w:id="0" w:name="_GoBack"/>
    <w:p w:rsidR="00466C88" w:rsidRPr="002132C2" w:rsidRDefault="00A16ABD" w:rsidP="00213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object w:dxaOrig="10309" w:dyaOrig="7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9.8pt;height:483pt" o:ole="">
            <v:imagedata r:id="rId4" o:title=""/>
          </v:shape>
          <o:OLEObject Type="Embed" ProgID="Unknown" ShapeID="_x0000_i1025" DrawAspect="Content" ObjectID="_1817632917" r:id="rId5"/>
        </w:object>
      </w:r>
      <w:bookmarkEnd w:id="0"/>
    </w:p>
    <w:sectPr w:rsidR="00466C88" w:rsidRPr="002132C2" w:rsidSect="00466C88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00"/>
    <w:rsid w:val="00027067"/>
    <w:rsid w:val="002132C2"/>
    <w:rsid w:val="003F2A25"/>
    <w:rsid w:val="00466C88"/>
    <w:rsid w:val="0048412C"/>
    <w:rsid w:val="00A16ABD"/>
    <w:rsid w:val="00C3008F"/>
    <w:rsid w:val="00CF0100"/>
    <w:rsid w:val="00E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37A73-01DC-4CE9-B72A-6E9A3990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akamil</dc:creator>
  <cp:keywords/>
  <dc:description/>
  <cp:lastModifiedBy>akamil</cp:lastModifiedBy>
  <cp:revision>3</cp:revision>
  <dcterms:created xsi:type="dcterms:W3CDTF">2025-08-25T09:10:00Z</dcterms:created>
  <dcterms:modified xsi:type="dcterms:W3CDTF">2025-08-25T10:16:00Z</dcterms:modified>
</cp:coreProperties>
</file>