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A082" w14:textId="77777777" w:rsidR="004A2FFD" w:rsidRDefault="004A2FFD" w:rsidP="004A2FFD">
      <w:pPr>
        <w:pStyle w:val="Heading2"/>
      </w:pPr>
      <w:r>
        <w:t>Appendix</w:t>
      </w:r>
    </w:p>
    <w:tbl>
      <w:tblPr>
        <w:tblStyle w:val="TableGrid"/>
        <w:tblW w:w="5000" w:type="pct"/>
        <w:tblCellMar>
          <w:left w:w="57" w:type="dxa"/>
          <w:right w:w="57" w:type="dxa"/>
        </w:tblCellMar>
        <w:tblLook w:val="04A0" w:firstRow="1" w:lastRow="0" w:firstColumn="1" w:lastColumn="0" w:noHBand="0" w:noVBand="1"/>
      </w:tblPr>
      <w:tblGrid>
        <w:gridCol w:w="3398"/>
        <w:gridCol w:w="1985"/>
        <w:gridCol w:w="3633"/>
      </w:tblGrid>
      <w:tr w:rsidR="004A2FFD" w:rsidRPr="006D0CB6" w14:paraId="77653AFB" w14:textId="77777777" w:rsidTr="00FF5991">
        <w:tc>
          <w:tcPr>
            <w:tcW w:w="5000" w:type="pct"/>
            <w:gridSpan w:val="3"/>
            <w:tcBorders>
              <w:bottom w:val="single" w:sz="4" w:space="0" w:color="auto"/>
            </w:tcBorders>
          </w:tcPr>
          <w:p w14:paraId="43BE5239" w14:textId="77777777" w:rsidR="004A2FFD" w:rsidRPr="006D0CB6" w:rsidRDefault="004A2FFD" w:rsidP="00FF5991">
            <w:pPr>
              <w:suppressLineNumbers/>
              <w:spacing w:line="360" w:lineRule="auto"/>
              <w:jc w:val="center"/>
              <w:rPr>
                <w:rFonts w:ascii="Aptos Narrow" w:hAnsi="Aptos Narrow" w:cs="Times New Roman"/>
                <w:b/>
                <w:bCs/>
                <w:u w:val="single"/>
              </w:rPr>
            </w:pPr>
            <w:r>
              <w:rPr>
                <w:rFonts w:ascii="Aptos Narrow" w:hAnsi="Aptos Narrow" w:cs="Times New Roman"/>
                <w:b/>
                <w:bCs/>
                <w:u w:val="single"/>
              </w:rPr>
              <w:t xml:space="preserve">Supplementary </w:t>
            </w:r>
            <w:r w:rsidRPr="006D0CB6">
              <w:rPr>
                <w:rFonts w:ascii="Aptos Narrow" w:hAnsi="Aptos Narrow" w:cs="Times New Roman"/>
                <w:b/>
                <w:bCs/>
                <w:u w:val="single"/>
              </w:rPr>
              <w:t xml:space="preserve">Table </w:t>
            </w:r>
            <w:r>
              <w:rPr>
                <w:rFonts w:ascii="Aptos Narrow" w:hAnsi="Aptos Narrow" w:cs="Times New Roman"/>
                <w:b/>
                <w:bCs/>
                <w:u w:val="single"/>
              </w:rPr>
              <w:t>1</w:t>
            </w:r>
            <w:r w:rsidRPr="006D0CB6">
              <w:rPr>
                <w:rFonts w:ascii="Aptos Narrow" w:hAnsi="Aptos Narrow" w:cs="Times New Roman"/>
                <w:b/>
                <w:bCs/>
                <w:u w:val="single"/>
              </w:rPr>
              <w:t xml:space="preserve">: WHO guidance on the management of neonates based on the possible Signs of Bacterial Infections (pSBI) </w:t>
            </w:r>
            <w:r>
              <w:rPr>
                <w:rFonts w:ascii="Aptos Narrow" w:hAnsi="Aptos Narrow" w:cs="Times New Roman"/>
                <w:b/>
                <w:bCs/>
                <w:u w:val="single"/>
              </w:rPr>
              <w:fldChar w:fldCharType="begin"/>
            </w:r>
            <w:r>
              <w:rPr>
                <w:rFonts w:ascii="Aptos Narrow" w:hAnsi="Aptos Narrow" w:cs="Times New Roman"/>
                <w:b/>
                <w:bCs/>
                <w:u w:val="single"/>
              </w:rPr>
              <w:instrText xml:space="preserve"> ADDIN EN.CITE &lt;EndNote&gt;&lt;Cite&gt;&lt;Author&gt;World Health Organization&lt;/Author&gt;&lt;Year&gt;2015&lt;/Year&gt;&lt;RecNum&gt;19&lt;/RecNum&gt;&lt;DisplayText&gt;[14]&lt;/DisplayText&gt;&lt;record&gt;&lt;rec-number&gt;19&lt;/rec-number&gt;&lt;foreign-keys&gt;&lt;key app="EN" db-id="vpwedz0wptesv2ew25fpst0arxr9xx552vd2" timestamp="1765976373"&gt;19&lt;/key&gt;&lt;/foreign-keys&gt;&lt;ref-type name="Report"&gt;27&lt;/ref-type&gt;&lt;contributors&gt;&lt;authors&gt;&lt;author&gt;World Health Organization,&lt;/author&gt;&lt;/authors&gt;&lt;tertiary-authors&gt;&lt;author&gt;World Health Organisation&lt;/author&gt;&lt;/tertiary-authors&gt;&lt;/contributors&gt;&lt;titles&gt;&lt;title&gt;Guideline: Managing possible serious bacterial infection in young infants when referral is not feasible&lt;/title&gt;&lt;/titles&gt;&lt;dates&gt;&lt;year&gt;2015&lt;/year&gt;&lt;pub-dates&gt;&lt;date&gt;2025&lt;/date&gt;&lt;/pub-dates&gt;&lt;/dates&gt;&lt;pub-location&gt;Geneva&lt;/pub-location&gt;&lt;publisher&gt;World Health Organisation&lt;/publisher&gt;&lt;urls&gt;&lt;/urls&gt;&lt;/record&gt;&lt;/Cite&gt;&lt;/EndNote&gt;</w:instrText>
            </w:r>
            <w:r>
              <w:rPr>
                <w:rFonts w:ascii="Aptos Narrow" w:hAnsi="Aptos Narrow" w:cs="Times New Roman"/>
                <w:b/>
                <w:bCs/>
                <w:u w:val="single"/>
              </w:rPr>
              <w:fldChar w:fldCharType="separate"/>
            </w:r>
            <w:r>
              <w:rPr>
                <w:rFonts w:ascii="Aptos Narrow" w:hAnsi="Aptos Narrow" w:cs="Times New Roman"/>
                <w:b/>
                <w:bCs/>
                <w:noProof/>
                <w:u w:val="single"/>
              </w:rPr>
              <w:t>[14]</w:t>
            </w:r>
            <w:r>
              <w:rPr>
                <w:rFonts w:ascii="Aptos Narrow" w:hAnsi="Aptos Narrow" w:cs="Times New Roman"/>
                <w:b/>
                <w:bCs/>
                <w:u w:val="single"/>
              </w:rPr>
              <w:fldChar w:fldCharType="end"/>
            </w:r>
          </w:p>
        </w:tc>
      </w:tr>
      <w:tr w:rsidR="004A2FFD" w:rsidRPr="006D0CB6" w14:paraId="3A57AEA0" w14:textId="77777777" w:rsidTr="00FF5991">
        <w:tc>
          <w:tcPr>
            <w:tcW w:w="1884" w:type="pct"/>
            <w:tcBorders>
              <w:bottom w:val="single" w:sz="4" w:space="0" w:color="auto"/>
            </w:tcBorders>
          </w:tcPr>
          <w:p w14:paraId="0194B888" w14:textId="77777777" w:rsidR="004A2FFD" w:rsidRPr="006D0CB6" w:rsidRDefault="004A2FFD" w:rsidP="00FF5991">
            <w:pPr>
              <w:suppressLineNumbers/>
              <w:spacing w:line="360" w:lineRule="auto"/>
              <w:jc w:val="both"/>
              <w:rPr>
                <w:rFonts w:ascii="Aptos Narrow" w:hAnsi="Aptos Narrow" w:cs="Times New Roman"/>
                <w:b/>
                <w:bCs/>
              </w:rPr>
            </w:pPr>
            <w:r>
              <w:rPr>
                <w:rFonts w:ascii="Aptos Narrow" w:hAnsi="Aptos Narrow" w:cs="Times New Roman"/>
                <w:b/>
                <w:bCs/>
              </w:rPr>
              <w:t xml:space="preserve">WHO </w:t>
            </w:r>
            <w:r w:rsidRPr="006D0CB6">
              <w:rPr>
                <w:rFonts w:ascii="Aptos Narrow" w:hAnsi="Aptos Narrow" w:cs="Times New Roman"/>
                <w:b/>
                <w:bCs/>
              </w:rPr>
              <w:t>Classification</w:t>
            </w:r>
          </w:p>
        </w:tc>
        <w:tc>
          <w:tcPr>
            <w:tcW w:w="1101" w:type="pct"/>
          </w:tcPr>
          <w:p w14:paraId="4177EAEF" w14:textId="77777777" w:rsidR="004A2FFD" w:rsidRPr="006D0CB6" w:rsidRDefault="004A2FFD" w:rsidP="00FF5991">
            <w:pPr>
              <w:suppressLineNumbers/>
              <w:spacing w:line="360" w:lineRule="auto"/>
              <w:jc w:val="both"/>
              <w:rPr>
                <w:rFonts w:ascii="Aptos Narrow" w:hAnsi="Aptos Narrow" w:cs="Times New Roman"/>
                <w:b/>
                <w:bCs/>
              </w:rPr>
            </w:pPr>
            <w:r w:rsidRPr="006D0CB6">
              <w:rPr>
                <w:rFonts w:ascii="Aptos Narrow" w:hAnsi="Aptos Narrow" w:cs="Times New Roman"/>
                <w:b/>
                <w:bCs/>
              </w:rPr>
              <w:t xml:space="preserve">Characteristics </w:t>
            </w:r>
          </w:p>
        </w:tc>
        <w:tc>
          <w:tcPr>
            <w:tcW w:w="2015" w:type="pct"/>
          </w:tcPr>
          <w:p w14:paraId="307CAF23" w14:textId="77777777" w:rsidR="004A2FFD" w:rsidRPr="006D0CB6" w:rsidRDefault="004A2FFD" w:rsidP="00FF5991">
            <w:pPr>
              <w:suppressLineNumbers/>
              <w:spacing w:line="360" w:lineRule="auto"/>
              <w:jc w:val="both"/>
              <w:rPr>
                <w:rFonts w:ascii="Aptos Narrow" w:hAnsi="Aptos Narrow" w:cs="Times New Roman"/>
                <w:b/>
                <w:bCs/>
              </w:rPr>
            </w:pPr>
            <w:r w:rsidRPr="006D0CB6">
              <w:rPr>
                <w:rFonts w:ascii="Aptos Narrow" w:hAnsi="Aptos Narrow" w:cs="Times New Roman"/>
                <w:b/>
                <w:bCs/>
              </w:rPr>
              <w:t>Antibiotic Recommendation</w:t>
            </w:r>
          </w:p>
        </w:tc>
      </w:tr>
      <w:tr w:rsidR="004A2FFD" w:rsidRPr="006D0CB6" w14:paraId="206FFDC2" w14:textId="77777777" w:rsidTr="00FF5991">
        <w:tc>
          <w:tcPr>
            <w:tcW w:w="1884" w:type="pct"/>
            <w:vMerge w:val="restart"/>
          </w:tcPr>
          <w:p w14:paraId="50D312F4"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Fast breathing (Respiratory rate ≥ 60 breaths/min) as the only sign of illness</w:t>
            </w:r>
          </w:p>
        </w:tc>
        <w:tc>
          <w:tcPr>
            <w:tcW w:w="1101" w:type="pct"/>
          </w:tcPr>
          <w:p w14:paraId="4C8B0AE2"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0-6 days old</w:t>
            </w:r>
          </w:p>
        </w:tc>
        <w:tc>
          <w:tcPr>
            <w:tcW w:w="2015" w:type="pct"/>
          </w:tcPr>
          <w:p w14:paraId="0D2D5DB1"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Oral amoxicillin (50 mg/kg per dose, twice daily) for 7 days.</w:t>
            </w:r>
          </w:p>
        </w:tc>
      </w:tr>
      <w:tr w:rsidR="004A2FFD" w:rsidRPr="006D0CB6" w14:paraId="552C4670" w14:textId="77777777" w:rsidTr="00FF5991">
        <w:tc>
          <w:tcPr>
            <w:tcW w:w="1884" w:type="pct"/>
            <w:vMerge/>
          </w:tcPr>
          <w:p w14:paraId="0366C6A2" w14:textId="77777777" w:rsidR="004A2FFD" w:rsidRPr="006D0CB6" w:rsidRDefault="004A2FFD" w:rsidP="00FF5991">
            <w:pPr>
              <w:suppressLineNumbers/>
              <w:spacing w:line="360" w:lineRule="auto"/>
              <w:jc w:val="both"/>
              <w:rPr>
                <w:rFonts w:ascii="Aptos Narrow" w:hAnsi="Aptos Narrow" w:cs="Times New Roman"/>
              </w:rPr>
            </w:pPr>
          </w:p>
        </w:tc>
        <w:tc>
          <w:tcPr>
            <w:tcW w:w="1101" w:type="pct"/>
          </w:tcPr>
          <w:p w14:paraId="18DEEF73"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7-59 days old</w:t>
            </w:r>
          </w:p>
        </w:tc>
        <w:tc>
          <w:tcPr>
            <w:tcW w:w="2015" w:type="pct"/>
          </w:tcPr>
          <w:p w14:paraId="3B94C3E7"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Oral amoxicillin (50 mg/kg per dose, twice daily) for 7 days.</w:t>
            </w:r>
          </w:p>
        </w:tc>
      </w:tr>
      <w:tr w:rsidR="004A2FFD" w:rsidRPr="006D0CB6" w14:paraId="26BC53FE" w14:textId="77777777" w:rsidTr="00FF5991">
        <w:tc>
          <w:tcPr>
            <w:tcW w:w="1884" w:type="pct"/>
          </w:tcPr>
          <w:p w14:paraId="1E972882"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Clinical Severe Infection: at least one sign of severe infection e.g. movement only when stimulated, not feeding well, fever (≥ 38°C) or hypothermia (&lt; 35.5°C) and severe chest in-drawing)</w:t>
            </w:r>
          </w:p>
        </w:tc>
        <w:tc>
          <w:tcPr>
            <w:tcW w:w="1101" w:type="pct"/>
          </w:tcPr>
          <w:p w14:paraId="27F9B355"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0-59 days old</w:t>
            </w:r>
          </w:p>
        </w:tc>
        <w:tc>
          <w:tcPr>
            <w:tcW w:w="2015" w:type="pct"/>
          </w:tcPr>
          <w:p w14:paraId="31618EE2"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IM Gentamicin (5–7.5 mg/kg once daily for 7 days) + Oral Amoxicillin (50 mg/kg per dose, twice daily for 7 days)</w:t>
            </w:r>
          </w:p>
          <w:p w14:paraId="06B34720"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Alternative: IM Gentamicin (5–7.5 mg/kg once daily for 2 days) + Oral Amoxicillin (50 mg/kg per dose, twice daily for 7 days)</w:t>
            </w:r>
          </w:p>
        </w:tc>
      </w:tr>
      <w:tr w:rsidR="004A2FFD" w:rsidRPr="006D0CB6" w14:paraId="0D557164" w14:textId="77777777" w:rsidTr="00FF5991">
        <w:tc>
          <w:tcPr>
            <w:tcW w:w="1884" w:type="pct"/>
          </w:tcPr>
          <w:p w14:paraId="21EF080C"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Critical Illness: Presence of any of the following signs: convulsions, unable to feed at all, no movement on stimulation, unable to cry, bulging fontanelle, cyanosis.</w:t>
            </w:r>
          </w:p>
        </w:tc>
        <w:tc>
          <w:tcPr>
            <w:tcW w:w="1101" w:type="pct"/>
          </w:tcPr>
          <w:p w14:paraId="6A1486DA"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0-59 days</w:t>
            </w:r>
          </w:p>
        </w:tc>
        <w:tc>
          <w:tcPr>
            <w:tcW w:w="2015" w:type="pct"/>
          </w:tcPr>
          <w:p w14:paraId="308658E0"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 xml:space="preserve">IM Ampicillin (twice daily) + IM Gentamicin (5–7.5 mg/kg once daily) </w:t>
            </w:r>
          </w:p>
          <w:p w14:paraId="2D0C50A2"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 xml:space="preserve"> Alternative: IM Ceftriaxone (once daily) ± IM Gentamicin (once daily)</w:t>
            </w:r>
          </w:p>
          <w:p w14:paraId="4C7E26BA"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 xml:space="preserve"> Alternative: IM Benzyl Penicillin (twice daily) + IM Gentamicin (once daily)</w:t>
            </w:r>
          </w:p>
          <w:p w14:paraId="1EA0792D" w14:textId="77777777" w:rsidR="004A2FFD" w:rsidRPr="006D0CB6" w:rsidRDefault="004A2FFD" w:rsidP="00FF5991">
            <w:pPr>
              <w:suppressLineNumbers/>
              <w:spacing w:line="360" w:lineRule="auto"/>
              <w:jc w:val="both"/>
              <w:rPr>
                <w:rFonts w:ascii="Aptos Narrow" w:hAnsi="Aptos Narrow" w:cs="Times New Roman"/>
              </w:rPr>
            </w:pPr>
            <w:r w:rsidRPr="006D0CB6">
              <w:rPr>
                <w:rFonts w:ascii="Aptos Narrow" w:hAnsi="Aptos Narrow" w:cs="Times New Roman"/>
              </w:rPr>
              <w:t>Alternative: IM Procaine Penicillin (once daily) + IM Gentamicin (once daily)</w:t>
            </w:r>
          </w:p>
        </w:tc>
      </w:tr>
      <w:tr w:rsidR="004A2FFD" w:rsidRPr="006D0CB6" w14:paraId="6E01621F" w14:textId="77777777" w:rsidTr="00FF5991">
        <w:tc>
          <w:tcPr>
            <w:tcW w:w="5000" w:type="pct"/>
            <w:gridSpan w:val="3"/>
          </w:tcPr>
          <w:p w14:paraId="21EBCC17" w14:textId="77777777" w:rsidR="004A2FFD" w:rsidRPr="00CD185C" w:rsidRDefault="004A2FFD" w:rsidP="00FF5991">
            <w:pPr>
              <w:suppressLineNumbers/>
              <w:spacing w:line="360" w:lineRule="auto"/>
              <w:jc w:val="both"/>
              <w:rPr>
                <w:rFonts w:ascii="Aptos Narrow" w:hAnsi="Aptos Narrow" w:cs="Times New Roman"/>
                <w:b/>
                <w:bCs/>
                <w:u w:val="single"/>
              </w:rPr>
            </w:pPr>
            <w:r w:rsidRPr="006D0CB6">
              <w:rPr>
                <w:rFonts w:ascii="Aptos Narrow" w:hAnsi="Aptos Narrow" w:cs="Times New Roman"/>
              </w:rPr>
              <w:t xml:space="preserve">Note: </w:t>
            </w:r>
            <w:r w:rsidRPr="006D0CB6">
              <w:rPr>
                <w:rFonts w:ascii="Aptos Narrow" w:hAnsi="Aptos Narrow" w:cs="Times New Roman"/>
                <w:b/>
                <w:bCs/>
                <w:u w:val="single"/>
              </w:rPr>
              <w:t>(</w:t>
            </w:r>
            <w:r w:rsidRPr="00F171DE">
              <w:rPr>
                <w:rFonts w:ascii="Aptos Narrow" w:hAnsi="Aptos Narrow" w:cs="Times New Roman"/>
                <w:b/>
                <w:bCs/>
                <w:u w:val="single"/>
              </w:rPr>
              <w:t>World Health Organization. (2015)</w:t>
            </w:r>
            <w:r>
              <w:rPr>
                <w:rFonts w:ascii="Aptos Narrow" w:hAnsi="Aptos Narrow" w:cs="Times New Roman"/>
                <w:b/>
                <w:bCs/>
                <w:u w:val="single"/>
              </w:rPr>
              <w:t xml:space="preserve"> </w:t>
            </w:r>
            <w:r w:rsidRPr="00CD185C">
              <w:rPr>
                <w:rFonts w:ascii="Aptos Narrow" w:hAnsi="Aptos Narrow" w:cs="Times New Roman"/>
                <w:b/>
                <w:bCs/>
                <w:u w:val="single"/>
              </w:rPr>
              <w:t>“GUIDELINE</w:t>
            </w:r>
            <w:r>
              <w:rPr>
                <w:rFonts w:ascii="Aptos Narrow" w:hAnsi="Aptos Narrow" w:cs="Times New Roman"/>
                <w:b/>
                <w:bCs/>
                <w:u w:val="single"/>
              </w:rPr>
              <w:t>:</w:t>
            </w:r>
            <w:r w:rsidRPr="00CD185C">
              <w:rPr>
                <w:rFonts w:ascii="Aptos Narrow" w:hAnsi="Aptos Narrow" w:cs="Times New Roman"/>
                <w:b/>
                <w:bCs/>
                <w:u w:val="single"/>
              </w:rPr>
              <w:t xml:space="preserve"> Managing possible serious bacterial infection in young infants when referral is not feasible.”</w:t>
            </w:r>
            <w:r w:rsidRPr="006D0CB6">
              <w:rPr>
                <w:rFonts w:ascii="Aptos Narrow" w:hAnsi="Aptos Narrow" w:cs="Times New Roman"/>
                <w:b/>
                <w:bCs/>
                <w:u w:val="single"/>
              </w:rPr>
              <w:t>)</w:t>
            </w:r>
          </w:p>
        </w:tc>
      </w:tr>
    </w:tbl>
    <w:p w14:paraId="461E4250" w14:textId="77777777" w:rsidR="004A2FFD" w:rsidRDefault="004A2FFD" w:rsidP="004A2FFD">
      <w:pPr>
        <w:suppressLineNumbers/>
      </w:pPr>
    </w:p>
    <w:p w14:paraId="11E2C511" w14:textId="77777777" w:rsidR="004A2FFD" w:rsidRDefault="004A2FFD" w:rsidP="004A2FFD">
      <w:pPr>
        <w:suppressLineNumbers/>
      </w:pPr>
    </w:p>
    <w:p w14:paraId="43AED406" w14:textId="77777777" w:rsidR="004A2FFD" w:rsidRDefault="004A2FFD" w:rsidP="004A2FFD">
      <w:r>
        <w:br w:type="page"/>
      </w:r>
    </w:p>
    <w:p w14:paraId="2508C286" w14:textId="77777777" w:rsidR="004A2FFD" w:rsidRDefault="004A2FFD" w:rsidP="004A2FFD">
      <w:pPr>
        <w:suppressLineNumbers/>
      </w:pPr>
    </w:p>
    <w:tbl>
      <w:tblPr>
        <w:tblStyle w:val="TableGrid"/>
        <w:tblW w:w="0" w:type="auto"/>
        <w:tblLook w:val="04A0" w:firstRow="1" w:lastRow="0" w:firstColumn="1" w:lastColumn="0" w:noHBand="0" w:noVBand="1"/>
      </w:tblPr>
      <w:tblGrid>
        <w:gridCol w:w="562"/>
        <w:gridCol w:w="3261"/>
        <w:gridCol w:w="5193"/>
      </w:tblGrid>
      <w:tr w:rsidR="004A2FFD" w:rsidRPr="00AB65FC" w14:paraId="1DA8DFFD" w14:textId="77777777" w:rsidTr="00FF5991">
        <w:tc>
          <w:tcPr>
            <w:tcW w:w="9016" w:type="dxa"/>
            <w:gridSpan w:val="3"/>
          </w:tcPr>
          <w:p w14:paraId="5C1B4813" w14:textId="77777777" w:rsidR="004A2FFD" w:rsidRPr="00AB65FC" w:rsidRDefault="004A2FFD" w:rsidP="00FF5991">
            <w:pPr>
              <w:suppressLineNumbers/>
              <w:spacing w:line="276" w:lineRule="auto"/>
              <w:jc w:val="both"/>
              <w:rPr>
                <w:rFonts w:ascii="Aptos Narrow" w:hAnsi="Aptos Narrow"/>
                <w:b/>
                <w:bCs/>
              </w:rPr>
            </w:pPr>
            <w:r>
              <w:rPr>
                <w:rFonts w:ascii="Aptos Narrow" w:hAnsi="Aptos Narrow"/>
                <w:b/>
                <w:bCs/>
              </w:rPr>
              <w:t xml:space="preserve">Supplementary </w:t>
            </w:r>
            <w:r w:rsidRPr="00AB65FC">
              <w:rPr>
                <w:rFonts w:ascii="Aptos Narrow" w:hAnsi="Aptos Narrow"/>
                <w:b/>
                <w:bCs/>
              </w:rPr>
              <w:t>Table 2: Latent class analysis model performance metrics</w:t>
            </w:r>
            <w:r>
              <w:rPr>
                <w:rFonts w:ascii="Aptos Narrow" w:hAnsi="Aptos Narrow"/>
                <w:b/>
                <w:bCs/>
              </w:rPr>
              <w:t xml:space="preserve"> (</w:t>
            </w:r>
            <w:r>
              <w:rPr>
                <w:rFonts w:ascii="Aptos Narrow" w:hAnsi="Aptos Narrow"/>
                <w:b/>
                <w:bCs/>
              </w:rPr>
              <w:fldChar w:fldCharType="begin"/>
            </w:r>
            <w:r>
              <w:rPr>
                <w:rFonts w:ascii="Aptos Narrow" w:hAnsi="Aptos Narrow"/>
                <w:b/>
                <w:bCs/>
              </w:rPr>
              <w:instrText xml:space="preserve"> ADDIN EN.CITE &lt;EndNote&gt;&lt;Cite&gt;&lt;Author&gt;Lo&lt;/Author&gt;&lt;Year&gt;2001&lt;/Year&gt;&lt;RecNum&gt;71&lt;/RecNum&gt;&lt;DisplayText&gt;[55, 56]&lt;/DisplayText&gt;&lt;record&gt;&lt;rec-number&gt;71&lt;/rec-number&gt;&lt;foreign-keys&gt;&lt;key app="EN" db-id="vpwedz0wptesv2ew25fpst0arxr9xx552vd2" timestamp="1765976374"&gt;71&lt;/key&gt;&lt;/foreign-keys&gt;&lt;ref-type name="Journal Article"&gt;17&lt;/ref-type&gt;&lt;contributors&gt;&lt;authors&gt;&lt;author&gt;Lo, Yungtai, &lt;/author&gt;&lt;author&gt;Nancy R. Mendell, &lt;/author&gt;&lt;author&gt;Donald B. Rubin          &lt;/author&gt;&lt;/authors&gt;&lt;/contributors&gt;&lt;titles&gt;&lt;title&gt;Testing the number of components in a normal mixture&lt;/title&gt;&lt;secondary-title&gt;Biometrika&lt;/secondary-title&gt;&lt;/titles&gt;&lt;periodical&gt;&lt;full-title&gt;Biometrika&lt;/full-title&gt;&lt;/periodical&gt;&lt;pages&gt;767-778&lt;/pages&gt;&lt;volume&gt;88&lt;/volume&gt;&lt;number&gt;3&lt;/number&gt;&lt;dates&gt;&lt;year&gt;2001&lt;/year&gt;&lt;/dates&gt;&lt;urls&gt;&lt;/urls&gt;&lt;electronic-resource-num&gt;10.1093/biomet/88.3.767&lt;/electronic-resource-num&gt;&lt;/record&gt;&lt;/Cite&gt;&lt;Cite&gt;&lt;Author&gt;Nylund-Gibson&lt;/Author&gt;&lt;Year&gt;2018&lt;/Year&gt;&lt;RecNum&gt;73&lt;/RecNum&gt;&lt;record&gt;&lt;rec-number&gt;73&lt;/rec-number&gt;&lt;foreign-keys&gt;&lt;key app="EN" db-id="vpwedz0wptesv2ew25fpst0arxr9xx552vd2" timestamp="1765976374"&gt;73&lt;/key&gt;&lt;/foreign-keys&gt;&lt;ref-type name="Journal Article"&gt;17&lt;/ref-type&gt;&lt;contributors&gt;&lt;authors&gt;&lt;author&gt;Nylund-Gibson, Karen&lt;/author&gt;&lt;author&gt;Choi, Andrew Young&lt;/author&gt;&lt;/authors&gt;&lt;/contributors&gt;&lt;titles&gt;&lt;title&gt;Ten frequently asked questions about latent class analysis.&lt;/title&gt;&lt;secondary-title&gt;Translational issues in psychological science&lt;/secondary-title&gt;&lt;/titles&gt;&lt;periodical&gt;&lt;full-title&gt;Translational issues in psychological science&lt;/full-title&gt;&lt;/periodical&gt;&lt;pages&gt;440-461&lt;/pages&gt;&lt;volume&gt;4&lt;/volume&gt;&lt;number&gt;4&lt;/number&gt;&lt;dates&gt;&lt;year&gt;2018&lt;/year&gt;&lt;/dates&gt;&lt;urls&gt;&lt;/urls&gt;&lt;electronic-resource-num&gt;10.1037/tps0000176&lt;/electronic-resource-num&gt;&lt;/record&gt;&lt;/Cite&gt;&lt;/EndNote&gt;</w:instrText>
            </w:r>
            <w:r>
              <w:rPr>
                <w:rFonts w:ascii="Aptos Narrow" w:hAnsi="Aptos Narrow"/>
                <w:b/>
                <w:bCs/>
              </w:rPr>
              <w:fldChar w:fldCharType="separate"/>
            </w:r>
            <w:r>
              <w:rPr>
                <w:rFonts w:ascii="Aptos Narrow" w:hAnsi="Aptos Narrow"/>
                <w:b/>
                <w:bCs/>
                <w:noProof/>
              </w:rPr>
              <w:t>[55, 56]</w:t>
            </w:r>
            <w:r>
              <w:rPr>
                <w:rFonts w:ascii="Aptos Narrow" w:hAnsi="Aptos Narrow"/>
                <w:b/>
                <w:bCs/>
              </w:rPr>
              <w:fldChar w:fldCharType="end"/>
            </w:r>
            <w:r>
              <w:rPr>
                <w:rFonts w:ascii="Aptos Narrow" w:hAnsi="Aptos Narrow"/>
                <w:b/>
                <w:bCs/>
              </w:rPr>
              <w:t>)</w:t>
            </w:r>
          </w:p>
        </w:tc>
      </w:tr>
      <w:tr w:rsidR="004A2FFD" w:rsidRPr="00AB65FC" w14:paraId="1DEF1985" w14:textId="77777777" w:rsidTr="00FF5991">
        <w:tc>
          <w:tcPr>
            <w:tcW w:w="562" w:type="dxa"/>
          </w:tcPr>
          <w:p w14:paraId="72A5B3A4" w14:textId="77777777" w:rsidR="004A2FFD" w:rsidRPr="00AB65FC" w:rsidRDefault="004A2FFD" w:rsidP="00FF5991">
            <w:pPr>
              <w:suppressLineNumbers/>
              <w:spacing w:line="276" w:lineRule="auto"/>
              <w:jc w:val="both"/>
              <w:rPr>
                <w:rFonts w:ascii="Aptos Narrow" w:hAnsi="Aptos Narrow"/>
              </w:rPr>
            </w:pPr>
          </w:p>
        </w:tc>
        <w:tc>
          <w:tcPr>
            <w:tcW w:w="3261" w:type="dxa"/>
          </w:tcPr>
          <w:p w14:paraId="59E98666"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Metric</w:t>
            </w:r>
          </w:p>
        </w:tc>
        <w:tc>
          <w:tcPr>
            <w:tcW w:w="5193" w:type="dxa"/>
          </w:tcPr>
          <w:p w14:paraId="6ED5DF94"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Definition</w:t>
            </w:r>
          </w:p>
        </w:tc>
      </w:tr>
      <w:tr w:rsidR="004A2FFD" w:rsidRPr="00AB65FC" w14:paraId="14461EE5" w14:textId="77777777" w:rsidTr="00FF5991">
        <w:tc>
          <w:tcPr>
            <w:tcW w:w="562" w:type="dxa"/>
          </w:tcPr>
          <w:p w14:paraId="78B2B464"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1.</w:t>
            </w:r>
          </w:p>
        </w:tc>
        <w:tc>
          <w:tcPr>
            <w:tcW w:w="3261" w:type="dxa"/>
          </w:tcPr>
          <w:p w14:paraId="7ABF5F8E" w14:textId="77777777" w:rsidR="004A2FFD" w:rsidRPr="00AB65FC" w:rsidRDefault="004A2FFD" w:rsidP="00FF5991">
            <w:pPr>
              <w:suppressLineNumbers/>
              <w:spacing w:line="276" w:lineRule="auto"/>
              <w:rPr>
                <w:rFonts w:ascii="Aptos Narrow" w:hAnsi="Aptos Narrow"/>
              </w:rPr>
            </w:pPr>
            <w:r w:rsidRPr="00AB65FC">
              <w:rPr>
                <w:rFonts w:ascii="Aptos Narrow" w:hAnsi="Aptos Narrow"/>
              </w:rPr>
              <w:t>Bayesian Information Criterion (BIC)</w:t>
            </w:r>
          </w:p>
        </w:tc>
        <w:tc>
          <w:tcPr>
            <w:tcW w:w="5193" w:type="dxa"/>
          </w:tcPr>
          <w:p w14:paraId="1AC1B4E9"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The BIC rewards parsimony in models and can be used to compare competing LCA solutions. Lower BICs indicate better fit.</w:t>
            </w:r>
          </w:p>
        </w:tc>
      </w:tr>
      <w:tr w:rsidR="004A2FFD" w:rsidRPr="00AB65FC" w14:paraId="04F990B4" w14:textId="77777777" w:rsidTr="00FF5991">
        <w:tc>
          <w:tcPr>
            <w:tcW w:w="562" w:type="dxa"/>
          </w:tcPr>
          <w:p w14:paraId="611BFF45"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2.</w:t>
            </w:r>
          </w:p>
        </w:tc>
        <w:tc>
          <w:tcPr>
            <w:tcW w:w="3261" w:type="dxa"/>
          </w:tcPr>
          <w:p w14:paraId="0A1CF03B" w14:textId="77777777" w:rsidR="004A2FFD" w:rsidRPr="00AB65FC" w:rsidRDefault="004A2FFD" w:rsidP="00FF5991">
            <w:pPr>
              <w:suppressLineNumbers/>
              <w:spacing w:line="276" w:lineRule="auto"/>
              <w:rPr>
                <w:rFonts w:ascii="Aptos Narrow" w:hAnsi="Aptos Narrow"/>
              </w:rPr>
            </w:pPr>
            <w:r w:rsidRPr="00AB65FC">
              <w:rPr>
                <w:rFonts w:ascii="Aptos Narrow" w:hAnsi="Aptos Narrow"/>
              </w:rPr>
              <w:t>Vuong-Lo-Mendell-Rubin adjusted likelihood ratio test</w:t>
            </w:r>
          </w:p>
        </w:tc>
        <w:tc>
          <w:tcPr>
            <w:tcW w:w="5193" w:type="dxa"/>
          </w:tcPr>
          <w:p w14:paraId="1338CC12"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 xml:space="preserve">Provides a p-value, which indicates if one model is statistically better than another (e.g. model with K classes is better than one with K-1 classes). </w:t>
            </w:r>
          </w:p>
        </w:tc>
      </w:tr>
      <w:tr w:rsidR="004A2FFD" w:rsidRPr="00AB65FC" w14:paraId="48FED43B" w14:textId="77777777" w:rsidTr="00FF5991">
        <w:tc>
          <w:tcPr>
            <w:tcW w:w="562" w:type="dxa"/>
          </w:tcPr>
          <w:p w14:paraId="75310BC6"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3.</w:t>
            </w:r>
          </w:p>
        </w:tc>
        <w:tc>
          <w:tcPr>
            <w:tcW w:w="3261" w:type="dxa"/>
          </w:tcPr>
          <w:p w14:paraId="759DA895" w14:textId="77777777" w:rsidR="004A2FFD" w:rsidRPr="00AB65FC" w:rsidRDefault="004A2FFD" w:rsidP="00FF5991">
            <w:pPr>
              <w:suppressLineNumbers/>
              <w:spacing w:line="276" w:lineRule="auto"/>
              <w:rPr>
                <w:rFonts w:ascii="Aptos Narrow" w:hAnsi="Aptos Narrow"/>
              </w:rPr>
            </w:pPr>
            <w:r w:rsidRPr="00AB65FC">
              <w:rPr>
                <w:rFonts w:ascii="Aptos Narrow" w:hAnsi="Aptos Narrow"/>
              </w:rPr>
              <w:t>The average latent class posterior probability (ALCPP)</w:t>
            </w:r>
          </w:p>
        </w:tc>
        <w:tc>
          <w:tcPr>
            <w:tcW w:w="5193" w:type="dxa"/>
          </w:tcPr>
          <w:p w14:paraId="3C594D7F"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 xml:space="preserve">The average probability of the class model accurately predicting class membership for individuals. Probabilities between .80 and .90 are acceptable. </w:t>
            </w:r>
          </w:p>
        </w:tc>
      </w:tr>
      <w:tr w:rsidR="004A2FFD" w:rsidRPr="00AB65FC" w14:paraId="3A36D376" w14:textId="77777777" w:rsidTr="00FF5991">
        <w:tc>
          <w:tcPr>
            <w:tcW w:w="562" w:type="dxa"/>
          </w:tcPr>
          <w:p w14:paraId="7320C621"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 xml:space="preserve">4. </w:t>
            </w:r>
          </w:p>
        </w:tc>
        <w:tc>
          <w:tcPr>
            <w:tcW w:w="3261" w:type="dxa"/>
          </w:tcPr>
          <w:p w14:paraId="4B5DD301" w14:textId="77777777" w:rsidR="004A2FFD" w:rsidRPr="00AB65FC" w:rsidRDefault="004A2FFD" w:rsidP="00FF5991">
            <w:pPr>
              <w:suppressLineNumbers/>
              <w:spacing w:line="276" w:lineRule="auto"/>
              <w:rPr>
                <w:rFonts w:ascii="Aptos Narrow" w:hAnsi="Aptos Narrow"/>
              </w:rPr>
            </w:pPr>
            <w:r w:rsidRPr="00AB65FC">
              <w:rPr>
                <w:rFonts w:ascii="Aptos Narrow" w:hAnsi="Aptos Narrow"/>
              </w:rPr>
              <w:t>Entropy</w:t>
            </w:r>
          </w:p>
        </w:tc>
        <w:tc>
          <w:tcPr>
            <w:tcW w:w="5193" w:type="dxa"/>
          </w:tcPr>
          <w:p w14:paraId="6974A04F"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 xml:space="preserve">It indicates how accurately the model defines classes. In general, an entropy value close to 1 is ideal </w:t>
            </w:r>
            <w:r>
              <w:rPr>
                <w:rFonts w:ascii="Aptos Narrow" w:hAnsi="Aptos Narrow"/>
              </w:rPr>
              <w:fldChar w:fldCharType="begin"/>
            </w:r>
            <w:r>
              <w:rPr>
                <w:rFonts w:ascii="Aptos Narrow" w:hAnsi="Aptos Narrow"/>
              </w:rPr>
              <w:instrText xml:space="preserve"> ADDIN EN.CITE &lt;EndNote&gt;&lt;Cite&gt;&lt;Author&gt;Celeux&lt;/Author&gt;&lt;Year&gt;1996&lt;/Year&gt;&lt;RecNum&gt;74&lt;/RecNum&gt;&lt;DisplayText&gt;[57]&lt;/DisplayText&gt;&lt;record&gt;&lt;rec-number&gt;74&lt;/rec-number&gt;&lt;foreign-keys&gt;&lt;key app="EN" db-id="vpwedz0wptesv2ew25fpst0arxr9xx552vd2" timestamp="1765976374"&gt;74&lt;/key&gt;&lt;/foreign-keys&gt;&lt;ref-type name="Journal Article"&gt;17&lt;/ref-type&gt;&lt;contributors&gt;&lt;authors&gt;&lt;author&gt;Celeux, Gilles&lt;/author&gt;&lt;author&gt;Soromenho, Gilda&lt;/author&gt;&lt;author&gt;          &lt;/author&gt;&lt;/authors&gt;&lt;/contributors&gt;&lt;titles&gt;&lt;title&gt;An entropy criterion for assessing the number of clusters in a mixture model&lt;/title&gt;&lt;/titles&gt;&lt;pages&gt;195-212&lt;/pages&gt;&lt;volume&gt;13&lt;/volume&gt;&lt;dates&gt;&lt;year&gt;1996&lt;/year&gt;&lt;pub-dates&gt;&lt;date&gt;9&lt;/date&gt;&lt;/pub-dates&gt;&lt;/dates&gt;&lt;urls&gt;&lt;/urls&gt;&lt;electronic-resource-num&gt;10.1007/BF01246098&lt;/electronic-resource-num&gt;&lt;/record&gt;&lt;/Cite&gt;&lt;/EndNote&gt;</w:instrText>
            </w:r>
            <w:r>
              <w:rPr>
                <w:rFonts w:ascii="Aptos Narrow" w:hAnsi="Aptos Narrow"/>
              </w:rPr>
              <w:fldChar w:fldCharType="separate"/>
            </w:r>
            <w:r>
              <w:rPr>
                <w:rFonts w:ascii="Aptos Narrow" w:hAnsi="Aptos Narrow"/>
                <w:noProof/>
              </w:rPr>
              <w:t>[57]</w:t>
            </w:r>
            <w:r>
              <w:rPr>
                <w:rFonts w:ascii="Aptos Narrow" w:hAnsi="Aptos Narrow"/>
              </w:rPr>
              <w:fldChar w:fldCharType="end"/>
            </w:r>
            <w:r w:rsidRPr="00AB65FC">
              <w:rPr>
                <w:rFonts w:ascii="Aptos Narrow" w:hAnsi="Aptos Narrow"/>
              </w:rPr>
              <w:t xml:space="preserve"> and above .8 is acceptable</w:t>
            </w:r>
            <w:r>
              <w:rPr>
                <w:rFonts w:ascii="Aptos Narrow" w:hAnsi="Aptos Narrow"/>
              </w:rPr>
              <w:t xml:space="preserve"> </w:t>
            </w:r>
            <w:r>
              <w:rPr>
                <w:rFonts w:ascii="Aptos Narrow" w:hAnsi="Aptos Narrow"/>
              </w:rPr>
              <w:fldChar w:fldCharType="begin"/>
            </w:r>
            <w:r>
              <w:rPr>
                <w:rFonts w:ascii="Aptos Narrow" w:hAnsi="Aptos Narrow"/>
              </w:rPr>
              <w:instrText xml:space="preserve"> ADDIN EN.CITE &lt;EndNote&gt;&lt;Cite&gt;&lt;Author&gt;Wang&lt;/Author&gt;&lt;Year&gt;2017&lt;/Year&gt;&lt;RecNum&gt;75&lt;/RecNum&gt;&lt;DisplayText&gt;[58]&lt;/DisplayText&gt;&lt;record&gt;&lt;rec-number&gt;75&lt;/rec-number&gt;&lt;foreign-keys&gt;&lt;key app="EN" db-id="vpwedz0wptesv2ew25fpst0arxr9xx552vd2" timestamp="1765976374"&gt;75&lt;/key&gt;&lt;/foreign-keys&gt;&lt;ref-type name="Journal Article"&gt;17&lt;/ref-type&gt;&lt;contributors&gt;&lt;authors&gt;&lt;author&gt;Wang, M. C., &lt;/author&gt;&lt;author&gt;Deng, Q., &lt;/author&gt;&lt;author&gt;Bi, X., &lt;/author&gt;&lt;author&gt;Ye, H., &lt;/author&gt;&lt;author&gt;Yang, W.&lt;/author&gt;&lt;/authors&gt;&lt;/contributors&gt;&lt;titles&gt;&lt;title&gt;Performance of the entropy as an index of classification accuracy in latent profile analysis: A Monte Carlo simulation study&lt;/title&gt;&lt;secondary-title&gt;Acta Psychologica Sinica&lt;/secondary-title&gt;&lt;/titles&gt;&lt;periodical&gt;&lt;full-title&gt;Acta Psychologica Sinica&lt;/full-title&gt;&lt;/periodical&gt;&lt;pages&gt;1473-1482&lt;/pages&gt;&lt;volume&gt;49&lt;/volume&gt;&lt;number&gt;11&lt;/number&gt;&lt;dates&gt;&lt;year&gt;2017&lt;/year&gt;&lt;/dates&gt;&lt;urls&gt;&lt;/urls&gt;&lt;electronic-resource-num&gt;10.3724/SP.J.1041.2017.01473&lt;/electronic-resource-num&gt;&lt;/record&gt;&lt;/Cite&gt;&lt;/EndNote&gt;</w:instrText>
            </w:r>
            <w:r>
              <w:rPr>
                <w:rFonts w:ascii="Aptos Narrow" w:hAnsi="Aptos Narrow"/>
              </w:rPr>
              <w:fldChar w:fldCharType="separate"/>
            </w:r>
            <w:r>
              <w:rPr>
                <w:rFonts w:ascii="Aptos Narrow" w:hAnsi="Aptos Narrow"/>
                <w:noProof/>
              </w:rPr>
              <w:t>[58]</w:t>
            </w:r>
            <w:r>
              <w:rPr>
                <w:rFonts w:ascii="Aptos Narrow" w:hAnsi="Aptos Narrow"/>
              </w:rPr>
              <w:fldChar w:fldCharType="end"/>
            </w:r>
            <w:r w:rsidRPr="00AB65FC">
              <w:rPr>
                <w:rFonts w:ascii="Aptos Narrow" w:hAnsi="Aptos Narrow"/>
              </w:rPr>
              <w:t>.</w:t>
            </w:r>
          </w:p>
        </w:tc>
      </w:tr>
      <w:tr w:rsidR="004A2FFD" w:rsidRPr="00AB65FC" w14:paraId="7DBCE4C0" w14:textId="77777777" w:rsidTr="00FF5991">
        <w:tc>
          <w:tcPr>
            <w:tcW w:w="562" w:type="dxa"/>
          </w:tcPr>
          <w:p w14:paraId="645B2AC2"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5.</w:t>
            </w:r>
          </w:p>
        </w:tc>
        <w:tc>
          <w:tcPr>
            <w:tcW w:w="3261" w:type="dxa"/>
          </w:tcPr>
          <w:p w14:paraId="18844CF7" w14:textId="77777777" w:rsidR="004A2FFD" w:rsidRPr="00AB65FC" w:rsidRDefault="004A2FFD" w:rsidP="00FF5991">
            <w:pPr>
              <w:suppressLineNumbers/>
              <w:spacing w:line="276" w:lineRule="auto"/>
              <w:rPr>
                <w:rFonts w:ascii="Aptos Narrow" w:hAnsi="Aptos Narrow"/>
              </w:rPr>
            </w:pPr>
            <w:r w:rsidRPr="00AB65FC">
              <w:rPr>
                <w:rFonts w:ascii="Aptos Narrow" w:hAnsi="Aptos Narrow"/>
              </w:rPr>
              <w:t>Number of sample members in each class</w:t>
            </w:r>
          </w:p>
        </w:tc>
        <w:tc>
          <w:tcPr>
            <w:tcW w:w="5193" w:type="dxa"/>
          </w:tcPr>
          <w:p w14:paraId="26895635" w14:textId="77777777" w:rsidR="004A2FFD" w:rsidRPr="00AB65FC" w:rsidRDefault="004A2FFD" w:rsidP="00FF5991">
            <w:pPr>
              <w:suppressLineNumbers/>
              <w:spacing w:line="276" w:lineRule="auto"/>
              <w:jc w:val="both"/>
              <w:rPr>
                <w:rFonts w:ascii="Aptos Narrow" w:hAnsi="Aptos Narrow"/>
              </w:rPr>
            </w:pPr>
            <w:r w:rsidRPr="00AB65FC">
              <w:rPr>
                <w:rFonts w:ascii="Aptos Narrow" w:hAnsi="Aptos Narrow"/>
              </w:rPr>
              <w:t>There are no existing guidelines on determining class size. While consensus is that classes should not contain less than 5% of the sample</w:t>
            </w:r>
            <w:r>
              <w:rPr>
                <w:rFonts w:ascii="Aptos Narrow" w:hAnsi="Aptos Narrow"/>
              </w:rPr>
              <w:t xml:space="preserve"> </w:t>
            </w:r>
            <w:r>
              <w:rPr>
                <w:rFonts w:ascii="Aptos Narrow" w:hAnsi="Aptos Narrow"/>
              </w:rPr>
              <w:fldChar w:fldCharType="begin">
                <w:fldData xml:space="preserve">PEVuZE5vdGU+PENpdGU+PEF1dGhvcj5TaGFuYWhhbjwvQXV0aG9yPjxZZWFyPjIwMTM8L1llYXI+
PFJlY051bT43NjwvUmVjTnVtPjxEaXNwbGF5VGV4dD5bNTldPC9EaXNwbGF5VGV4dD48cmVjb3Jk
PjxyZWMtbnVtYmVyPjc2PC9yZWMtbnVtYmVyPjxmb3JlaWduLWtleXM+PGtleSBhcHA9IkVOIiBk
Yi1pZD0idnB3ZWR6MHdwdGVzdjJldzI1ZnBzdDBhcnhyOXh4NTUydmQyIiB0aW1lc3RhbXA9IjE3
NjU5NzYzNzQiPjc2PC9rZXk+PC9mb3JlaWduLWtleXM+PHJlZi10eXBlIG5hbWU9IkpvdXJuYWwg
QXJ0aWNsZSI+MTc8L3JlZi10eXBlPjxjb250cmlidXRvcnM+PGF1dGhvcnM+PGF1dGhvcj5TaGFu
YWhhbiwgTC48L2F1dGhvcj48YXV0aG9yPkNvcGVsYW5kLCBXLiBFLjwvYXV0aG9yPjxhdXRob3I+
V29ydGhtYW4sIEMuIE0uPC9hdXRob3I+PGF1dGhvcj5FcmthbmxpLCBBLjwvYXV0aG9yPjxhdXRo
b3I+QW5nb2xkLCBBLjwvYXV0aG9yPjxhdXRob3I+Q29zdGVsbG8sIEUuIEouPC9hdXRob3I+PC9h
dXRob3JzPjwvY29udHJpYnV0b3JzPjxhdXRoLWFkZHJlc3M+RGVwYXJ0bWVudCBvZiBQc3ljaG9s
b2d5LCBVbml2ZXJzaXR5IG9mIE5vcnRoIENhcm9saW5hIGF0IENoYXBlbCBIaWxsLCBVbml0ZWQg
U3RhdGVzLiBFbGVjdHJvbmljIGFkZHJlc3M6IGxpbGx5X3NoYW5haGFuQHVuYy5lZHUuPC9hdXRo
LWFkZHJlc3M+PHRpdGxlcz48dGl0bGU+U2V4LWRpZmZlcmVudGlhdGVkIGNoYW5nZXMgaW4gQy1y
ZWFjdGl2ZSBwcm90ZWluIGZyb20gYWdlcyA5IHRvIDIxOiB0aGUgY29udHJpYnV0aW9ucyBvZiBC
TUkgYW5kIHBoeXNpY2FsL3NleHVhbCBtYXR1cmF0aW9uPC90aXRsZT48c2Vjb25kYXJ5LXRpdGxl
PlBzeWNob25ldXJvZW5kb2NyaW5vbG9neTwvc2Vjb25kYXJ5LXRpdGxlPjwvdGl0bGVzPjxwZXJp
b2RpY2FsPjxmdWxsLXRpdGxlPlBzeWNob25ldXJvZW5kb2NyaW5vbG9neTwvZnVsbC10aXRsZT48
L3BlcmlvZGljYWw+PHBhZ2VzPjIyMDktMjIxNzwvcGFnZXM+PHZvbHVtZT4zODwvdm9sdW1lPjxu
dW1iZXI+MTA8L251bWJlcj48c2VjdGlvbj4yMjA5PC9zZWN0aW9uPjxrZXl3b3Jkcz48a2V5d29y
ZD5BZG9sZXNjZW50PC9rZXl3b3JkPjxrZXl3b3JkPkFkb2xlc2NlbnQgQmVoYXZpb3IvcGh5c2lv
bG9neTwva2V5d29yZD48a2V5d29yZD5BZHVsdDwva2V5d29yZD48a2V5d29yZD5BZ2UgRmFjdG9y
czwva2V5d29yZD48a2V5d29yZD4qQm9keSBNYXNzIEluZGV4PC9rZXl3b3JkPjxrZXl3b3JkPkMt
UmVhY3RpdmUgUHJvdGVpbi8qbWV0YWJvbGlzbTwva2V5d29yZD48a2V5d29yZD5DaGlsZDwva2V5
d29yZD48a2V5d29yZD5GZW1hbGU8L2tleXdvcmQ+PGtleXdvcmQ+SHVtYW5zPC9rZXl3b3JkPjxr
ZXl3b3JkPkxvbmdpdHVkaW5hbCBTdHVkaWVzPC9rZXl3b3JkPjxrZXl3b3JkPk1hbGU8L2tleXdv
cmQ+PGtleXdvcmQ+U2V4IENoYXJhY3RlcmlzdGljczwva2V5d29yZD48a2V5d29yZD5TZXh1YWwg
TWF0dXJhdGlvbi8qcGh5c2lvbG9neTwva2V5d29yZD48a2V5d29yZD5Zb3VuZyBBZHVsdDwva2V5
d29yZD48a2V5d29yZD5BZG9sZXNjZW5jZTwva2V5d29yZD48a2V5d29yZD5CbWk8L2tleXdvcmQ+
PGtleXdvcmQ+Qy1yZWFjdGl2ZSBwcm90ZWluPC9rZXl3b3JkPjxrZXl3b3JkPlB1YmVydHk8L2tl
eXdvcmQ+PGtleXdvcmQ+U2V4IGRpZmZlcmVuY2VzPC9rZXl3b3JkPjxrZXl3b3JkPlRlc3Rvc3Rl
cm9uZTwva2V5d29yZD48a2V5d29yZD5Zb3VuZyBhZHVsdGhvb2Q8L2tleXdvcmQ+PC9rZXl3b3Jk
cz48ZGF0ZXM+PHllYXI+MjAxMzwveWVhcj48L2RhdGVzPjxpc2JuPjE4NzMtMzM2MCAoRWxlY3Ry
b25pYykmI3hEOzAzMDYtNDUzMCAoUHJpbnQpJiN4RDswMzA2LTQ1MzAgKExpbmtpbmcpPC9pc2Ju
PjxhY2Nlc3Npb24tbnVtPjIzNzExOTAwPC9hY2Nlc3Npb24tbnVtPjx1cmxzPjxyZWxhdGVkLXVy
bHM+PHVybD5odHRwczovL3d3dy5uY2JpLm5sbS5uaWguZ292L3B1Ym1lZC8yMzcxMTkwMDwvdXJs
PjwvcmVsYXRlZC11cmxzPjwvdXJscz48Y3VzdG9tMT5Db25mbGljdCBvZiBJbnRlcmVzdCBTdGF0
ZW1lbnQgTm9uZSBvZiB0aGUgYXV0aG9ycyBoYXZlIGJpb21lZGljYWwgZmluYW5jaWFsIGludGVy
ZXN0cyBvciBwb3RlbnRpYWwgY29uZmxpY3RzIG9mIGludGVyZXN0LjwvY3VzdG9tMT48Y3VzdG9t
Mj5QTUMzNzc3MjkxPC9jdXN0b20yPjxlbGVjdHJvbmljLXJlc291cmNlLW51bT4xMC4xMDE2L2ou
cHN5bmV1ZW4uMjAxMy4wNC4wMTA8L2VsZWN0cm9uaWMtcmVzb3VyY2UtbnVtPjxyZW1vdGUtZGF0
YWJhc2UtbmFtZT5NZWRsaW5lPC9yZW1vdGUtZGF0YWJhc2UtbmFtZT48cmVtb3RlLWRhdGFiYXNl
LXByb3ZpZGVyPk5MTTwvcmVtb3RlLWRhdGFiYXNlLXByb3ZpZGVyPjwvcmVjb3JkPjwvQ2l0ZT48
L0VuZE5vdGU+AG==
</w:fldData>
              </w:fldChar>
            </w:r>
            <w:r>
              <w:rPr>
                <w:rFonts w:ascii="Aptos Narrow" w:hAnsi="Aptos Narrow"/>
              </w:rPr>
              <w:instrText xml:space="preserve"> ADDIN EN.CITE </w:instrText>
            </w:r>
            <w:r>
              <w:rPr>
                <w:rFonts w:ascii="Aptos Narrow" w:hAnsi="Aptos Narrow"/>
              </w:rPr>
              <w:fldChar w:fldCharType="begin">
                <w:fldData xml:space="preserve">PEVuZE5vdGU+PENpdGU+PEF1dGhvcj5TaGFuYWhhbjwvQXV0aG9yPjxZZWFyPjIwMTM8L1llYXI+
PFJlY051bT43NjwvUmVjTnVtPjxEaXNwbGF5VGV4dD5bNTldPC9EaXNwbGF5VGV4dD48cmVjb3Jk
PjxyZWMtbnVtYmVyPjc2PC9yZWMtbnVtYmVyPjxmb3JlaWduLWtleXM+PGtleSBhcHA9IkVOIiBk
Yi1pZD0idnB3ZWR6MHdwdGVzdjJldzI1ZnBzdDBhcnhyOXh4NTUydmQyIiB0aW1lc3RhbXA9IjE3
NjU5NzYzNzQiPjc2PC9rZXk+PC9mb3JlaWduLWtleXM+PHJlZi10eXBlIG5hbWU9IkpvdXJuYWwg
QXJ0aWNsZSI+MTc8L3JlZi10eXBlPjxjb250cmlidXRvcnM+PGF1dGhvcnM+PGF1dGhvcj5TaGFu
YWhhbiwgTC48L2F1dGhvcj48YXV0aG9yPkNvcGVsYW5kLCBXLiBFLjwvYXV0aG9yPjxhdXRob3I+
V29ydGhtYW4sIEMuIE0uPC9hdXRob3I+PGF1dGhvcj5FcmthbmxpLCBBLjwvYXV0aG9yPjxhdXRo
b3I+QW5nb2xkLCBBLjwvYXV0aG9yPjxhdXRob3I+Q29zdGVsbG8sIEUuIEouPC9hdXRob3I+PC9h
dXRob3JzPjwvY29udHJpYnV0b3JzPjxhdXRoLWFkZHJlc3M+RGVwYXJ0bWVudCBvZiBQc3ljaG9s
b2d5LCBVbml2ZXJzaXR5IG9mIE5vcnRoIENhcm9saW5hIGF0IENoYXBlbCBIaWxsLCBVbml0ZWQg
U3RhdGVzLiBFbGVjdHJvbmljIGFkZHJlc3M6IGxpbGx5X3NoYW5haGFuQHVuYy5lZHUuPC9hdXRo
LWFkZHJlc3M+PHRpdGxlcz48dGl0bGU+U2V4LWRpZmZlcmVudGlhdGVkIGNoYW5nZXMgaW4gQy1y
ZWFjdGl2ZSBwcm90ZWluIGZyb20gYWdlcyA5IHRvIDIxOiB0aGUgY29udHJpYnV0aW9ucyBvZiBC
TUkgYW5kIHBoeXNpY2FsL3NleHVhbCBtYXR1cmF0aW9uPC90aXRsZT48c2Vjb25kYXJ5LXRpdGxl
PlBzeWNob25ldXJvZW5kb2NyaW5vbG9neTwvc2Vjb25kYXJ5LXRpdGxlPjwvdGl0bGVzPjxwZXJp
b2RpY2FsPjxmdWxsLXRpdGxlPlBzeWNob25ldXJvZW5kb2NyaW5vbG9neTwvZnVsbC10aXRsZT48
L3BlcmlvZGljYWw+PHBhZ2VzPjIyMDktMjIxNzwvcGFnZXM+PHZvbHVtZT4zODwvdm9sdW1lPjxu
dW1iZXI+MTA8L251bWJlcj48c2VjdGlvbj4yMjA5PC9zZWN0aW9uPjxrZXl3b3Jkcz48a2V5d29y
ZD5BZG9sZXNjZW50PC9rZXl3b3JkPjxrZXl3b3JkPkFkb2xlc2NlbnQgQmVoYXZpb3IvcGh5c2lv
bG9neTwva2V5d29yZD48a2V5d29yZD5BZHVsdDwva2V5d29yZD48a2V5d29yZD5BZ2UgRmFjdG9y
czwva2V5d29yZD48a2V5d29yZD4qQm9keSBNYXNzIEluZGV4PC9rZXl3b3JkPjxrZXl3b3JkPkMt
UmVhY3RpdmUgUHJvdGVpbi8qbWV0YWJvbGlzbTwva2V5d29yZD48a2V5d29yZD5DaGlsZDwva2V5
d29yZD48a2V5d29yZD5GZW1hbGU8L2tleXdvcmQ+PGtleXdvcmQ+SHVtYW5zPC9rZXl3b3JkPjxr
ZXl3b3JkPkxvbmdpdHVkaW5hbCBTdHVkaWVzPC9rZXl3b3JkPjxrZXl3b3JkPk1hbGU8L2tleXdv
cmQ+PGtleXdvcmQ+U2V4IENoYXJhY3RlcmlzdGljczwva2V5d29yZD48a2V5d29yZD5TZXh1YWwg
TWF0dXJhdGlvbi8qcGh5c2lvbG9neTwva2V5d29yZD48a2V5d29yZD5Zb3VuZyBBZHVsdDwva2V5
d29yZD48a2V5d29yZD5BZG9sZXNjZW5jZTwva2V5d29yZD48a2V5d29yZD5CbWk8L2tleXdvcmQ+
PGtleXdvcmQ+Qy1yZWFjdGl2ZSBwcm90ZWluPC9rZXl3b3JkPjxrZXl3b3JkPlB1YmVydHk8L2tl
eXdvcmQ+PGtleXdvcmQ+U2V4IGRpZmZlcmVuY2VzPC9rZXl3b3JkPjxrZXl3b3JkPlRlc3Rvc3Rl
cm9uZTwva2V5d29yZD48a2V5d29yZD5Zb3VuZyBhZHVsdGhvb2Q8L2tleXdvcmQ+PC9rZXl3b3Jk
cz48ZGF0ZXM+PHllYXI+MjAxMzwveWVhcj48L2RhdGVzPjxpc2JuPjE4NzMtMzM2MCAoRWxlY3Ry
b25pYykmI3hEOzAzMDYtNDUzMCAoUHJpbnQpJiN4RDswMzA2LTQ1MzAgKExpbmtpbmcpPC9pc2Ju
PjxhY2Nlc3Npb24tbnVtPjIzNzExOTAwPC9hY2Nlc3Npb24tbnVtPjx1cmxzPjxyZWxhdGVkLXVy
bHM+PHVybD5odHRwczovL3d3dy5uY2JpLm5sbS5uaWguZ292L3B1Ym1lZC8yMzcxMTkwMDwvdXJs
PjwvcmVsYXRlZC11cmxzPjwvdXJscz48Y3VzdG9tMT5Db25mbGljdCBvZiBJbnRlcmVzdCBTdGF0
ZW1lbnQgTm9uZSBvZiB0aGUgYXV0aG9ycyBoYXZlIGJpb21lZGljYWwgZmluYW5jaWFsIGludGVy
ZXN0cyBvciBwb3RlbnRpYWwgY29uZmxpY3RzIG9mIGludGVyZXN0LjwvY3VzdG9tMT48Y3VzdG9t
Mj5QTUMzNzc3MjkxPC9jdXN0b20yPjxlbGVjdHJvbmljLXJlc291cmNlLW51bT4xMC4xMDE2L2ou
cHN5bmV1ZW4uMjAxMy4wNC4wMTA8L2VsZWN0cm9uaWMtcmVzb3VyY2UtbnVtPjxyZW1vdGUtZGF0
YWJhc2UtbmFtZT5NZWRsaW5lPC9yZW1vdGUtZGF0YWJhc2UtbmFtZT48cmVtb3RlLWRhdGFiYXNl
LXByb3ZpZGVyPk5MTTwvcmVtb3RlLWRhdGFiYXNlLXByb3ZpZGVyPjwvcmVjb3JkPjwvQ2l0ZT48
L0VuZE5vdGU+AG==
</w:fldData>
              </w:fldChar>
            </w:r>
            <w:r>
              <w:rPr>
                <w:rFonts w:ascii="Aptos Narrow" w:hAnsi="Aptos Narrow"/>
              </w:rPr>
              <w:instrText xml:space="preserve"> ADDIN EN.CITE.DATA </w:instrText>
            </w:r>
            <w:r>
              <w:rPr>
                <w:rFonts w:ascii="Aptos Narrow" w:hAnsi="Aptos Narrow"/>
              </w:rPr>
            </w:r>
            <w:r>
              <w:rPr>
                <w:rFonts w:ascii="Aptos Narrow" w:hAnsi="Aptos Narrow"/>
              </w:rPr>
              <w:fldChar w:fldCharType="end"/>
            </w:r>
            <w:r>
              <w:rPr>
                <w:rFonts w:ascii="Aptos Narrow" w:hAnsi="Aptos Narrow"/>
              </w:rPr>
            </w:r>
            <w:r>
              <w:rPr>
                <w:rFonts w:ascii="Aptos Narrow" w:hAnsi="Aptos Narrow"/>
              </w:rPr>
              <w:fldChar w:fldCharType="separate"/>
            </w:r>
            <w:r>
              <w:rPr>
                <w:rFonts w:ascii="Aptos Narrow" w:hAnsi="Aptos Narrow"/>
                <w:noProof/>
              </w:rPr>
              <w:t>[59]</w:t>
            </w:r>
            <w:r>
              <w:rPr>
                <w:rFonts w:ascii="Aptos Narrow" w:hAnsi="Aptos Narrow"/>
              </w:rPr>
              <w:fldChar w:fldCharType="end"/>
            </w:r>
            <w:r w:rsidRPr="00AB65FC">
              <w:rPr>
                <w:rFonts w:ascii="Aptos Narrow" w:hAnsi="Aptos Narrow"/>
              </w:rPr>
              <w:t xml:space="preserve">, the important issue is whether the small class makes conceptual sense. </w:t>
            </w:r>
          </w:p>
        </w:tc>
      </w:tr>
    </w:tbl>
    <w:p w14:paraId="52A08E1D" w14:textId="77777777" w:rsidR="004A2FFD" w:rsidRDefault="004A2FFD" w:rsidP="004A2FFD">
      <w:pPr>
        <w:suppressLineNumbers/>
      </w:pPr>
    </w:p>
    <w:p w14:paraId="7478CBD1" w14:textId="77777777" w:rsidR="004A2FFD" w:rsidRDefault="004A2FFD" w:rsidP="004A2FFD">
      <w:r>
        <w:br w:type="page"/>
      </w:r>
    </w:p>
    <w:p w14:paraId="59301699" w14:textId="77777777" w:rsidR="004A2FFD" w:rsidRDefault="004A2FFD" w:rsidP="004A2FFD">
      <w:pPr>
        <w:suppressLineNumbers/>
      </w:pPr>
    </w:p>
    <w:tbl>
      <w:tblPr>
        <w:tblStyle w:val="TableGridLight"/>
        <w:tblW w:w="9015" w:type="dxa"/>
        <w:tblLayout w:type="fixed"/>
        <w:tblLook w:val="04A0" w:firstRow="1" w:lastRow="0" w:firstColumn="1" w:lastColumn="0" w:noHBand="0" w:noVBand="1"/>
      </w:tblPr>
      <w:tblGrid>
        <w:gridCol w:w="9015"/>
      </w:tblGrid>
      <w:tr w:rsidR="004A2FFD" w:rsidRPr="00E76FBA" w14:paraId="37EA8ECE"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4DFC739" w14:textId="77777777" w:rsidR="004A2FFD" w:rsidRPr="00E76FBA" w:rsidRDefault="004A2FFD" w:rsidP="00FF5991">
            <w:pPr>
              <w:tabs>
                <w:tab w:val="right" w:pos="8799"/>
              </w:tabs>
              <w:spacing w:line="276" w:lineRule="auto"/>
              <w:rPr>
                <w:rFonts w:ascii="Aptos Narrow" w:eastAsiaTheme="minorEastAsia" w:hAnsi="Aptos Narrow"/>
                <w:b/>
              </w:rPr>
            </w:pPr>
            <w:r>
              <w:rPr>
                <w:rFonts w:ascii="Aptos Narrow" w:eastAsiaTheme="minorEastAsia" w:hAnsi="Aptos Narrow"/>
                <w:b/>
              </w:rPr>
              <w:t xml:space="preserve">Supplementary </w:t>
            </w:r>
            <w:r w:rsidRPr="00E76FBA">
              <w:rPr>
                <w:rFonts w:ascii="Aptos Narrow" w:eastAsiaTheme="minorEastAsia" w:hAnsi="Aptos Narrow"/>
                <w:b/>
              </w:rPr>
              <w:t xml:space="preserve">Table </w:t>
            </w:r>
            <w:r>
              <w:rPr>
                <w:rFonts w:ascii="Aptos Narrow" w:eastAsiaTheme="minorEastAsia" w:hAnsi="Aptos Narrow"/>
                <w:b/>
              </w:rPr>
              <w:t>3</w:t>
            </w:r>
            <w:r w:rsidRPr="00E76FBA">
              <w:rPr>
                <w:rFonts w:ascii="Aptos Narrow" w:eastAsiaTheme="minorEastAsia" w:hAnsi="Aptos Narrow"/>
                <w:b/>
              </w:rPr>
              <w:t>: Measures for model’s performance assessment (adapted from</w:t>
            </w:r>
            <w:r>
              <w:rPr>
                <w:rFonts w:ascii="Aptos Narrow" w:eastAsiaTheme="minorEastAsia" w:hAnsi="Aptos Narrow"/>
                <w:b/>
              </w:rPr>
              <w:t xml:space="preserve"> Riley et al </w:t>
            </w:r>
            <w:r>
              <w:rPr>
                <w:rFonts w:ascii="Aptos Narrow" w:eastAsiaTheme="minorEastAsia" w:hAnsi="Aptos Narrow"/>
                <w:b/>
              </w:rPr>
              <w:fldChar w:fldCharType="begin"/>
            </w:r>
            <w:r>
              <w:rPr>
                <w:rFonts w:ascii="Aptos Narrow" w:eastAsiaTheme="minorEastAsia" w:hAnsi="Aptos Narrow"/>
                <w:b/>
              </w:rPr>
              <w:instrText xml:space="preserve"> ADDIN EN.CITE &lt;EndNote&gt;&lt;Cite&gt;&lt;Author&gt;Riley&lt;/Author&gt;&lt;Year&gt;2019&lt;/Year&gt;&lt;RecNum&gt;77&lt;/RecNum&gt;&lt;DisplayText&gt;[60]&lt;/DisplayText&gt;&lt;record&gt;&lt;rec-number&gt;77&lt;/rec-number&gt;&lt;foreign-keys&gt;&lt;key app="EN" db-id="vpwedz0wptesv2ew25fpst0arxr9xx552vd2" timestamp="1765976374"&gt;77&lt;/key&gt;&lt;/foreign-keys&gt;&lt;ref-type name="Journal Article"&gt;17&lt;/ref-type&gt;&lt;contributors&gt;&lt;authors&gt;&lt;author&gt;Riley, Richard D.&lt;/author&gt;&lt;author&gt;Ensor, Joie&lt;/author&gt;&lt;author&gt;Snell, Kym I.E.&lt;/author&gt;&lt;author&gt;Debray, Thomas P.A.&lt;/author&gt;&lt;author&gt;Altman, Doug G.&lt;/author&gt;&lt;author&gt;Moons, Karel G.M.&lt;/author&gt;&lt;author&gt;Collins, Gary S.&lt;/author&gt;&lt;/authors&gt;&lt;/contributors&gt;&lt;titles&gt;&lt;title&gt;External validation of clinical prediction models using big datasets from e-health records or IPD meta-analysis: Opportunities and challenges&lt;/title&gt;&lt;secondary-title&gt;BMJ&lt;/secondary-title&gt;&lt;/titles&gt;&lt;periodical&gt;&lt;full-title&gt;Bmj&lt;/full-title&gt;&lt;/periodical&gt;&lt;volume&gt;365&lt;/volume&gt;&lt;dates&gt;&lt;year&gt;2019&lt;/year&gt;&lt;/dates&gt;&lt;accession-num&gt;27334381&lt;/accession-num&gt;&lt;urls&gt;&lt;/urls&gt;&lt;electronic-resource-num&gt;10.1136/bmj.l4379&lt;/electronic-resource-num&gt;&lt;/record&gt;&lt;/Cite&gt;&lt;/EndNote&gt;</w:instrText>
            </w:r>
            <w:r>
              <w:rPr>
                <w:rFonts w:ascii="Aptos Narrow" w:eastAsiaTheme="minorEastAsia" w:hAnsi="Aptos Narrow"/>
                <w:b/>
              </w:rPr>
              <w:fldChar w:fldCharType="separate"/>
            </w:r>
            <w:r>
              <w:rPr>
                <w:rFonts w:ascii="Aptos Narrow" w:eastAsiaTheme="minorEastAsia" w:hAnsi="Aptos Narrow"/>
                <w:b/>
                <w:noProof/>
              </w:rPr>
              <w:t>[60]</w:t>
            </w:r>
            <w:r>
              <w:rPr>
                <w:rFonts w:ascii="Aptos Narrow" w:eastAsiaTheme="minorEastAsia" w:hAnsi="Aptos Narrow"/>
                <w:b/>
              </w:rPr>
              <w:fldChar w:fldCharType="end"/>
            </w:r>
            <w:r>
              <w:rPr>
                <w:rFonts w:ascii="Aptos Narrow" w:eastAsiaTheme="minorEastAsia" w:hAnsi="Aptos Narrow"/>
                <w:b/>
              </w:rPr>
              <w:tab/>
            </w:r>
          </w:p>
        </w:tc>
      </w:tr>
      <w:tr w:rsidR="004A2FFD" w:rsidRPr="00E76FBA" w14:paraId="77F3FB93"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C75380C" w14:textId="77777777" w:rsidR="004A2FFD" w:rsidRPr="00E76FBA" w:rsidRDefault="004A2FFD" w:rsidP="00FF5991">
            <w:pPr>
              <w:spacing w:after="160" w:line="276" w:lineRule="auto"/>
              <w:rPr>
                <w:rFonts w:ascii="Aptos Narrow" w:eastAsiaTheme="minorEastAsia" w:hAnsi="Aptos Narrow"/>
              </w:rPr>
            </w:pPr>
            <w:r w:rsidRPr="00E76FBA">
              <w:rPr>
                <w:rFonts w:ascii="Aptos Narrow" w:eastAsiaTheme="minorEastAsia" w:hAnsi="Aptos Narrow"/>
              </w:rPr>
              <w:t>1. Calibration</w:t>
            </w:r>
          </w:p>
        </w:tc>
      </w:tr>
      <w:tr w:rsidR="004A2FFD" w:rsidRPr="00E76FBA" w14:paraId="3A7F4FD2"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60720B9" w14:textId="77777777" w:rsidR="004A2FFD" w:rsidRPr="00E76FBA" w:rsidRDefault="004A2FFD" w:rsidP="00FF5991">
            <w:pPr>
              <w:spacing w:after="160" w:line="276" w:lineRule="auto"/>
              <w:rPr>
                <w:rFonts w:ascii="Aptos Narrow" w:eastAsiaTheme="minorEastAsia" w:hAnsi="Aptos Narrow"/>
              </w:rPr>
            </w:pPr>
            <w:r w:rsidRPr="00E76FBA">
              <w:rPr>
                <w:rFonts w:ascii="Aptos Narrow" w:eastAsiaTheme="minorEastAsia" w:hAnsi="Aptos Narrow"/>
              </w:rPr>
              <w:t>This is how close the predicted mortality event is close to the observed mortality event. This measure has two key components:</w:t>
            </w:r>
          </w:p>
        </w:tc>
      </w:tr>
      <w:tr w:rsidR="004A2FFD" w:rsidRPr="00E76FBA" w14:paraId="67F6534F"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125F35F" w14:textId="77777777" w:rsidR="004A2FFD" w:rsidRPr="00E76FBA" w:rsidRDefault="004A2FFD" w:rsidP="00FF5991">
            <w:pPr>
              <w:spacing w:after="160" w:line="276" w:lineRule="auto"/>
              <w:rPr>
                <w:rFonts w:ascii="Aptos Narrow" w:eastAsiaTheme="minorEastAsia" w:hAnsi="Aptos Narrow"/>
              </w:rPr>
            </w:pPr>
            <w:r w:rsidRPr="00E76FBA">
              <w:rPr>
                <w:rFonts w:ascii="Aptos Narrow" w:eastAsiaTheme="minorEastAsia" w:hAnsi="Aptos Narrow"/>
              </w:rPr>
              <w:t>(a) Calibration slope</w:t>
            </w:r>
          </w:p>
        </w:tc>
      </w:tr>
      <w:tr w:rsidR="004A2FFD" w:rsidRPr="00E76FBA" w14:paraId="0879DD31"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E6E8B2" w14:textId="77777777" w:rsidR="004A2FFD" w:rsidRPr="00E76FBA" w:rsidRDefault="004A2FFD" w:rsidP="00FF5991">
            <w:pPr>
              <w:spacing w:after="160" w:line="276" w:lineRule="auto"/>
              <w:jc w:val="both"/>
              <w:rPr>
                <w:rFonts w:ascii="Aptos Narrow" w:eastAsiaTheme="minorEastAsia" w:hAnsi="Aptos Narrow"/>
              </w:rPr>
            </w:pPr>
            <w:r w:rsidRPr="00E76FBA">
              <w:rPr>
                <w:rFonts w:ascii="Aptos Narrow" w:eastAsiaTheme="minorEastAsia" w:hAnsi="Aptos Narrow"/>
              </w:rPr>
              <w:t xml:space="preserve">The calibration slope measures the agreement between the observed and predicted risks of the event (outcome) across the whole range of predicted values. For a perfectly calibrated model, we expect to see that, in 100 individuals with a predicted risk of </w:t>
            </w:r>
            <w:r w:rsidRPr="00E76FBA">
              <w:rPr>
                <w:rFonts w:ascii="Aptos Narrow" w:eastAsiaTheme="minorEastAsia" w:hAnsi="Aptos Narrow"/>
                <w:i/>
              </w:rPr>
              <w:t>r</w:t>
            </w:r>
            <w:r w:rsidRPr="00E76FBA">
              <w:rPr>
                <w:rFonts w:ascii="Aptos Narrow" w:eastAsiaTheme="minorEastAsia" w:hAnsi="Aptos Narrow"/>
              </w:rPr>
              <w:t xml:space="preserve">% from our model, </w:t>
            </w:r>
            <w:r w:rsidRPr="00E76FBA">
              <w:rPr>
                <w:rFonts w:ascii="Aptos Narrow" w:eastAsiaTheme="minorEastAsia" w:hAnsi="Aptos Narrow"/>
                <w:i/>
              </w:rPr>
              <w:t>r</w:t>
            </w:r>
            <w:r w:rsidRPr="00E76FBA">
              <w:rPr>
                <w:rFonts w:ascii="Aptos Narrow" w:eastAsiaTheme="minorEastAsia" w:hAnsi="Aptos Narrow"/>
              </w:rPr>
              <w:t xml:space="preserve"> of the 100 truly have the outcome of interest (i.e. death in this case). The slope should ideally be 1. A slope</w:t>
            </w:r>
            <w:r w:rsidRPr="00E76FBA">
              <w:rPr>
                <w:rFonts w:ascii="Arial" w:eastAsiaTheme="minorEastAsia" w:hAnsi="Arial" w:cs="Arial"/>
              </w:rPr>
              <w:t> </w:t>
            </w:r>
            <w:r w:rsidRPr="00E76FBA">
              <w:rPr>
                <w:rFonts w:ascii="Aptos Narrow" w:eastAsiaTheme="minorEastAsia" w:hAnsi="Aptos Narrow"/>
              </w:rPr>
              <w:t>&lt;</w:t>
            </w:r>
            <w:r w:rsidRPr="00E76FBA">
              <w:rPr>
                <w:rFonts w:ascii="Arial" w:eastAsiaTheme="minorEastAsia" w:hAnsi="Arial" w:cs="Arial"/>
              </w:rPr>
              <w:t> </w:t>
            </w:r>
            <w:r w:rsidRPr="00E76FBA">
              <w:rPr>
                <w:rFonts w:ascii="Aptos Narrow" w:eastAsiaTheme="minorEastAsia" w:hAnsi="Aptos Narrow"/>
              </w:rPr>
              <w:t>1 indicates that some predictions are too extreme (e.g. predictions close to 1 are too high, and predictions close to 0 are too low), and a slope</w:t>
            </w:r>
            <w:r w:rsidRPr="00E76FBA">
              <w:rPr>
                <w:rFonts w:ascii="Arial" w:eastAsiaTheme="minorEastAsia" w:hAnsi="Arial" w:cs="Arial"/>
              </w:rPr>
              <w:t> </w:t>
            </w:r>
            <w:r w:rsidRPr="00E76FBA">
              <w:rPr>
                <w:rFonts w:ascii="Aptos Narrow" w:eastAsiaTheme="minorEastAsia" w:hAnsi="Aptos Narrow"/>
              </w:rPr>
              <w:t>&gt;</w:t>
            </w:r>
            <w:r w:rsidRPr="00E76FBA">
              <w:rPr>
                <w:rFonts w:ascii="Arial" w:eastAsiaTheme="minorEastAsia" w:hAnsi="Arial" w:cs="Arial"/>
              </w:rPr>
              <w:t> </w:t>
            </w:r>
            <w:r w:rsidRPr="00E76FBA">
              <w:rPr>
                <w:rFonts w:ascii="Aptos Narrow" w:eastAsiaTheme="minorEastAsia" w:hAnsi="Aptos Narrow"/>
              </w:rPr>
              <w:t>1 indicates predictions are too narrow. A calibration slope</w:t>
            </w:r>
            <w:r w:rsidRPr="00E76FBA">
              <w:rPr>
                <w:rFonts w:ascii="Arial" w:eastAsiaTheme="minorEastAsia" w:hAnsi="Arial" w:cs="Arial"/>
              </w:rPr>
              <w:t> </w:t>
            </w:r>
            <w:r w:rsidRPr="00E76FBA">
              <w:rPr>
                <w:rFonts w:ascii="Aptos Narrow" w:eastAsiaTheme="minorEastAsia" w:hAnsi="Aptos Narrow"/>
              </w:rPr>
              <w:t>&lt;</w:t>
            </w:r>
            <w:r w:rsidRPr="00E76FBA">
              <w:rPr>
                <w:rFonts w:ascii="Arial" w:eastAsiaTheme="minorEastAsia" w:hAnsi="Arial" w:cs="Arial"/>
              </w:rPr>
              <w:t> </w:t>
            </w:r>
            <w:r w:rsidRPr="00E76FBA">
              <w:rPr>
                <w:rFonts w:ascii="Aptos Narrow" w:eastAsiaTheme="minorEastAsia" w:hAnsi="Aptos Narrow"/>
              </w:rPr>
              <w:t>1 is often observed in validation studies, consistent with over-fitting in the original model development</w:t>
            </w:r>
          </w:p>
        </w:tc>
      </w:tr>
      <w:tr w:rsidR="004A2FFD" w:rsidRPr="00E76FBA" w14:paraId="7017DF99"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6276343" w14:textId="77777777" w:rsidR="004A2FFD" w:rsidRPr="00E76FBA" w:rsidRDefault="004A2FFD" w:rsidP="00FF5991">
            <w:pPr>
              <w:spacing w:after="160" w:line="276" w:lineRule="auto"/>
              <w:rPr>
                <w:rFonts w:ascii="Aptos Narrow" w:eastAsiaTheme="minorEastAsia" w:hAnsi="Aptos Narrow"/>
              </w:rPr>
            </w:pPr>
            <w:r w:rsidRPr="00E76FBA">
              <w:rPr>
                <w:rFonts w:ascii="Aptos Narrow" w:eastAsiaTheme="minorEastAsia" w:hAnsi="Aptos Narrow"/>
              </w:rPr>
              <w:t>(b) Calibration-in-the-large (calibration intercept)</w:t>
            </w:r>
          </w:p>
        </w:tc>
      </w:tr>
      <w:tr w:rsidR="004A2FFD" w:rsidRPr="00E76FBA" w14:paraId="4CED019D"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EE9DDC0" w14:textId="77777777" w:rsidR="004A2FFD" w:rsidRPr="00E76FBA" w:rsidRDefault="004A2FFD" w:rsidP="00FF5991">
            <w:pPr>
              <w:spacing w:after="160" w:line="276" w:lineRule="auto"/>
              <w:jc w:val="both"/>
              <w:rPr>
                <w:rFonts w:ascii="Aptos Narrow" w:eastAsiaTheme="minorEastAsia" w:hAnsi="Aptos Narrow"/>
              </w:rPr>
            </w:pPr>
            <w:r w:rsidRPr="00E76FBA">
              <w:rPr>
                <w:rFonts w:ascii="Aptos Narrow" w:eastAsiaTheme="minorEastAsia" w:hAnsi="Aptos Narrow"/>
              </w:rPr>
              <w:t xml:space="preserve">The calibration intercept compares the mean of all predicted risks with the mean observed risk, i.e. on average how close is predicted to observed in the whole dataset. This parameter hence indicates the extent that predictions are systematically too low or too high. It can be well assessed graphically, in a plot with predictions on the </w:t>
            </w:r>
            <w:r w:rsidRPr="00E76FBA">
              <w:rPr>
                <w:rFonts w:ascii="Aptos Narrow" w:eastAsiaTheme="minorEastAsia" w:hAnsi="Aptos Narrow"/>
                <w:i/>
              </w:rPr>
              <w:t>x</w:t>
            </w:r>
            <w:r w:rsidRPr="00E76FBA">
              <w:rPr>
                <w:rFonts w:ascii="Aptos Narrow" w:eastAsiaTheme="minorEastAsia" w:hAnsi="Aptos Narrow"/>
              </w:rPr>
              <w:t xml:space="preserve">-axis and the observed endpoint on the </w:t>
            </w:r>
            <w:r w:rsidRPr="00E76FBA">
              <w:rPr>
                <w:rFonts w:ascii="Aptos Narrow" w:eastAsiaTheme="minorEastAsia" w:hAnsi="Aptos Narrow"/>
                <w:i/>
              </w:rPr>
              <w:t>y</w:t>
            </w:r>
            <w:r w:rsidRPr="00E76FBA">
              <w:rPr>
                <w:rFonts w:ascii="Aptos Narrow" w:eastAsiaTheme="minorEastAsia" w:hAnsi="Aptos Narrow"/>
              </w:rPr>
              <w:t xml:space="preserve">-axis. The observed values on the </w:t>
            </w:r>
            <w:r w:rsidRPr="00E76FBA">
              <w:rPr>
                <w:rFonts w:ascii="Aptos Narrow" w:eastAsiaTheme="minorEastAsia" w:hAnsi="Aptos Narrow"/>
                <w:i/>
              </w:rPr>
              <w:t>y</w:t>
            </w:r>
            <w:r w:rsidRPr="00E76FBA">
              <w:rPr>
                <w:rFonts w:ascii="Aptos Narrow" w:eastAsiaTheme="minorEastAsia" w:hAnsi="Aptos Narrow"/>
              </w:rPr>
              <w:t xml:space="preserve">-axis are 0 or 1 (e.g. dead/alive), while the predictions on the </w:t>
            </w:r>
            <w:r w:rsidRPr="00E76FBA">
              <w:rPr>
                <w:rFonts w:ascii="Aptos Narrow" w:eastAsiaTheme="minorEastAsia" w:hAnsi="Aptos Narrow"/>
                <w:i/>
              </w:rPr>
              <w:t>x</w:t>
            </w:r>
            <w:r w:rsidRPr="00E76FBA">
              <w:rPr>
                <w:rFonts w:ascii="Aptos Narrow" w:eastAsiaTheme="minorEastAsia" w:hAnsi="Aptos Narrow"/>
              </w:rPr>
              <w:t>-axis range between 0 and 100% with the intercept representing calibration-in-the-large</w:t>
            </w:r>
          </w:p>
        </w:tc>
      </w:tr>
      <w:tr w:rsidR="004A2FFD" w:rsidRPr="00E76FBA" w14:paraId="7F15CDE9"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B63CF55" w14:textId="77777777" w:rsidR="004A2FFD" w:rsidRPr="00E76FBA" w:rsidRDefault="004A2FFD" w:rsidP="00FF5991">
            <w:pPr>
              <w:spacing w:after="160" w:line="276" w:lineRule="auto"/>
              <w:rPr>
                <w:rFonts w:ascii="Aptos Narrow" w:eastAsiaTheme="minorEastAsia" w:hAnsi="Aptos Narrow"/>
              </w:rPr>
            </w:pPr>
            <w:r w:rsidRPr="00E76FBA">
              <w:rPr>
                <w:rFonts w:ascii="Aptos Narrow" w:eastAsiaTheme="minorEastAsia" w:hAnsi="Aptos Narrow"/>
              </w:rPr>
              <w:t>2. Discrimination</w:t>
            </w:r>
          </w:p>
        </w:tc>
      </w:tr>
      <w:tr w:rsidR="004A2FFD" w:rsidRPr="00E76FBA" w14:paraId="6B8BF05E" w14:textId="77777777" w:rsidTr="00FF5991">
        <w:trPr>
          <w:trHeight w:val="300"/>
        </w:trPr>
        <w:tc>
          <w:tcPr>
            <w:tcW w:w="90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2896247" w14:textId="77777777" w:rsidR="004A2FFD" w:rsidRPr="00E76FBA" w:rsidRDefault="004A2FFD" w:rsidP="00FF5991">
            <w:pPr>
              <w:spacing w:after="160" w:line="276" w:lineRule="auto"/>
              <w:jc w:val="both"/>
              <w:rPr>
                <w:rFonts w:ascii="Aptos Narrow" w:eastAsiaTheme="minorEastAsia" w:hAnsi="Aptos Narrow"/>
              </w:rPr>
            </w:pPr>
            <w:r w:rsidRPr="00E76FBA">
              <w:rPr>
                <w:rFonts w:ascii="Aptos Narrow" w:eastAsiaTheme="minorEastAsia" w:hAnsi="Aptos Narrow"/>
              </w:rPr>
              <w:t>This is a measure of a prediction model’s separation between those with or without the o</w:t>
            </w:r>
            <w:r>
              <w:rPr>
                <w:rFonts w:ascii="Aptos Narrow" w:eastAsiaTheme="minorEastAsia" w:hAnsi="Aptos Narrow"/>
              </w:rPr>
              <w:t xml:space="preserve">utcome, </w:t>
            </w:r>
            <w:r w:rsidRPr="00E76FBA">
              <w:rPr>
                <w:rFonts w:ascii="Aptos Narrow" w:eastAsiaTheme="minorEastAsia" w:hAnsi="Aptos Narrow"/>
              </w:rPr>
              <w:t>usually represented by the c-statistic</w:t>
            </w:r>
            <w:r>
              <w:rPr>
                <w:rFonts w:ascii="Aptos Narrow" w:eastAsiaTheme="minorEastAsia" w:hAnsi="Aptos Narrow"/>
              </w:rPr>
              <w:t xml:space="preserve">, </w:t>
            </w:r>
            <w:r w:rsidRPr="00E76FBA">
              <w:rPr>
                <w:rFonts w:ascii="Aptos Narrow" w:eastAsiaTheme="minorEastAsia" w:hAnsi="Aptos Narrow"/>
              </w:rPr>
              <w:t>which is also known as the concordance index or, for binary outcomes, the area under the receiver operating characteristic (AUROC) curve. It gives the probability that for any randomly selected pair of individuals, one who died and one who survived (outcome), the model assigns a higher probability to the individual who died (outcome). A value of 1 indicates the model has perfect discrimination, while a value of 0.5 indicates the model discriminates no better than chance</w:t>
            </w:r>
          </w:p>
        </w:tc>
      </w:tr>
    </w:tbl>
    <w:p w14:paraId="7291374A" w14:textId="77777777" w:rsidR="004A2FFD" w:rsidRDefault="004A2FFD" w:rsidP="004A2FFD">
      <w:pPr>
        <w:suppressLineNumbers/>
      </w:pPr>
    </w:p>
    <w:p w14:paraId="48030D70" w14:textId="77777777" w:rsidR="004A2FFD" w:rsidRDefault="004A2FFD" w:rsidP="004A2FFD">
      <w:pPr>
        <w:suppressLineNumbers/>
      </w:pPr>
    </w:p>
    <w:p w14:paraId="38276FC2" w14:textId="77777777" w:rsidR="004A2FFD" w:rsidRPr="00282F38" w:rsidRDefault="004A2FFD" w:rsidP="004A2FFD">
      <w:pPr>
        <w:suppressLineNumbers/>
      </w:pPr>
    </w:p>
    <w:p w14:paraId="5BF738CC" w14:textId="77777777" w:rsidR="004A2FFD" w:rsidRDefault="004A2FFD" w:rsidP="004A2FFD">
      <w:pPr>
        <w:suppressLineNumbers/>
      </w:pPr>
    </w:p>
    <w:p w14:paraId="364AC35A" w14:textId="77777777" w:rsidR="004A2FFD" w:rsidRDefault="004A2FFD" w:rsidP="004A2FFD">
      <w:pPr>
        <w:suppressLineNumbers/>
      </w:pPr>
    </w:p>
    <w:p w14:paraId="6D3513FB" w14:textId="77777777" w:rsidR="004A2FFD" w:rsidRDefault="004A2FFD" w:rsidP="004A2FFD">
      <w:pPr>
        <w:suppressLineNumbers/>
      </w:pPr>
    </w:p>
    <w:p w14:paraId="284C7E8B" w14:textId="77777777" w:rsidR="004A2FFD" w:rsidRDefault="004A2FFD" w:rsidP="004A2FFD">
      <w:pPr>
        <w:pStyle w:val="Caption"/>
        <w:rPr>
          <w:sz w:val="24"/>
          <w:szCs w:val="24"/>
        </w:rPr>
      </w:pPr>
      <w:r w:rsidRPr="008A5CB3">
        <w:rPr>
          <w:b/>
          <w:bCs/>
          <w:sz w:val="24"/>
          <w:szCs w:val="24"/>
        </w:rPr>
        <w:t xml:space="preserve">Supplementary Figure </w:t>
      </w:r>
      <w:r w:rsidRPr="008A5CB3">
        <w:rPr>
          <w:b/>
          <w:bCs/>
          <w:sz w:val="24"/>
          <w:szCs w:val="24"/>
        </w:rPr>
        <w:fldChar w:fldCharType="begin"/>
      </w:r>
      <w:r w:rsidRPr="008A5CB3">
        <w:rPr>
          <w:b/>
          <w:bCs/>
          <w:sz w:val="24"/>
          <w:szCs w:val="24"/>
        </w:rPr>
        <w:instrText xml:space="preserve"> SEQ Suplementary_Figure \* ARABIC </w:instrText>
      </w:r>
      <w:r w:rsidRPr="008A5CB3">
        <w:rPr>
          <w:b/>
          <w:bCs/>
          <w:sz w:val="24"/>
          <w:szCs w:val="24"/>
        </w:rPr>
        <w:fldChar w:fldCharType="separate"/>
      </w:r>
      <w:r w:rsidRPr="008A5CB3">
        <w:rPr>
          <w:b/>
          <w:bCs/>
          <w:noProof/>
          <w:sz w:val="24"/>
          <w:szCs w:val="24"/>
        </w:rPr>
        <w:t>1</w:t>
      </w:r>
      <w:r w:rsidRPr="008A5CB3">
        <w:rPr>
          <w:b/>
          <w:bCs/>
          <w:sz w:val="24"/>
          <w:szCs w:val="24"/>
        </w:rPr>
        <w:fldChar w:fldCharType="end"/>
      </w:r>
      <w:r w:rsidRPr="008A5CB3">
        <w:rPr>
          <w:sz w:val="24"/>
          <w:szCs w:val="24"/>
        </w:rPr>
        <w:t>: pSBI signs and symptoms present in the different datasets</w:t>
      </w:r>
    </w:p>
    <w:p w14:paraId="199F65CD" w14:textId="77777777" w:rsidR="004A2FFD" w:rsidRDefault="004A2FFD" w:rsidP="004A2FFD">
      <w:pPr>
        <w:pStyle w:val="Caption"/>
        <w:suppressLineNumbers/>
        <w:rPr>
          <w:b/>
          <w:bCs/>
          <w:sz w:val="24"/>
          <w:szCs w:val="24"/>
        </w:rPr>
      </w:pPr>
      <w:r w:rsidRPr="008A5CB3">
        <w:rPr>
          <w:b/>
          <w:bCs/>
          <w:sz w:val="24"/>
          <w:szCs w:val="24"/>
        </w:rPr>
        <w:t xml:space="preserve">Supplementary Figure </w:t>
      </w:r>
      <w:r w:rsidRPr="008A5CB3">
        <w:rPr>
          <w:b/>
          <w:bCs/>
          <w:sz w:val="24"/>
          <w:szCs w:val="24"/>
        </w:rPr>
        <w:fldChar w:fldCharType="begin"/>
      </w:r>
      <w:r w:rsidRPr="008A5CB3">
        <w:rPr>
          <w:b/>
          <w:bCs/>
          <w:sz w:val="24"/>
          <w:szCs w:val="24"/>
        </w:rPr>
        <w:instrText xml:space="preserve"> SEQ Suplementary_Figure \* ARABIC </w:instrText>
      </w:r>
      <w:r w:rsidRPr="008A5CB3">
        <w:rPr>
          <w:b/>
          <w:bCs/>
          <w:sz w:val="24"/>
          <w:szCs w:val="24"/>
        </w:rPr>
        <w:fldChar w:fldCharType="separate"/>
      </w:r>
      <w:r w:rsidRPr="008A5CB3">
        <w:rPr>
          <w:b/>
          <w:bCs/>
          <w:noProof/>
          <w:sz w:val="24"/>
          <w:szCs w:val="24"/>
        </w:rPr>
        <w:t>2</w:t>
      </w:r>
      <w:r w:rsidRPr="008A5CB3">
        <w:rPr>
          <w:b/>
          <w:bCs/>
          <w:sz w:val="24"/>
          <w:szCs w:val="24"/>
        </w:rPr>
        <w:fldChar w:fldCharType="end"/>
      </w:r>
      <w:r w:rsidRPr="008A5CB3">
        <w:rPr>
          <w:sz w:val="24"/>
          <w:szCs w:val="24"/>
        </w:rPr>
        <w:t>: Patterns of pSBI signs and symptoms missingness in the different datasets</w:t>
      </w:r>
      <w:r w:rsidRPr="008A5CB3">
        <w:rPr>
          <w:b/>
          <w:bCs/>
          <w:sz w:val="24"/>
          <w:szCs w:val="24"/>
        </w:rPr>
        <w:t xml:space="preserve"> </w:t>
      </w:r>
    </w:p>
    <w:p w14:paraId="13113202" w14:textId="77777777" w:rsidR="004A2FFD" w:rsidRPr="008A5CB3" w:rsidRDefault="004A2FFD" w:rsidP="004A2FFD">
      <w:pPr>
        <w:pStyle w:val="Caption"/>
        <w:suppressLineNumbers/>
        <w:rPr>
          <w:b/>
          <w:bCs/>
          <w:sz w:val="24"/>
          <w:szCs w:val="24"/>
        </w:rPr>
      </w:pPr>
      <w:r w:rsidRPr="008A5CB3">
        <w:rPr>
          <w:b/>
          <w:bCs/>
          <w:sz w:val="24"/>
          <w:szCs w:val="24"/>
        </w:rPr>
        <w:t xml:space="preserve">Supplementary Figure </w:t>
      </w:r>
      <w:r w:rsidRPr="008A5CB3">
        <w:rPr>
          <w:b/>
          <w:bCs/>
          <w:sz w:val="24"/>
          <w:szCs w:val="24"/>
        </w:rPr>
        <w:fldChar w:fldCharType="begin"/>
      </w:r>
      <w:r w:rsidRPr="008A5CB3">
        <w:rPr>
          <w:b/>
          <w:bCs/>
          <w:sz w:val="24"/>
          <w:szCs w:val="24"/>
        </w:rPr>
        <w:instrText xml:space="preserve"> SEQ Suplementary_Figure \* ARABIC </w:instrText>
      </w:r>
      <w:r w:rsidRPr="008A5CB3">
        <w:rPr>
          <w:b/>
          <w:bCs/>
          <w:sz w:val="24"/>
          <w:szCs w:val="24"/>
        </w:rPr>
        <w:fldChar w:fldCharType="separate"/>
      </w:r>
      <w:r w:rsidRPr="008A5CB3">
        <w:rPr>
          <w:b/>
          <w:bCs/>
          <w:noProof/>
          <w:sz w:val="24"/>
          <w:szCs w:val="24"/>
        </w:rPr>
        <w:t>3</w:t>
      </w:r>
      <w:r w:rsidRPr="008A5CB3">
        <w:rPr>
          <w:b/>
          <w:bCs/>
          <w:sz w:val="24"/>
          <w:szCs w:val="24"/>
        </w:rPr>
        <w:fldChar w:fldCharType="end"/>
      </w:r>
      <w:r w:rsidRPr="008A5CB3">
        <w:rPr>
          <w:b/>
          <w:bCs/>
          <w:sz w:val="24"/>
          <w:szCs w:val="24"/>
        </w:rPr>
        <w:t xml:space="preserve">: </w:t>
      </w:r>
      <w:r w:rsidRPr="008A5CB3">
        <w:rPr>
          <w:sz w:val="24"/>
          <w:szCs w:val="24"/>
        </w:rPr>
        <w:t>Common admission diagnoses for neonates managed for sepsis (n=8012), excluding sepsis diagnosis</w:t>
      </w:r>
    </w:p>
    <w:p w14:paraId="15B8239D" w14:textId="77777777" w:rsidR="004A2FFD" w:rsidRPr="008A5CB3" w:rsidRDefault="004A2FFD" w:rsidP="004A2FFD">
      <w:pPr>
        <w:pStyle w:val="Caption"/>
        <w:suppressLineNumbers/>
        <w:rPr>
          <w:noProof/>
          <w:sz w:val="24"/>
          <w:szCs w:val="24"/>
        </w:rPr>
      </w:pPr>
      <w:r w:rsidRPr="008A5CB3">
        <w:rPr>
          <w:b/>
          <w:bCs/>
          <w:sz w:val="24"/>
          <w:szCs w:val="24"/>
        </w:rPr>
        <w:t xml:space="preserve">Supplementary Figure </w:t>
      </w:r>
      <w:r w:rsidRPr="008A5CB3">
        <w:rPr>
          <w:b/>
          <w:bCs/>
          <w:sz w:val="24"/>
          <w:szCs w:val="24"/>
        </w:rPr>
        <w:fldChar w:fldCharType="begin"/>
      </w:r>
      <w:r w:rsidRPr="008A5CB3">
        <w:rPr>
          <w:b/>
          <w:bCs/>
          <w:sz w:val="24"/>
          <w:szCs w:val="24"/>
        </w:rPr>
        <w:instrText xml:space="preserve"> SEQ Suplementary_Figure \* ARABIC </w:instrText>
      </w:r>
      <w:r w:rsidRPr="008A5CB3">
        <w:rPr>
          <w:b/>
          <w:bCs/>
          <w:sz w:val="24"/>
          <w:szCs w:val="24"/>
        </w:rPr>
        <w:fldChar w:fldCharType="separate"/>
      </w:r>
      <w:r w:rsidRPr="008A5CB3">
        <w:rPr>
          <w:b/>
          <w:bCs/>
          <w:noProof/>
          <w:sz w:val="24"/>
          <w:szCs w:val="24"/>
        </w:rPr>
        <w:t>4</w:t>
      </w:r>
      <w:r w:rsidRPr="008A5CB3">
        <w:rPr>
          <w:b/>
          <w:bCs/>
          <w:sz w:val="24"/>
          <w:szCs w:val="24"/>
        </w:rPr>
        <w:fldChar w:fldCharType="end"/>
      </w:r>
      <w:r w:rsidRPr="008A5CB3">
        <w:rPr>
          <w:b/>
          <w:bCs/>
          <w:noProof/>
          <w:sz w:val="24"/>
          <w:szCs w:val="24"/>
        </w:rPr>
        <w:t xml:space="preserve"> </w:t>
      </w:r>
      <w:r w:rsidRPr="008A5CB3">
        <w:rPr>
          <w:noProof/>
          <w:sz w:val="24"/>
          <w:szCs w:val="24"/>
        </w:rPr>
        <w:t>Feature importance for determining cluster membership, derived from use of extreme gradient boosted regression trees (xgboost)</w:t>
      </w:r>
    </w:p>
    <w:p w14:paraId="543AE9F1" w14:textId="77777777" w:rsidR="004A2FFD" w:rsidRPr="008A5CB3" w:rsidRDefault="004A2FFD" w:rsidP="004A2FFD">
      <w:pPr>
        <w:keepNext/>
        <w:suppressLineNumbers/>
      </w:pPr>
    </w:p>
    <w:p w14:paraId="732DAD52" w14:textId="77777777" w:rsidR="004A2FFD" w:rsidRPr="008A5CB3" w:rsidRDefault="004A2FFD" w:rsidP="004A2FFD">
      <w:pPr>
        <w:suppressLineNumbers/>
      </w:pPr>
    </w:p>
    <w:p w14:paraId="3A5F1CC6" w14:textId="77777777" w:rsidR="004A2FFD" w:rsidRPr="008A5CB3" w:rsidRDefault="004A2FFD" w:rsidP="004A2FFD">
      <w:pPr>
        <w:keepNext/>
        <w:suppressLineNumbers/>
      </w:pPr>
    </w:p>
    <w:p w14:paraId="6DDFA6AD" w14:textId="77777777" w:rsidR="004A2FFD" w:rsidRDefault="004A2FFD" w:rsidP="004A2FFD">
      <w:pPr>
        <w:suppressLineNumbers/>
      </w:pPr>
    </w:p>
    <w:p w14:paraId="380A3761" w14:textId="77777777" w:rsidR="004A2FFD" w:rsidRPr="00207593" w:rsidRDefault="004A2FFD" w:rsidP="004A2FFD">
      <w:pPr>
        <w:suppressLineNumbers/>
      </w:pPr>
    </w:p>
    <w:p w14:paraId="7AFB59E1" w14:textId="77777777" w:rsidR="004A2FFD" w:rsidRPr="00755D1A" w:rsidRDefault="004A2FFD" w:rsidP="004A2FFD">
      <w:pPr>
        <w:suppressLineNumbers/>
      </w:pPr>
    </w:p>
    <w:p w14:paraId="7C9BB430" w14:textId="77777777" w:rsidR="00F553FF" w:rsidRDefault="00F553FF"/>
    <w:sectPr w:rsidR="00F553FF" w:rsidSect="004A2FFD">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FD"/>
    <w:rsid w:val="003C2EF4"/>
    <w:rsid w:val="00446799"/>
    <w:rsid w:val="004A2FFD"/>
    <w:rsid w:val="006A7E07"/>
    <w:rsid w:val="00701021"/>
    <w:rsid w:val="00B74216"/>
    <w:rsid w:val="00D62F8C"/>
    <w:rsid w:val="00E97CD6"/>
    <w:rsid w:val="00F553FF"/>
    <w:rsid w:val="00F8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7C71"/>
  <w15:chartTrackingRefBased/>
  <w15:docId w15:val="{FDB762BA-409E-464C-BC9D-011183E5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FD"/>
    <w:rPr>
      <w:lang w:val="en-GB"/>
    </w:rPr>
  </w:style>
  <w:style w:type="paragraph" w:styleId="Heading1">
    <w:name w:val="heading 1"/>
    <w:basedOn w:val="Normal"/>
    <w:next w:val="Normal"/>
    <w:link w:val="Heading1Char"/>
    <w:uiPriority w:val="9"/>
    <w:qFormat/>
    <w:rsid w:val="004A2FFD"/>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unhideWhenUsed/>
    <w:qFormat/>
    <w:rsid w:val="004A2FFD"/>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4A2FFD"/>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4A2FFD"/>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4A2FFD"/>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4A2FFD"/>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4A2FFD"/>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4A2FFD"/>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4A2FFD"/>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2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FD"/>
    <w:rPr>
      <w:rFonts w:eastAsiaTheme="majorEastAsia" w:cstheme="majorBidi"/>
      <w:color w:val="272727" w:themeColor="text1" w:themeTint="D8"/>
    </w:rPr>
  </w:style>
  <w:style w:type="paragraph" w:styleId="Title">
    <w:name w:val="Title"/>
    <w:basedOn w:val="Normal"/>
    <w:next w:val="Normal"/>
    <w:link w:val="TitleChar"/>
    <w:uiPriority w:val="10"/>
    <w:qFormat/>
    <w:rsid w:val="004A2FF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A2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FD"/>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4A2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F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4A2FFD"/>
    <w:rPr>
      <w:i/>
      <w:iCs/>
      <w:color w:val="404040" w:themeColor="text1" w:themeTint="BF"/>
    </w:rPr>
  </w:style>
  <w:style w:type="paragraph" w:styleId="ListParagraph">
    <w:name w:val="List Paragraph"/>
    <w:basedOn w:val="Normal"/>
    <w:uiPriority w:val="34"/>
    <w:qFormat/>
    <w:rsid w:val="004A2FFD"/>
    <w:pPr>
      <w:ind w:left="720"/>
      <w:contextualSpacing/>
    </w:pPr>
    <w:rPr>
      <w:lang w:val="en-US"/>
    </w:rPr>
  </w:style>
  <w:style w:type="character" w:styleId="IntenseEmphasis">
    <w:name w:val="Intense Emphasis"/>
    <w:basedOn w:val="DefaultParagraphFont"/>
    <w:uiPriority w:val="21"/>
    <w:qFormat/>
    <w:rsid w:val="004A2FFD"/>
    <w:rPr>
      <w:i/>
      <w:iCs/>
      <w:color w:val="0F4761" w:themeColor="accent1" w:themeShade="BF"/>
    </w:rPr>
  </w:style>
  <w:style w:type="paragraph" w:styleId="IntenseQuote">
    <w:name w:val="Intense Quote"/>
    <w:basedOn w:val="Normal"/>
    <w:next w:val="Normal"/>
    <w:link w:val="IntenseQuoteChar"/>
    <w:uiPriority w:val="30"/>
    <w:qFormat/>
    <w:rsid w:val="004A2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4A2FFD"/>
    <w:rPr>
      <w:i/>
      <w:iCs/>
      <w:color w:val="0F4761" w:themeColor="accent1" w:themeShade="BF"/>
    </w:rPr>
  </w:style>
  <w:style w:type="character" w:styleId="IntenseReference">
    <w:name w:val="Intense Reference"/>
    <w:basedOn w:val="DefaultParagraphFont"/>
    <w:uiPriority w:val="32"/>
    <w:qFormat/>
    <w:rsid w:val="004A2FFD"/>
    <w:rPr>
      <w:b/>
      <w:bCs/>
      <w:smallCaps/>
      <w:color w:val="0F4761" w:themeColor="accent1" w:themeShade="BF"/>
      <w:spacing w:val="5"/>
    </w:rPr>
  </w:style>
  <w:style w:type="table" w:styleId="TableGrid">
    <w:name w:val="Table Grid"/>
    <w:basedOn w:val="TableNormal"/>
    <w:uiPriority w:val="39"/>
    <w:rsid w:val="004A2F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A2FFD"/>
    <w:pPr>
      <w:spacing w:after="200" w:line="240" w:lineRule="auto"/>
    </w:pPr>
    <w:rPr>
      <w:i/>
      <w:iCs/>
      <w:color w:val="0E2841" w:themeColor="text2"/>
      <w:sz w:val="18"/>
      <w:szCs w:val="18"/>
    </w:rPr>
  </w:style>
  <w:style w:type="table" w:styleId="TableGridLight">
    <w:name w:val="Grid Table Light"/>
    <w:basedOn w:val="TableNormal"/>
    <w:uiPriority w:val="40"/>
    <w:rsid w:val="004A2F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4A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9270</Characters>
  <Application>Microsoft Office Word</Application>
  <DocSecurity>0</DocSecurity>
  <Lines>77</Lines>
  <Paragraphs>21</Paragraphs>
  <ScaleCrop>false</ScaleCrop>
  <Company>Springer Nature</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2026-04-22T03:46:00Z</dcterms:created>
  <dcterms:modified xsi:type="dcterms:W3CDTF">2026-04-22T03:46:00Z</dcterms:modified>
</cp:coreProperties>
</file>