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E54A" w14:textId="7DDBA336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Supplementary Figure S</w:t>
      </w:r>
      <w:r>
        <w:rPr>
          <w:rFonts w:ascii="Times New Roman" w:hAnsi="Times New Roman" w:cs="Times New Roman" w:hint="eastAsia"/>
          <w:b/>
          <w:sz w:val="22"/>
          <w:szCs w:val="22"/>
          <w:lang w:eastAsia="ko-KR"/>
        </w:rPr>
        <w:t>1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Subgroup analysis by Philadelphia chromosome status. Overall survival (A, C) and cumulative incidence of non-relapse mortality (B, D) by donor source in Ph(+) B-ALL (A, B; n=78) and Ph(−) B-ALL (C, D; n=112). P values by log-rank test (OS) and Gray's test (NRM).</w:t>
      </w:r>
    </w:p>
    <w:p w14:paraId="5B1B8E3D" w14:textId="0F7227E6" w:rsidR="009B7134" w:rsidRPr="006F6308" w:rsidRDefault="0070767E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8788FE" wp14:editId="111E9C27">
            <wp:extent cx="5943600" cy="5094605"/>
            <wp:effectExtent l="0" t="0" r="0" b="0"/>
            <wp:docPr id="211870133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9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43A67" w14:textId="77777777" w:rsidR="000865A7" w:rsidRDefault="000865A7" w:rsidP="000865A7">
      <w:pPr>
        <w:pStyle w:val="aa"/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17EEDD7B" w14:textId="77777777" w:rsidR="000865A7" w:rsidRDefault="000865A7" w:rsidP="000865A7">
      <w:pPr>
        <w:pStyle w:val="aa"/>
        <w:spacing w:line="480" w:lineRule="auto"/>
        <w:rPr>
          <w:rFonts w:ascii="Times New Roman" w:hAnsi="Times New Roman" w:cs="Times New Roman"/>
          <w:b/>
          <w:sz w:val="22"/>
          <w:szCs w:val="22"/>
          <w:lang w:eastAsia="ko-KR"/>
        </w:rPr>
      </w:pPr>
    </w:p>
    <w:p w14:paraId="14CBBB13" w14:textId="77777777" w:rsidR="000865A7" w:rsidRDefault="000865A7" w:rsidP="000865A7">
      <w:pPr>
        <w:pStyle w:val="aa"/>
        <w:spacing w:line="480" w:lineRule="auto"/>
        <w:rPr>
          <w:rFonts w:ascii="Times New Roman" w:hAnsi="Times New Roman" w:cs="Times New Roman"/>
          <w:b/>
          <w:sz w:val="22"/>
          <w:szCs w:val="22"/>
          <w:lang w:eastAsia="ko-KR"/>
        </w:rPr>
      </w:pPr>
    </w:p>
    <w:p w14:paraId="2AE7ECD9" w14:textId="47014CDF" w:rsidR="000865A7" w:rsidRPr="006F6308" w:rsidRDefault="000865A7" w:rsidP="000865A7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Supplementary Figure S</w:t>
      </w:r>
      <w:r>
        <w:rPr>
          <w:rFonts w:ascii="Times New Roman" w:hAnsi="Times New Roman" w:cs="Times New Roman" w:hint="eastAsia"/>
          <w:b/>
          <w:sz w:val="22"/>
          <w:szCs w:val="22"/>
          <w:lang w:eastAsia="ko-KR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Sensitivity analysis: conventional donors (MSD+MUD+MMUD, n=158) versus haploidentical donors (n=32). (A) Overall survival, (B) relapse-free survival, (C) cumulative incidence of relapse, (D) cumulative incidence of NRM, (E) GRFS.</w:t>
      </w:r>
      <w:r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0AF0D411" wp14:editId="3D9406B8">
            <wp:extent cx="5943600" cy="6792595"/>
            <wp:effectExtent l="0" t="0" r="0" b="8255"/>
            <wp:docPr id="164766492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9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D3235" w14:textId="3D989050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Supplementary Figure S3.</w:t>
      </w:r>
      <w:r>
        <w:rPr>
          <w:rFonts w:ascii="Times New Roman" w:hAnsi="Times New Roman" w:cs="Times New Roman"/>
          <w:sz w:val="22"/>
          <w:szCs w:val="22"/>
        </w:rPr>
        <w:t xml:space="preserve"> GVHD-free relapse-free survival (GRFS) by donor source. GRFS events defined as grade III–IV acute GVHD, moderate/severe chronic GVHD, relapse, or death.</w:t>
      </w:r>
    </w:p>
    <w:p w14:paraId="091DA7A2" w14:textId="79EB6B11" w:rsidR="009B7134" w:rsidRPr="006F6308" w:rsidRDefault="009B7134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CEE487D" wp14:editId="0DEDA985">
            <wp:extent cx="5943600" cy="4086225"/>
            <wp:effectExtent l="0" t="0" r="0" b="9525"/>
            <wp:docPr id="120676345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AFA59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433241B7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50BB5980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53361335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75226110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6E9BC245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7CEA426E" w14:textId="77777777" w:rsidR="001C0092" w:rsidRPr="006F6308" w:rsidRDefault="001C0092" w:rsidP="001C0092">
      <w:pPr>
        <w:pStyle w:val="aa"/>
        <w:spacing w:line="480" w:lineRule="auto"/>
        <w:rPr>
          <w:rFonts w:ascii="Times New Roman" w:hAnsi="Times New Roman" w:cs="Times New Roman"/>
          <w:sz w:val="22"/>
          <w:szCs w:val="22"/>
          <w:lang w:eastAsia="ko-KR"/>
        </w:rPr>
      </w:pPr>
    </w:p>
    <w:p w14:paraId="3203CFC1" w14:textId="77777777" w:rsidR="006F6308" w:rsidRPr="006F6308" w:rsidRDefault="006F6308" w:rsidP="006F6308">
      <w:pPr>
        <w:spacing w:after="20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Cs w:val="22"/>
        </w:rPr>
        <w:lastRenderedPageBreak/>
        <w:t xml:space="preserve">Supplementary Table S1. </w:t>
      </w:r>
      <w:r>
        <w:rPr>
          <w:rFonts w:ascii="Times New Roman" w:eastAsia="Times New Roman" w:hAnsi="Times New Roman" w:cs="Times New Roman"/>
          <w:szCs w:val="22"/>
        </w:rPr>
        <w:t>Multivariable Cox regression for overall survival and relapse-free survival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1"/>
        <w:gridCol w:w="1942"/>
        <w:gridCol w:w="1960"/>
        <w:gridCol w:w="730"/>
        <w:gridCol w:w="703"/>
        <w:gridCol w:w="884"/>
        <w:gridCol w:w="730"/>
      </w:tblGrid>
      <w:tr w:rsidR="006F6308" w:rsidRPr="006F6308" w14:paraId="42870FD0" w14:textId="77777777" w:rsidTr="00EE6C70">
        <w:trPr>
          <w:gridAfter w:val="4"/>
          <w:wAfter w:w="3900" w:type="dxa"/>
        </w:trPr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45E9F7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2D942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Overall survival</w:t>
            </w:r>
          </w:p>
        </w:tc>
        <w:tc>
          <w:tcPr>
            <w:tcW w:w="30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9A6E5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Relapse-free survival</w:t>
            </w:r>
          </w:p>
        </w:tc>
      </w:tr>
      <w:tr w:rsidR="006F6308" w:rsidRPr="006F6308" w14:paraId="3316E2E8" w14:textId="77777777" w:rsidTr="00EE6C70">
        <w:tc>
          <w:tcPr>
            <w:tcW w:w="28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76781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EA599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aHR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7C792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41CCC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5AAE4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aHR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E04B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6879D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6F6308" w:rsidRPr="006F6308" w14:paraId="6EF88DDD" w14:textId="77777777" w:rsidTr="00EE6C70">
        <w:tc>
          <w:tcPr>
            <w:tcW w:w="28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0BA1CB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Donor source (ref: MSD)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4AB579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20BCCC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F7AFC8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1F650C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744B96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84853E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08B863E8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67382B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MUD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E29E3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DC8097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0.63–1.94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3E0E2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B2AEC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E8381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0.63–1.83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BC0FD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0.79</w:t>
            </w:r>
          </w:p>
        </w:tc>
      </w:tr>
      <w:tr w:rsidR="006F6308" w:rsidRPr="006F6308" w14:paraId="285CB3C7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DD629F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MMUD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1D2F1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A4BAE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0.49–1.65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A3348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237F4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D79FC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0.53–1.65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18E02B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0.82</w:t>
            </w:r>
          </w:p>
        </w:tc>
      </w:tr>
      <w:tr w:rsidR="006F6308" w:rsidRPr="006F6308" w14:paraId="140BFE6A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69B156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Haplo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C4F42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D65F32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0.93–3.27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0EC67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E0EA7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8FE79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0.79–2.61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B5730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0.24</w:t>
            </w:r>
          </w:p>
        </w:tc>
      </w:tr>
      <w:tr w:rsidR="006F6308" w:rsidRPr="006F6308" w14:paraId="405C1DB1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2BD49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 (per year)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86910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765E9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1.01–1.05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16637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F201E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3FCD9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1.00–1.04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BDF49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0.01</w:t>
            </w:r>
          </w:p>
        </w:tc>
      </w:tr>
      <w:tr w:rsidR="006F6308" w:rsidRPr="006F6308" w14:paraId="54F6028E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EBDFE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Male sex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FA4BA7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354D9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0.88–2.05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EE608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F9667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DBE9A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1.09–2.44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9E5A2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0.02</w:t>
            </w:r>
          </w:p>
        </w:tc>
      </w:tr>
      <w:tr w:rsidR="006F6308" w:rsidRPr="006F6308" w14:paraId="13B408CC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CCE0B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Ph(+)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D6CD1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86ACC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0.58–1.43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9ECAF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E72C7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E6037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0.63–1.46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20283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0.85</w:t>
            </w:r>
          </w:p>
        </w:tc>
      </w:tr>
      <w:tr w:rsidR="006F6308" w:rsidRPr="006F6308" w14:paraId="440F9811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C237C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Non-CR1 (vs CR1)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E2939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4456E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1.47–5.00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C7AAD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F21E2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2.60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7A7C8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1.44–4.69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091FA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&lt;0.01</w:t>
            </w:r>
          </w:p>
        </w:tc>
      </w:tr>
      <w:tr w:rsidR="006F6308" w:rsidRPr="006F6308" w14:paraId="5506436C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49949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Era 2016–2025 (vs 2008–2015)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D5A16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9E73CB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0.37–0.95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CCF82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57EB7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F1407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0.43–1.04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44232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</w:tr>
    </w:tbl>
    <w:p w14:paraId="6C556A69" w14:textId="77777777" w:rsidR="006F6308" w:rsidRPr="006F6308" w:rsidRDefault="006F6308" w:rsidP="006F6308">
      <w:pPr>
        <w:spacing w:before="120" w:after="10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N=190 patients. OS: 89 events. RFS: 99 events.</w:t>
      </w:r>
    </w:p>
    <w:p w14:paraId="6BED17B3" w14:textId="77777777" w:rsidR="006F6308" w:rsidRPr="006F6308" w:rsidRDefault="006F6308" w:rsidP="006F6308">
      <w:pPr>
        <w:spacing w:before="100" w:after="10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Abbreviations: aHR, adjusted hazard ratio; CI, confidence interval; OS, overall survival; RFS, relapse-free survival; MSD, matched sibling donor; MUD, matched unrelated donor; MMUD, mismatched unrelated donor; Haplo, haploidentical donor; Ph, Philadelphia chromosome.</w:t>
      </w:r>
    </w:p>
    <w:p w14:paraId="11EB5964" w14:textId="77777777" w:rsidR="00E43D31" w:rsidRPr="006F6308" w:rsidRDefault="00E43D31">
      <w:pPr>
        <w:rPr>
          <w:rFonts w:ascii="Times New Roman" w:hAnsi="Times New Roman" w:cs="Times New Roman"/>
        </w:rPr>
      </w:pPr>
    </w:p>
    <w:p w14:paraId="2790ACC4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6FD04B4A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0A0AFF70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160B0BF6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02398491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457F5897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797F584C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20C5624C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1B09AE16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03451DD8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67BFD0B2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1BD73E84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51478FBB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64945CEC" w14:textId="77777777" w:rsidR="001C0092" w:rsidRPr="006F6308" w:rsidRDefault="001C0092" w:rsidP="001C0092">
      <w:pPr>
        <w:spacing w:after="200"/>
        <w:rPr>
          <w:rFonts w:ascii="Times New Roman" w:hAnsi="Times New Roman" w:cs="Times New Roman"/>
          <w:b/>
          <w:bCs/>
        </w:rPr>
      </w:pPr>
    </w:p>
    <w:p w14:paraId="124EB224" w14:textId="77777777" w:rsidR="006F6308" w:rsidRPr="006F6308" w:rsidRDefault="006F6308" w:rsidP="006F6308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Table S2. </w:t>
      </w:r>
      <w:r>
        <w:rPr>
          <w:rFonts w:ascii="Times New Roman" w:hAnsi="Times New Roman" w:cs="Times New Roman"/>
        </w:rPr>
        <w:t>Transplant outcomes by donor source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200"/>
        <w:gridCol w:w="1100"/>
        <w:gridCol w:w="1100"/>
        <w:gridCol w:w="1100"/>
        <w:gridCol w:w="1100"/>
        <w:gridCol w:w="800"/>
      </w:tblGrid>
      <w:tr w:rsidR="006F6308" w:rsidRPr="006F6308" w14:paraId="4AFBEB34" w14:textId="77777777" w:rsidTr="00EE6C70">
        <w:tc>
          <w:tcPr>
            <w:tcW w:w="28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14DD13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72257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 (N=190)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1491A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MSD (n=72)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24E03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MUD (n=46)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BAF72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MMUD (n=40)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A7493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Haplo (n=32)</w:t>
            </w:r>
          </w:p>
        </w:tc>
        <w:tc>
          <w:tcPr>
            <w:tcW w:w="80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B16EF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6F6308" w:rsidRPr="006F6308" w14:paraId="6964B5AA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7AF724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Median follow-up, months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68045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75.8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7B0C1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73.8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8AC43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93.3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95416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F9D4D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39.2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673B8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03D5AEEF" w14:textId="77777777" w:rsidTr="00EE6C70">
        <w:tc>
          <w:tcPr>
            <w:tcW w:w="28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9A16FE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Overall survival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70FF1D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F7EA82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EC3113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239A6B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E7D6AA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22D86D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203F6C76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A4B881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2-year, % (95% CI)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46F0C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60.2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8EBEF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63.0 (52.6–75.4)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40823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64.2 (51.5–79.9)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D131B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62.1 (48.7–79.3)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6CB49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43.9 (28.2–68.5)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59A5E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20DF95DC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30ABE8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5-year, % (95% CI)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3FB03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58B62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51.9 (41.2–65.4)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51C80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52.8 (39.4–70.7)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73425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59.2 (45.6–76.9)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C47A8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31.6 (16.4–61.0)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9DDACB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</w:tr>
      <w:tr w:rsidR="006F6308" w:rsidRPr="006F6308" w14:paraId="224BDD02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84D2FE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Relapse-free survival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9F2B58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4EBD56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C27B70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064072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E31734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FDEBCD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4C282E6A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6A5EC8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2-year, % (95% CI)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C2FC5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50.8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568B3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54.6 (44.1–67.5)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278402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55.2 (42.4–72.0)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00486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 (36.7–68.2)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E72F47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32.7 (18.4–58.1)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0D7AA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1B074ABC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89841B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Median, months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9DD35C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C211D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54.7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333F6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41.1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13F1D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30968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0B63F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</w:tr>
      <w:tr w:rsidR="006F6308" w:rsidRPr="006F6308" w14:paraId="4C9C6193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CACAC5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Cumulative incidence of relapse*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D18B15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18238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7D63CD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6A97EB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531A85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2D1571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71BE1941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580FDB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2-year, %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651B07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29.2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CAA68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35.6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641BE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8E6A7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974E5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23.8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A63EA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5B6C32C6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DBC03C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5-year, %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6A8DB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CCAAF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38.5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C7594A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35.4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B92F0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4DA31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23.8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758B4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</w:tr>
      <w:tr w:rsidR="006F6308" w:rsidRPr="006F6308" w14:paraId="2CCC29C6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E4C100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Non-relapse mortality*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CD0C7E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652267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E5A115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619067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ED76F2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F8C5E1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6BE6700A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6B4D06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2-year, %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76AC9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C79BF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B6D8F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ADBF0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86B78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43.5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3B883E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60245122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650E59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5-year, %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E4103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21.4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4F34C6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A86739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8CC0A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C6F94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43.5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558D8F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</w:p>
        </w:tc>
      </w:tr>
      <w:tr w:rsidR="006F6308" w:rsidRPr="006F6308" w14:paraId="2F7F8EF4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49694E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GRFS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59BB03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684EAA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9E8ACD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3FB969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B8A9F0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5C5040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27476C7D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9BE91A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2-year, %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4A68B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9FAE90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50.8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F896B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BBB4F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1B301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32.7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0FD412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</w:tr>
      <w:tr w:rsidR="006F6308" w:rsidRPr="006F6308" w14:paraId="6F91F614" w14:textId="77777777" w:rsidTr="00EE6C70">
        <w:tc>
          <w:tcPr>
            <w:tcW w:w="28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19C8DB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Landmark analysis (day +100 survivors)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3B6468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87C484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8AFAE1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C77E66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490824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bottom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CA14EE" w14:textId="77777777" w:rsidR="006F6308" w:rsidRPr="006F6308" w:rsidRDefault="006F6308" w:rsidP="00EE6C70">
            <w:pPr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466C4553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9A54C7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Patients alive at day +100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B32558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AC6CA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D0E15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609F1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C32352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2ED9F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308" w:rsidRPr="006F6308" w14:paraId="70C25CF4" w14:textId="77777777" w:rsidTr="00EE6C70">
        <w:tc>
          <w:tcPr>
            <w:tcW w:w="2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AC5945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5-year landmark OS, %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E976EB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8400D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55.0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203DE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60.8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F3709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71.7</w:t>
            </w:r>
          </w:p>
        </w:tc>
        <w:tc>
          <w:tcPr>
            <w:tcW w:w="1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32B74D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39.2</w:t>
            </w:r>
          </w:p>
        </w:tc>
        <w:tc>
          <w:tcPr>
            <w:tcW w:w="8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AF0792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</w:tr>
      <w:tr w:rsidR="006F6308" w:rsidRPr="006F6308" w14:paraId="45EA74FE" w14:textId="77777777" w:rsidTr="00EE6C70">
        <w:tc>
          <w:tcPr>
            <w:tcW w:w="28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74F293" w14:textId="77777777" w:rsidR="006F6308" w:rsidRPr="006F6308" w:rsidRDefault="006F6308" w:rsidP="00EE6C70">
            <w:pPr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5-year landmark NRM, %*</w:t>
            </w:r>
          </w:p>
        </w:tc>
        <w:tc>
          <w:tcPr>
            <w:tcW w:w="12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8AEE0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D99F43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BFB3B1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5D775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B785E4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31.3</w:t>
            </w:r>
          </w:p>
        </w:tc>
        <w:tc>
          <w:tcPr>
            <w:tcW w:w="800" w:type="dxa"/>
            <w:tcBorders>
              <w:bottom w:val="single" w:sz="8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985465" w14:textId="77777777" w:rsidR="006F6308" w:rsidRPr="006F6308" w:rsidRDefault="006F6308" w:rsidP="00EE6C70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</w:tr>
    </w:tbl>
    <w:p w14:paraId="4E9706FE" w14:textId="77777777" w:rsidR="006F6308" w:rsidRPr="006F6308" w:rsidRDefault="006F6308" w:rsidP="006F63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* Cumulative incidence estimates with competing risks (relapse and NRM as competing events). P values by Gray’s test. OS, RFS, and GRFS: P values by log-rank test. GRFS events defined as grade III–IV acute GVHD, moderate/severe chronic GVHD, relapse, or death.</w:t>
      </w:r>
    </w:p>
    <w:p w14:paraId="3C5BBF08" w14:textId="5A6A1EE9" w:rsidR="006F6308" w:rsidRPr="006F6308" w:rsidRDefault="006F6308" w:rsidP="006F63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Abbreviations: CI, confidence interval; CIR, cumulative incidence of relapse; NRM, non-relapse mortality; GRFS, GVHD-free relapse-free survival.</w:t>
      </w:r>
    </w:p>
    <w:p w14:paraId="1A7ADD00" w14:textId="77777777" w:rsidR="001C0092" w:rsidRPr="006F6308" w:rsidRDefault="001C0092">
      <w:pPr>
        <w:rPr>
          <w:rFonts w:ascii="Times New Roman" w:hAnsi="Times New Roman" w:cs="Times New Roman"/>
        </w:rPr>
      </w:pPr>
    </w:p>
    <w:sectPr w:rsidR="001C0092" w:rsidRPr="006F6308" w:rsidSect="001C0092">
      <w:pgSz w:w="12240" w:h="15840"/>
      <w:pgMar w:top="170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8805A" w14:textId="77777777" w:rsidR="00D55DA4" w:rsidRDefault="00D55DA4" w:rsidP="006F6308">
      <w:pPr>
        <w:spacing w:after="0"/>
      </w:pPr>
      <w:r>
        <w:separator/>
      </w:r>
    </w:p>
  </w:endnote>
  <w:endnote w:type="continuationSeparator" w:id="0">
    <w:p w14:paraId="262D9E2B" w14:textId="77777777" w:rsidR="00D55DA4" w:rsidRDefault="00D55DA4" w:rsidP="006F63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B13D" w14:textId="77777777" w:rsidR="00D55DA4" w:rsidRDefault="00D55DA4" w:rsidP="006F6308">
      <w:pPr>
        <w:spacing w:after="0"/>
      </w:pPr>
      <w:r>
        <w:separator/>
      </w:r>
    </w:p>
  </w:footnote>
  <w:footnote w:type="continuationSeparator" w:id="0">
    <w:p w14:paraId="19CD5C50" w14:textId="77777777" w:rsidR="00D55DA4" w:rsidRDefault="00D55DA4" w:rsidP="006F63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92"/>
    <w:rsid w:val="000865A7"/>
    <w:rsid w:val="001C0092"/>
    <w:rsid w:val="00431EE3"/>
    <w:rsid w:val="004F4048"/>
    <w:rsid w:val="00523845"/>
    <w:rsid w:val="006F6308"/>
    <w:rsid w:val="0070767E"/>
    <w:rsid w:val="007A71DA"/>
    <w:rsid w:val="00866C63"/>
    <w:rsid w:val="008A57AD"/>
    <w:rsid w:val="00904AA3"/>
    <w:rsid w:val="009B7134"/>
    <w:rsid w:val="00BE1303"/>
    <w:rsid w:val="00CA4019"/>
    <w:rsid w:val="00D55DA4"/>
    <w:rsid w:val="00E43D31"/>
    <w:rsid w:val="00E70E21"/>
    <w:rsid w:val="00F532E9"/>
    <w:rsid w:val="00FB4822"/>
    <w:rsid w:val="00FD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AC51F"/>
  <w15:chartTrackingRefBased/>
  <w15:docId w15:val="{0038A042-F26D-492E-BB0B-BA2160F2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C00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0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C00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C00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C00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C00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C00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C00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C00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C00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C00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C00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C0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C0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C0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C0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C0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C00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C00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C0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C009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C00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C0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C00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C009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C00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C0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C00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C0092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Char3"/>
    <w:qFormat/>
    <w:rsid w:val="001C0092"/>
    <w:pPr>
      <w:widowControl/>
      <w:wordWrap/>
      <w:autoSpaceDE/>
      <w:autoSpaceDN/>
      <w:spacing w:before="180" w:after="180"/>
    </w:pPr>
    <w:rPr>
      <w:rFonts w:asciiTheme="minorHAnsi"/>
      <w:kern w:val="0"/>
      <w:sz w:val="24"/>
      <w:lang w:eastAsia="en-US"/>
      <w14:ligatures w14:val="none"/>
    </w:rPr>
  </w:style>
  <w:style w:type="character" w:customStyle="1" w:styleId="Char3">
    <w:name w:val="본문 Char"/>
    <w:basedOn w:val="a0"/>
    <w:link w:val="aa"/>
    <w:rsid w:val="001C0092"/>
    <w:rPr>
      <w:rFonts w:asciiTheme="minorHAnsi"/>
      <w:kern w:val="0"/>
      <w:sz w:val="24"/>
      <w:lang w:eastAsia="en-US"/>
      <w14:ligatures w14:val="none"/>
    </w:rPr>
  </w:style>
  <w:style w:type="paragraph" w:styleId="ab">
    <w:name w:val="header"/>
    <w:basedOn w:val="a"/>
    <w:link w:val="Char4"/>
    <w:uiPriority w:val="99"/>
    <w:unhideWhenUsed/>
    <w:rsid w:val="006F630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b"/>
    <w:uiPriority w:val="99"/>
    <w:rsid w:val="006F6308"/>
  </w:style>
  <w:style w:type="paragraph" w:styleId="ac">
    <w:name w:val="footer"/>
    <w:basedOn w:val="a"/>
    <w:link w:val="Char5"/>
    <w:uiPriority w:val="99"/>
    <w:unhideWhenUsed/>
    <w:rsid w:val="006F6308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c"/>
    <w:uiPriority w:val="99"/>
    <w:rsid w:val="006F6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Dae-Ho Choi</dc:creator>
  <cp:keywords/>
  <dc:description/>
  <cp:lastModifiedBy>Dae-Ho Choi</cp:lastModifiedBy>
  <cp:revision>3</cp:revision>
  <dcterms:created xsi:type="dcterms:W3CDTF">2026-04-02T06:51:00Z</dcterms:created>
  <dcterms:modified xsi:type="dcterms:W3CDTF">2026-04-02T06:51:00Z</dcterms:modified>
</cp:coreProperties>
</file>