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C4C86" w14:textId="77777777" w:rsidR="001038C0" w:rsidRPr="001038C0" w:rsidRDefault="001038C0" w:rsidP="001038C0">
      <w:pPr>
        <w:spacing w:before="100" w:beforeAutospacing="1" w:after="200" w:line="480" w:lineRule="auto"/>
        <w:rPr>
          <w:rFonts w:ascii="Times New Roman" w:eastAsiaTheme="minorEastAsia" w:hAnsi="Times New Roman" w:cs="Times New Roman"/>
          <w:b/>
          <w:bCs/>
          <w:sz w:val="24"/>
          <w:szCs w:val="24"/>
          <w:lang w:eastAsia="zh-CN"/>
        </w:rPr>
      </w:pPr>
      <w:r w:rsidRPr="001038C0">
        <w:rPr>
          <w:rFonts w:ascii="Times New Roman" w:eastAsiaTheme="minorEastAsia" w:hAnsi="Times New Roman" w:cs="Times New Roman"/>
          <w:b/>
          <w:bCs/>
          <w:sz w:val="24"/>
          <w:szCs w:val="24"/>
          <w:lang w:eastAsia="zh-CN"/>
        </w:rPr>
        <w:t>Supplementary Methods</w:t>
      </w:r>
    </w:p>
    <w:p w14:paraId="4F108978" w14:textId="77777777" w:rsidR="001038C0" w:rsidRPr="001038C0" w:rsidRDefault="001038C0" w:rsidP="001038C0">
      <w:pPr>
        <w:spacing w:before="100" w:beforeAutospacing="1" w:after="200" w:line="480" w:lineRule="auto"/>
        <w:ind w:firstLine="720"/>
        <w:rPr>
          <w:rFonts w:ascii="Times New Roman" w:hAnsi="Times New Roman" w:cs="Times New Roman"/>
          <w:b/>
          <w:bCs/>
          <w:sz w:val="24"/>
          <w:szCs w:val="24"/>
        </w:rPr>
      </w:pPr>
      <w:r w:rsidRPr="001038C0">
        <w:rPr>
          <w:rFonts w:ascii="Times New Roman" w:hAnsi="Times New Roman" w:cs="Times New Roman"/>
          <w:b/>
          <w:bCs/>
          <w:sz w:val="24"/>
          <w:szCs w:val="24"/>
        </w:rPr>
        <w:t>Hydrogen Oxidation Assay</w:t>
      </w:r>
    </w:p>
    <w:p w14:paraId="4876A3CC" w14:textId="219E643B" w:rsidR="001038C0" w:rsidRPr="001038C0" w:rsidRDefault="001038C0" w:rsidP="001038C0">
      <w:pPr>
        <w:spacing w:before="100" w:beforeAutospacing="1" w:after="200" w:line="480" w:lineRule="auto"/>
        <w:rPr>
          <w:rFonts w:ascii="Times New Roman" w:eastAsiaTheme="minorEastAsia" w:hAnsi="Times New Roman" w:cs="Times New Roman"/>
          <w:bCs/>
          <w:sz w:val="24"/>
          <w:szCs w:val="24"/>
          <w:lang w:eastAsia="zh-CN"/>
        </w:rPr>
      </w:pPr>
      <w:r w:rsidRPr="001038C0">
        <w:rPr>
          <w:rFonts w:ascii="Times New Roman" w:eastAsiaTheme="minorEastAsia" w:hAnsi="Times New Roman" w:cs="Times New Roman"/>
          <w:bCs/>
          <w:sz w:val="24"/>
          <w:szCs w:val="24"/>
          <w:lang w:eastAsia="zh-CN"/>
        </w:rPr>
        <w:t xml:space="preserve">Soil samples from each region (2g) were added to separate, sterile 114 mL serum bottles and sealed with butyl rubber stoppers. Hydrogen was added to the otherwise ambient headspace to achieve an initial concentration of ~10 </w:t>
      </w:r>
      <w:proofErr w:type="spellStart"/>
      <w:r w:rsidRPr="001038C0">
        <w:rPr>
          <w:rFonts w:ascii="Times New Roman" w:eastAsiaTheme="minorEastAsia" w:hAnsi="Times New Roman" w:cs="Times New Roman"/>
          <w:bCs/>
          <w:sz w:val="24"/>
          <w:szCs w:val="24"/>
          <w:lang w:eastAsia="zh-CN"/>
        </w:rPr>
        <w:t>p.p.m.v</w:t>
      </w:r>
      <w:proofErr w:type="spellEnd"/>
      <w:r w:rsidRPr="001038C0">
        <w:rPr>
          <w:rFonts w:ascii="Times New Roman" w:eastAsiaTheme="minorEastAsia" w:hAnsi="Times New Roman" w:cs="Times New Roman"/>
          <w:bCs/>
          <w:sz w:val="24"/>
          <w:szCs w:val="24"/>
          <w:lang w:eastAsia="zh-CN"/>
        </w:rPr>
        <w:t>, and the bottles were subsequently incubated at 10˚C. Headspaces were periodically subsampled (2 ml) using a gas-tight syringe (VICI Precision Sampling) and the partial pressure of hydrogen quantified using a pulsed discharge helium ionization detector (model TGA-6791-W-4U-2, Valco Instruments Company Inc.). As described by Islam et al (2019), this analyser quantifies hydrogen gas over six orders of magnitude. Soils from each region were tested in biological triplicate, with each Antarctic and Arctic sample selected from across the 200m sampling transect (section 2.2.). Concentrations of H</w:t>
      </w:r>
      <w:r w:rsidRPr="001038C0">
        <w:rPr>
          <w:rFonts w:ascii="Times New Roman" w:eastAsiaTheme="minorEastAsia" w:hAnsi="Times New Roman" w:cs="Times New Roman"/>
          <w:bCs/>
          <w:sz w:val="24"/>
          <w:szCs w:val="24"/>
          <w:vertAlign w:val="subscript"/>
          <w:lang w:eastAsia="zh-CN"/>
        </w:rPr>
        <w:t>2</w:t>
      </w:r>
      <w:r w:rsidRPr="001038C0">
        <w:rPr>
          <w:rFonts w:ascii="Times New Roman" w:eastAsiaTheme="minorEastAsia" w:hAnsi="Times New Roman" w:cs="Times New Roman"/>
          <w:bCs/>
          <w:sz w:val="24"/>
          <w:szCs w:val="24"/>
          <w:lang w:eastAsia="zh-CN"/>
        </w:rPr>
        <w:t xml:space="preserve"> in each sample were regularly calibrated against ultra-pure H</w:t>
      </w:r>
      <w:r w:rsidRPr="001038C0">
        <w:rPr>
          <w:rFonts w:ascii="Times New Roman" w:eastAsiaTheme="minorEastAsia" w:hAnsi="Times New Roman" w:cs="Times New Roman"/>
          <w:bCs/>
          <w:sz w:val="24"/>
          <w:szCs w:val="24"/>
          <w:vertAlign w:val="subscript"/>
          <w:lang w:eastAsia="zh-CN"/>
        </w:rPr>
        <w:t>2</w:t>
      </w:r>
      <w:r w:rsidRPr="001038C0">
        <w:rPr>
          <w:rFonts w:ascii="Times New Roman" w:eastAsiaTheme="minorEastAsia" w:hAnsi="Times New Roman" w:cs="Times New Roman"/>
          <w:bCs/>
          <w:sz w:val="24"/>
          <w:szCs w:val="24"/>
          <w:lang w:eastAsia="zh-CN"/>
        </w:rPr>
        <w:t xml:space="preserve"> gas standards of known concentrations, resulting in a hydrogen detection limit of 42 </w:t>
      </w:r>
      <w:proofErr w:type="spellStart"/>
      <w:r w:rsidRPr="001038C0">
        <w:rPr>
          <w:rFonts w:ascii="Times New Roman" w:eastAsiaTheme="minorEastAsia" w:hAnsi="Times New Roman" w:cs="Times New Roman"/>
          <w:bCs/>
          <w:sz w:val="24"/>
          <w:szCs w:val="24"/>
          <w:lang w:eastAsia="zh-CN"/>
        </w:rPr>
        <w:t>ppbv</w:t>
      </w:r>
      <w:proofErr w:type="spellEnd"/>
      <w:r w:rsidRPr="001038C0">
        <w:rPr>
          <w:rFonts w:ascii="Times New Roman" w:eastAsiaTheme="minorEastAsia" w:hAnsi="Times New Roman" w:cs="Times New Roman"/>
          <w:bCs/>
          <w:sz w:val="24"/>
          <w:szCs w:val="24"/>
          <w:lang w:eastAsia="zh-CN"/>
        </w:rPr>
        <w:t xml:space="preserve">. Changes in headspace hydrogen concentrations were confirmed to result from biological activity through the parallel monitoring of a heat-killed soil sample (121 °C, 15 </w:t>
      </w:r>
      <w:proofErr w:type="spellStart"/>
      <w:r w:rsidRPr="001038C0">
        <w:rPr>
          <w:rFonts w:ascii="Times New Roman" w:eastAsiaTheme="minorEastAsia" w:hAnsi="Times New Roman" w:cs="Times New Roman"/>
          <w:bCs/>
          <w:sz w:val="24"/>
          <w:szCs w:val="24"/>
          <w:lang w:eastAsia="zh-CN"/>
        </w:rPr>
        <w:t>p.s.i</w:t>
      </w:r>
      <w:proofErr w:type="spellEnd"/>
      <w:r w:rsidRPr="001038C0">
        <w:rPr>
          <w:rFonts w:ascii="Times New Roman" w:eastAsiaTheme="minorEastAsia" w:hAnsi="Times New Roman" w:cs="Times New Roman"/>
          <w:bCs/>
          <w:sz w:val="24"/>
          <w:szCs w:val="24"/>
          <w:lang w:eastAsia="zh-CN"/>
        </w:rPr>
        <w:t xml:space="preserve">., 20 min) from each site and a serum bottle containing no soil. Data produced was visualised in the R v3.5.1 environment using the ggplot2 package </w:t>
      </w:r>
      <w:r>
        <w:rPr>
          <w:rFonts w:ascii="Times New Roman" w:eastAsiaTheme="minorEastAsia" w:hAnsi="Times New Roman" w:cs="Times New Roman"/>
          <w:bCs/>
          <w:sz w:val="24"/>
          <w:szCs w:val="24"/>
          <w:lang w:eastAsia="zh-CN"/>
        </w:rPr>
        <w:t xml:space="preserve">(ver. </w:t>
      </w:r>
      <w:r w:rsidRPr="001038C0">
        <w:rPr>
          <w:rFonts w:ascii="Times New Roman" w:eastAsiaTheme="minorEastAsia" w:hAnsi="Times New Roman" w:cs="Times New Roman"/>
          <w:bCs/>
          <w:sz w:val="24"/>
          <w:szCs w:val="24"/>
          <w:lang w:eastAsia="zh-CN"/>
        </w:rPr>
        <w:t>3.3.2</w:t>
      </w:r>
      <w:r>
        <w:rPr>
          <w:rFonts w:ascii="Times New Roman" w:eastAsiaTheme="minorEastAsia" w:hAnsi="Times New Roman" w:cs="Times New Roman"/>
          <w:bCs/>
          <w:sz w:val="24"/>
          <w:szCs w:val="24"/>
          <w:lang w:eastAsia="zh-CN"/>
        </w:rPr>
        <w:t xml:space="preserve">) </w:t>
      </w:r>
      <w:r w:rsidRPr="001038C0">
        <w:rPr>
          <w:rFonts w:ascii="Times New Roman" w:eastAsiaTheme="minorEastAsia" w:hAnsi="Times New Roman" w:cs="Times New Roman"/>
          <w:bCs/>
          <w:sz w:val="24"/>
          <w:szCs w:val="24"/>
          <w:lang w:eastAsia="zh-CN"/>
        </w:rPr>
        <w:t>(Wickham 2016)</w:t>
      </w:r>
      <w:r>
        <w:rPr>
          <w:rFonts w:ascii="Times New Roman" w:eastAsiaTheme="minorEastAsia" w:hAnsi="Times New Roman" w:cs="Times New Roman"/>
          <w:bCs/>
          <w:sz w:val="24"/>
          <w:szCs w:val="24"/>
          <w:lang w:eastAsia="zh-CN"/>
        </w:rPr>
        <w:t xml:space="preserve">. </w:t>
      </w:r>
      <w:r w:rsidRPr="001038C0">
        <w:rPr>
          <w:rFonts w:ascii="Times New Roman" w:eastAsiaTheme="minorEastAsia" w:hAnsi="Times New Roman" w:cs="Times New Roman"/>
          <w:bCs/>
          <w:sz w:val="24"/>
          <w:szCs w:val="24"/>
          <w:lang w:eastAsia="zh-CN"/>
        </w:rPr>
        <w:t xml:space="preserve">The average rate of hydrogen oxidation was calculated for samples from each region using the first-order rate constants observed experimentally and the concentration of atmospheric hydrogen (530ppb) (Novelli et al., 1999). </w:t>
      </w:r>
    </w:p>
    <w:p w14:paraId="0A76B5D5" w14:textId="77777777" w:rsidR="001038C0" w:rsidRPr="001038C0" w:rsidRDefault="001038C0" w:rsidP="001038C0">
      <w:pPr>
        <w:spacing w:before="100" w:beforeAutospacing="1" w:after="200" w:line="480" w:lineRule="auto"/>
        <w:ind w:firstLine="720"/>
        <w:rPr>
          <w:rFonts w:ascii="Times New Roman" w:eastAsiaTheme="minorEastAsia" w:hAnsi="Times New Roman" w:cs="Times New Roman"/>
          <w:b/>
          <w:bCs/>
          <w:sz w:val="24"/>
          <w:szCs w:val="24"/>
          <w:lang w:eastAsia="zh-CN"/>
        </w:rPr>
      </w:pPr>
      <w:r w:rsidRPr="001038C0">
        <w:rPr>
          <w:rFonts w:ascii="Times New Roman" w:eastAsiaTheme="minorEastAsia" w:hAnsi="Times New Roman" w:cs="Times New Roman"/>
          <w:b/>
          <w:bCs/>
          <w:sz w:val="24"/>
          <w:szCs w:val="24"/>
          <w:lang w:eastAsia="zh-CN"/>
        </w:rPr>
        <w:t>CO</w:t>
      </w:r>
      <w:r w:rsidRPr="001038C0">
        <w:rPr>
          <w:rFonts w:ascii="Times New Roman" w:eastAsiaTheme="minorEastAsia" w:hAnsi="Times New Roman" w:cs="Times New Roman"/>
          <w:b/>
          <w:bCs/>
          <w:sz w:val="24"/>
          <w:szCs w:val="24"/>
          <w:vertAlign w:val="subscript"/>
          <w:lang w:eastAsia="zh-CN"/>
        </w:rPr>
        <w:t>2</w:t>
      </w:r>
      <w:r w:rsidRPr="001038C0">
        <w:rPr>
          <w:rFonts w:ascii="Times New Roman" w:eastAsiaTheme="minorEastAsia" w:hAnsi="Times New Roman" w:cs="Times New Roman"/>
          <w:b/>
          <w:bCs/>
          <w:sz w:val="24"/>
          <w:szCs w:val="24"/>
          <w:lang w:eastAsia="zh-CN"/>
        </w:rPr>
        <w:t xml:space="preserve"> Fixation Assay</w:t>
      </w:r>
    </w:p>
    <w:p w14:paraId="5C03D967" w14:textId="1DE40287" w:rsidR="00AA4C3B" w:rsidRPr="001038C0" w:rsidRDefault="001038C0" w:rsidP="001038C0">
      <w:pPr>
        <w:spacing w:before="100" w:beforeAutospacing="1" w:after="200" w:line="480" w:lineRule="auto"/>
        <w:rPr>
          <w:rFonts w:ascii="Times New Roman" w:eastAsiaTheme="minorEastAsia" w:hAnsi="Times New Roman" w:cs="Times New Roman"/>
          <w:bCs/>
          <w:sz w:val="24"/>
          <w:szCs w:val="24"/>
          <w:lang w:eastAsia="zh-CN"/>
        </w:rPr>
      </w:pPr>
      <w:r w:rsidRPr="001038C0">
        <w:rPr>
          <w:rFonts w:ascii="Times New Roman" w:eastAsiaTheme="minorEastAsia" w:hAnsi="Times New Roman" w:cs="Times New Roman"/>
          <w:bCs/>
          <w:sz w:val="24"/>
          <w:szCs w:val="24"/>
          <w:lang w:eastAsia="zh-CN"/>
        </w:rPr>
        <w:t xml:space="preserve">Briefly, each soil sample (0.25g) was added to 4 separate sterile 4 ml glass vials and sealed with a rubber septum. Gaseous </w:t>
      </w:r>
      <w:r w:rsidRPr="001038C0">
        <w:rPr>
          <w:rFonts w:ascii="Times New Roman" w:eastAsiaTheme="minorEastAsia" w:hAnsi="Times New Roman" w:cs="Times New Roman"/>
          <w:bCs/>
          <w:sz w:val="24"/>
          <w:szCs w:val="24"/>
          <w:vertAlign w:val="superscript"/>
          <w:lang w:eastAsia="zh-CN"/>
        </w:rPr>
        <w:t>14</w:t>
      </w:r>
      <w:r w:rsidRPr="001038C0">
        <w:rPr>
          <w:rFonts w:ascii="Times New Roman" w:eastAsiaTheme="minorEastAsia" w:hAnsi="Times New Roman" w:cs="Times New Roman"/>
          <w:bCs/>
          <w:sz w:val="24"/>
          <w:szCs w:val="24"/>
          <w:lang w:eastAsia="zh-CN"/>
        </w:rPr>
        <w:t>CO</w:t>
      </w:r>
      <w:r w:rsidRPr="001038C0">
        <w:rPr>
          <w:rFonts w:ascii="Times New Roman" w:eastAsiaTheme="minorEastAsia" w:hAnsi="Times New Roman" w:cs="Times New Roman"/>
          <w:bCs/>
          <w:sz w:val="24"/>
          <w:szCs w:val="24"/>
          <w:vertAlign w:val="subscript"/>
          <w:lang w:eastAsia="zh-CN"/>
        </w:rPr>
        <w:t>2</w:t>
      </w:r>
      <w:r w:rsidRPr="001038C0">
        <w:rPr>
          <w:rFonts w:ascii="Times New Roman" w:eastAsiaTheme="minorEastAsia" w:hAnsi="Times New Roman" w:cs="Times New Roman"/>
          <w:bCs/>
          <w:sz w:val="24"/>
          <w:szCs w:val="24"/>
          <w:lang w:eastAsia="zh-CN"/>
        </w:rPr>
        <w:t xml:space="preserve"> (1% v/v) was generated by combining 5 </w:t>
      </w:r>
      <w:proofErr w:type="spellStart"/>
      <w:r w:rsidRPr="001038C0">
        <w:rPr>
          <w:rFonts w:ascii="Times New Roman" w:eastAsiaTheme="minorEastAsia" w:hAnsi="Times New Roman" w:cs="Times New Roman"/>
          <w:bCs/>
          <w:sz w:val="24"/>
          <w:szCs w:val="24"/>
          <w:lang w:eastAsia="zh-CN"/>
        </w:rPr>
        <w:t>μl</w:t>
      </w:r>
      <w:proofErr w:type="spellEnd"/>
      <w:r w:rsidRPr="001038C0">
        <w:rPr>
          <w:rFonts w:ascii="Times New Roman" w:eastAsiaTheme="minorEastAsia" w:hAnsi="Times New Roman" w:cs="Times New Roman"/>
          <w:bCs/>
          <w:sz w:val="24"/>
          <w:szCs w:val="24"/>
          <w:lang w:eastAsia="zh-CN"/>
        </w:rPr>
        <w:t xml:space="preserve"> </w:t>
      </w:r>
      <w:r w:rsidRPr="001038C0">
        <w:rPr>
          <w:rFonts w:ascii="Times New Roman" w:eastAsiaTheme="minorEastAsia" w:hAnsi="Times New Roman" w:cs="Times New Roman"/>
          <w:bCs/>
          <w:sz w:val="24"/>
          <w:szCs w:val="24"/>
          <w:lang w:eastAsia="zh-CN"/>
        </w:rPr>
        <w:lastRenderedPageBreak/>
        <w:t xml:space="preserve">radiolabelled sodium bicarbonate solution (NaH14CO3, Perkin Elmer, 53.1 </w:t>
      </w:r>
      <w:proofErr w:type="spellStart"/>
      <w:r w:rsidRPr="001038C0">
        <w:rPr>
          <w:rFonts w:ascii="Times New Roman" w:eastAsiaTheme="minorEastAsia" w:hAnsi="Times New Roman" w:cs="Times New Roman"/>
          <w:bCs/>
          <w:sz w:val="24"/>
          <w:szCs w:val="24"/>
          <w:lang w:eastAsia="zh-CN"/>
        </w:rPr>
        <w:t>mCi</w:t>
      </w:r>
      <w:proofErr w:type="spellEnd"/>
      <w:r w:rsidRPr="001038C0">
        <w:rPr>
          <w:rFonts w:ascii="Times New Roman" w:eastAsiaTheme="minorEastAsia" w:hAnsi="Times New Roman" w:cs="Times New Roman"/>
          <w:bCs/>
          <w:sz w:val="24"/>
          <w:szCs w:val="24"/>
          <w:lang w:eastAsia="zh-CN"/>
        </w:rPr>
        <w:t xml:space="preserve"> nmol−1) with 75 μ l10% HCl solution, and then injected into the headspace of each vial using a gas-tight syringe to obtain a mixing ratio of 400 </w:t>
      </w:r>
      <w:proofErr w:type="spellStart"/>
      <w:r w:rsidRPr="001038C0">
        <w:rPr>
          <w:rFonts w:ascii="Times New Roman" w:eastAsiaTheme="minorEastAsia" w:hAnsi="Times New Roman" w:cs="Times New Roman"/>
          <w:bCs/>
          <w:sz w:val="24"/>
          <w:szCs w:val="24"/>
          <w:lang w:eastAsia="zh-CN"/>
        </w:rPr>
        <w:t>p.p.m.v</w:t>
      </w:r>
      <w:proofErr w:type="spellEnd"/>
      <w:r w:rsidRPr="001038C0">
        <w:rPr>
          <w:rFonts w:ascii="Times New Roman" w:eastAsiaTheme="minorEastAsia" w:hAnsi="Times New Roman" w:cs="Times New Roman"/>
          <w:bCs/>
          <w:sz w:val="24"/>
          <w:szCs w:val="24"/>
          <w:lang w:eastAsia="zh-CN"/>
        </w:rPr>
        <w:t xml:space="preserve"> and otherwise ambient air. To two of the four vials, H</w:t>
      </w:r>
      <w:r w:rsidRPr="001038C0">
        <w:rPr>
          <w:rFonts w:ascii="Times New Roman" w:eastAsiaTheme="minorEastAsia" w:hAnsi="Times New Roman" w:cs="Times New Roman"/>
          <w:bCs/>
          <w:sz w:val="24"/>
          <w:szCs w:val="24"/>
          <w:vertAlign w:val="subscript"/>
          <w:lang w:eastAsia="zh-CN"/>
        </w:rPr>
        <w:t>2</w:t>
      </w:r>
      <w:r w:rsidRPr="001038C0">
        <w:rPr>
          <w:rFonts w:ascii="Times New Roman" w:eastAsiaTheme="minorEastAsia" w:hAnsi="Times New Roman" w:cs="Times New Roman"/>
          <w:bCs/>
          <w:sz w:val="24"/>
          <w:szCs w:val="24"/>
          <w:lang w:eastAsia="zh-CN"/>
        </w:rPr>
        <w:t xml:space="preserve"> was also added to achieve a mixing ratio of 100 </w:t>
      </w:r>
      <w:proofErr w:type="spellStart"/>
      <w:r w:rsidRPr="001038C0">
        <w:rPr>
          <w:rFonts w:ascii="Times New Roman" w:eastAsiaTheme="minorEastAsia" w:hAnsi="Times New Roman" w:cs="Times New Roman"/>
          <w:bCs/>
          <w:sz w:val="24"/>
          <w:szCs w:val="24"/>
          <w:lang w:eastAsia="zh-CN"/>
        </w:rPr>
        <w:t>p.p.m.v</w:t>
      </w:r>
      <w:proofErr w:type="spellEnd"/>
      <w:r w:rsidRPr="001038C0">
        <w:rPr>
          <w:rFonts w:ascii="Times New Roman" w:eastAsiaTheme="minorEastAsia" w:hAnsi="Times New Roman" w:cs="Times New Roman"/>
          <w:bCs/>
          <w:sz w:val="24"/>
          <w:szCs w:val="24"/>
          <w:lang w:eastAsia="zh-CN"/>
        </w:rPr>
        <w:t xml:space="preserve">. Sample groups containing </w:t>
      </w:r>
      <w:r w:rsidRPr="001038C0">
        <w:rPr>
          <w:rFonts w:ascii="Times New Roman" w:eastAsiaTheme="minorEastAsia" w:hAnsi="Times New Roman" w:cs="Times New Roman"/>
          <w:bCs/>
          <w:sz w:val="24"/>
          <w:szCs w:val="24"/>
          <w:vertAlign w:val="superscript"/>
          <w:lang w:eastAsia="zh-CN"/>
        </w:rPr>
        <w:t>14</w:t>
      </w:r>
      <w:r w:rsidRPr="001038C0">
        <w:rPr>
          <w:rFonts w:ascii="Times New Roman" w:eastAsiaTheme="minorEastAsia" w:hAnsi="Times New Roman" w:cs="Times New Roman"/>
          <w:bCs/>
          <w:sz w:val="24"/>
          <w:szCs w:val="24"/>
          <w:lang w:eastAsia="zh-CN"/>
        </w:rPr>
        <w:t>CO</w:t>
      </w:r>
      <w:r w:rsidRPr="001038C0">
        <w:rPr>
          <w:rFonts w:ascii="Times New Roman" w:eastAsiaTheme="minorEastAsia" w:hAnsi="Times New Roman" w:cs="Times New Roman"/>
          <w:bCs/>
          <w:sz w:val="24"/>
          <w:szCs w:val="24"/>
          <w:vertAlign w:val="subscript"/>
          <w:lang w:eastAsia="zh-CN"/>
        </w:rPr>
        <w:t>2</w:t>
      </w:r>
      <w:r w:rsidRPr="001038C0">
        <w:rPr>
          <w:rFonts w:ascii="Times New Roman" w:eastAsiaTheme="minorEastAsia" w:hAnsi="Times New Roman" w:cs="Times New Roman"/>
          <w:bCs/>
          <w:sz w:val="24"/>
          <w:szCs w:val="24"/>
          <w:lang w:eastAsia="zh-CN"/>
        </w:rPr>
        <w:t xml:space="preserve"> and H</w:t>
      </w:r>
      <w:r w:rsidRPr="001038C0">
        <w:rPr>
          <w:rFonts w:ascii="Times New Roman" w:eastAsiaTheme="minorEastAsia" w:hAnsi="Times New Roman" w:cs="Times New Roman"/>
          <w:bCs/>
          <w:sz w:val="24"/>
          <w:szCs w:val="24"/>
          <w:vertAlign w:val="subscript"/>
          <w:lang w:eastAsia="zh-CN"/>
        </w:rPr>
        <w:t>2</w:t>
      </w:r>
      <w:r w:rsidRPr="001038C0">
        <w:rPr>
          <w:rFonts w:ascii="Times New Roman" w:eastAsiaTheme="minorEastAsia" w:hAnsi="Times New Roman" w:cs="Times New Roman"/>
          <w:bCs/>
          <w:sz w:val="24"/>
          <w:szCs w:val="24"/>
          <w:lang w:eastAsia="zh-CN"/>
        </w:rPr>
        <w:t xml:space="preserve">, and only </w:t>
      </w:r>
      <w:r w:rsidRPr="001038C0">
        <w:rPr>
          <w:rFonts w:ascii="Times New Roman" w:eastAsiaTheme="minorEastAsia" w:hAnsi="Times New Roman" w:cs="Times New Roman"/>
          <w:bCs/>
          <w:sz w:val="24"/>
          <w:szCs w:val="24"/>
          <w:vertAlign w:val="superscript"/>
          <w:lang w:eastAsia="zh-CN"/>
        </w:rPr>
        <w:t>14</w:t>
      </w:r>
      <w:r w:rsidRPr="001038C0">
        <w:rPr>
          <w:rFonts w:ascii="Times New Roman" w:eastAsiaTheme="minorEastAsia" w:hAnsi="Times New Roman" w:cs="Times New Roman"/>
          <w:bCs/>
          <w:sz w:val="24"/>
          <w:szCs w:val="24"/>
          <w:lang w:eastAsia="zh-CN"/>
        </w:rPr>
        <w:t>CO</w:t>
      </w:r>
      <w:r w:rsidRPr="001038C0">
        <w:rPr>
          <w:rFonts w:ascii="Times New Roman" w:eastAsiaTheme="minorEastAsia" w:hAnsi="Times New Roman" w:cs="Times New Roman"/>
          <w:bCs/>
          <w:sz w:val="24"/>
          <w:szCs w:val="24"/>
          <w:vertAlign w:val="subscript"/>
          <w:lang w:eastAsia="zh-CN"/>
        </w:rPr>
        <w:t>2</w:t>
      </w:r>
      <w:r w:rsidRPr="001038C0">
        <w:rPr>
          <w:rFonts w:ascii="Times New Roman" w:eastAsiaTheme="minorEastAsia" w:hAnsi="Times New Roman" w:cs="Times New Roman"/>
          <w:bCs/>
          <w:sz w:val="24"/>
          <w:szCs w:val="24"/>
          <w:lang w:eastAsia="zh-CN"/>
        </w:rPr>
        <w:t xml:space="preserve"> were then incubated under both light and dark conditions at 10℃ for 96h. To remove any unassimilated </w:t>
      </w:r>
      <w:r w:rsidRPr="001038C0">
        <w:rPr>
          <w:rFonts w:ascii="Times New Roman" w:eastAsiaTheme="minorEastAsia" w:hAnsi="Times New Roman" w:cs="Times New Roman"/>
          <w:bCs/>
          <w:sz w:val="24"/>
          <w:szCs w:val="24"/>
          <w:vertAlign w:val="superscript"/>
          <w:lang w:eastAsia="zh-CN"/>
        </w:rPr>
        <w:t>14</w:t>
      </w:r>
      <w:r w:rsidRPr="001038C0">
        <w:rPr>
          <w:rFonts w:ascii="Times New Roman" w:eastAsiaTheme="minorEastAsia" w:hAnsi="Times New Roman" w:cs="Times New Roman"/>
          <w:bCs/>
          <w:sz w:val="24"/>
          <w:szCs w:val="24"/>
          <w:lang w:eastAsia="zh-CN"/>
        </w:rPr>
        <w:t>CO</w:t>
      </w:r>
      <w:r w:rsidRPr="001038C0">
        <w:rPr>
          <w:rFonts w:ascii="Times New Roman" w:eastAsiaTheme="minorEastAsia" w:hAnsi="Times New Roman" w:cs="Times New Roman"/>
          <w:bCs/>
          <w:sz w:val="24"/>
          <w:szCs w:val="24"/>
          <w:vertAlign w:val="subscript"/>
          <w:lang w:eastAsia="zh-CN"/>
        </w:rPr>
        <w:t>2</w:t>
      </w:r>
      <w:r w:rsidRPr="001038C0">
        <w:rPr>
          <w:rFonts w:ascii="Times New Roman" w:eastAsiaTheme="minorEastAsia" w:hAnsi="Times New Roman" w:cs="Times New Roman"/>
          <w:bCs/>
          <w:sz w:val="24"/>
          <w:szCs w:val="24"/>
          <w:lang w:eastAsia="zh-CN"/>
        </w:rPr>
        <w:t xml:space="preserve"> prior to quantification, samples were transferred into 12 ml scintillation vials with 2 ml 10% acetic acid in ethanol and left for 12h at 30℃ to dry. Scintillation cocktail (10ml) (EcoLume) was added to each vial. A liquid scintillation spectrometer (Tri-Carb 2810 TR, Perkin Elmer) was used for radioisotope analysis, operating at 95% efficiency. Internal calibration standards were used to correct background chemiluminescence and luminescence. Negative controls were run with a heat-killed soil sample from each region. Scintillation counts from heat-killed controls were subtracted and the amount of </w:t>
      </w:r>
      <w:bookmarkStart w:id="0" w:name="_Hlk19543298"/>
      <w:r w:rsidRPr="001038C0">
        <w:rPr>
          <w:rFonts w:ascii="Times New Roman" w:eastAsiaTheme="minorEastAsia" w:hAnsi="Times New Roman" w:cs="Times New Roman"/>
          <w:bCs/>
          <w:sz w:val="24"/>
          <w:szCs w:val="24"/>
          <w:vertAlign w:val="superscript"/>
          <w:lang w:eastAsia="zh-CN"/>
        </w:rPr>
        <w:t>14</w:t>
      </w:r>
      <w:r w:rsidRPr="001038C0">
        <w:rPr>
          <w:rFonts w:ascii="Times New Roman" w:eastAsiaTheme="minorEastAsia" w:hAnsi="Times New Roman" w:cs="Times New Roman"/>
          <w:bCs/>
          <w:sz w:val="24"/>
          <w:szCs w:val="24"/>
          <w:lang w:eastAsia="zh-CN"/>
        </w:rPr>
        <w:t>CO</w:t>
      </w:r>
      <w:r w:rsidRPr="001038C0">
        <w:rPr>
          <w:rFonts w:ascii="Times New Roman" w:eastAsiaTheme="minorEastAsia" w:hAnsi="Times New Roman" w:cs="Times New Roman"/>
          <w:bCs/>
          <w:sz w:val="24"/>
          <w:szCs w:val="24"/>
          <w:vertAlign w:val="subscript"/>
          <w:lang w:eastAsia="zh-CN"/>
        </w:rPr>
        <w:t>2</w:t>
      </w:r>
      <w:bookmarkEnd w:id="0"/>
      <w:r w:rsidRPr="001038C0">
        <w:rPr>
          <w:rFonts w:ascii="Times New Roman" w:eastAsiaTheme="minorEastAsia" w:hAnsi="Times New Roman" w:cs="Times New Roman"/>
          <w:bCs/>
          <w:sz w:val="24"/>
          <w:szCs w:val="24"/>
          <w:lang w:eastAsia="zh-CN"/>
        </w:rPr>
        <w:t xml:space="preserve"> fixed per sample was calculated. From each region, three separate biological samples were analysed, each in technical triplicate. Each biological sample was identical to those analysed during the hydrogen oxidation assay (section 2.10). Outliers within the technical triplicates were discarded and the average </w:t>
      </w:r>
      <w:r w:rsidRPr="001038C0">
        <w:rPr>
          <w:rFonts w:ascii="Times New Roman" w:eastAsiaTheme="minorEastAsia" w:hAnsi="Times New Roman" w:cs="Times New Roman"/>
          <w:bCs/>
          <w:sz w:val="24"/>
          <w:szCs w:val="24"/>
          <w:vertAlign w:val="superscript"/>
          <w:lang w:eastAsia="zh-CN"/>
        </w:rPr>
        <w:t>14</w:t>
      </w:r>
      <w:r w:rsidRPr="001038C0">
        <w:rPr>
          <w:rFonts w:ascii="Times New Roman" w:eastAsiaTheme="minorEastAsia" w:hAnsi="Times New Roman" w:cs="Times New Roman"/>
          <w:bCs/>
          <w:sz w:val="24"/>
          <w:szCs w:val="24"/>
          <w:lang w:eastAsia="zh-CN"/>
        </w:rPr>
        <w:t>CO</w:t>
      </w:r>
      <w:r w:rsidRPr="001038C0">
        <w:rPr>
          <w:rFonts w:ascii="Times New Roman" w:eastAsiaTheme="minorEastAsia" w:hAnsi="Times New Roman" w:cs="Times New Roman"/>
          <w:bCs/>
          <w:sz w:val="24"/>
          <w:szCs w:val="24"/>
          <w:vertAlign w:val="subscript"/>
          <w:lang w:eastAsia="zh-CN"/>
        </w:rPr>
        <w:t xml:space="preserve">2 </w:t>
      </w:r>
      <w:r w:rsidRPr="001038C0">
        <w:rPr>
          <w:rFonts w:ascii="Times New Roman" w:eastAsiaTheme="minorEastAsia" w:hAnsi="Times New Roman" w:cs="Times New Roman"/>
          <w:bCs/>
          <w:sz w:val="24"/>
          <w:szCs w:val="24"/>
          <w:lang w:eastAsia="zh-CN"/>
        </w:rPr>
        <w:t xml:space="preserve">assimilation of each sample calculated. Data analysis and visualisation were carried out in the R </w:t>
      </w:r>
      <w:r>
        <w:rPr>
          <w:rFonts w:ascii="Times New Roman" w:eastAsiaTheme="minorEastAsia" w:hAnsi="Times New Roman" w:cs="Times New Roman"/>
          <w:bCs/>
          <w:sz w:val="24"/>
          <w:szCs w:val="24"/>
          <w:lang w:eastAsia="zh-CN"/>
        </w:rPr>
        <w:t>e</w:t>
      </w:r>
      <w:r w:rsidRPr="001038C0">
        <w:rPr>
          <w:rFonts w:ascii="Times New Roman" w:eastAsiaTheme="minorEastAsia" w:hAnsi="Times New Roman" w:cs="Times New Roman"/>
          <w:bCs/>
          <w:sz w:val="24"/>
          <w:szCs w:val="24"/>
          <w:lang w:eastAsia="zh-CN"/>
        </w:rPr>
        <w:t xml:space="preserve">nvironment (R Core Team, 2018) using the ggplot2 package (Wickham, 2016). For samples from each region, the variation in the levels of </w:t>
      </w:r>
      <w:r w:rsidRPr="001038C0">
        <w:rPr>
          <w:rFonts w:ascii="Times New Roman" w:eastAsiaTheme="minorEastAsia" w:hAnsi="Times New Roman" w:cs="Times New Roman"/>
          <w:bCs/>
          <w:sz w:val="24"/>
          <w:szCs w:val="24"/>
          <w:vertAlign w:val="superscript"/>
          <w:lang w:eastAsia="zh-CN"/>
        </w:rPr>
        <w:t>14</w:t>
      </w:r>
      <w:r w:rsidRPr="001038C0">
        <w:rPr>
          <w:rFonts w:ascii="Times New Roman" w:eastAsiaTheme="minorEastAsia" w:hAnsi="Times New Roman" w:cs="Times New Roman"/>
          <w:bCs/>
          <w:sz w:val="24"/>
          <w:szCs w:val="24"/>
          <w:lang w:eastAsia="zh-CN"/>
        </w:rPr>
        <w:t>CO</w:t>
      </w:r>
      <w:r w:rsidRPr="001038C0">
        <w:rPr>
          <w:rFonts w:ascii="Times New Roman" w:eastAsiaTheme="minorEastAsia" w:hAnsi="Times New Roman" w:cs="Times New Roman"/>
          <w:bCs/>
          <w:sz w:val="24"/>
          <w:szCs w:val="24"/>
          <w:vertAlign w:val="subscript"/>
          <w:lang w:eastAsia="zh-CN"/>
        </w:rPr>
        <w:t>2</w:t>
      </w:r>
      <w:r w:rsidRPr="001038C0">
        <w:rPr>
          <w:rFonts w:ascii="Times New Roman" w:eastAsiaTheme="minorEastAsia" w:hAnsi="Times New Roman" w:cs="Times New Roman"/>
          <w:bCs/>
          <w:sz w:val="24"/>
          <w:szCs w:val="24"/>
          <w:lang w:eastAsia="zh-CN"/>
        </w:rPr>
        <w:t xml:space="preserve"> assimilated under different incubation conditions were evaluated for statistical significance using stats packages native to the R</w:t>
      </w:r>
      <w:r>
        <w:rPr>
          <w:rFonts w:ascii="Times New Roman" w:eastAsiaTheme="minorEastAsia" w:hAnsi="Times New Roman" w:cs="Times New Roman"/>
          <w:bCs/>
          <w:sz w:val="24"/>
          <w:szCs w:val="24"/>
          <w:lang w:eastAsia="zh-CN"/>
        </w:rPr>
        <w:t xml:space="preserve"> </w:t>
      </w:r>
      <w:r w:rsidRPr="001038C0">
        <w:rPr>
          <w:rFonts w:ascii="Times New Roman" w:eastAsiaTheme="minorEastAsia" w:hAnsi="Times New Roman" w:cs="Times New Roman"/>
          <w:bCs/>
          <w:sz w:val="24"/>
          <w:szCs w:val="24"/>
          <w:lang w:eastAsia="zh-CN"/>
        </w:rPr>
        <w:t xml:space="preserve">environment. Shapiro-Wilk tests were used to determine normality. Paired t-tests were applied when data distributions were normal otherwise Wilcoxon signed rank tests with Bonferroni corrections were implemented. </w:t>
      </w:r>
    </w:p>
    <w:sectPr w:rsidR="00AA4C3B" w:rsidRPr="001038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C0"/>
    <w:rsid w:val="001038C0"/>
    <w:rsid w:val="00AA4C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D3A3A"/>
  <w15:chartTrackingRefBased/>
  <w15:docId w15:val="{C16A58AA-9CC6-48C8-8423-D74DA721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038C0"/>
    <w:pPr>
      <w:spacing w:line="240" w:lineRule="auto"/>
    </w:pPr>
    <w:rPr>
      <w:sz w:val="20"/>
      <w:szCs w:val="20"/>
    </w:rPr>
  </w:style>
  <w:style w:type="character" w:customStyle="1" w:styleId="CommentTextChar">
    <w:name w:val="Comment Text Char"/>
    <w:basedOn w:val="DefaultParagraphFont"/>
    <w:link w:val="CommentText"/>
    <w:uiPriority w:val="99"/>
    <w:semiHidden/>
    <w:rsid w:val="001038C0"/>
    <w:rPr>
      <w:sz w:val="20"/>
      <w:szCs w:val="20"/>
    </w:rPr>
  </w:style>
  <w:style w:type="character" w:styleId="CommentReference">
    <w:name w:val="annotation reference"/>
    <w:basedOn w:val="DefaultParagraphFont"/>
    <w:uiPriority w:val="99"/>
    <w:semiHidden/>
    <w:unhideWhenUsed/>
    <w:rsid w:val="001038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Ray</dc:creator>
  <cp:keywords/>
  <dc:description/>
  <cp:lastModifiedBy>Angelique Ray</cp:lastModifiedBy>
  <cp:revision>1</cp:revision>
  <dcterms:created xsi:type="dcterms:W3CDTF">2021-09-24T02:40:00Z</dcterms:created>
  <dcterms:modified xsi:type="dcterms:W3CDTF">2021-09-24T02:44:00Z</dcterms:modified>
</cp:coreProperties>
</file>