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E50A5" w14:textId="6353A2A8" w:rsidR="00500327" w:rsidRDefault="009A28C1" w:rsidP="009A28C1">
      <w:pPr>
        <w:spacing w:after="0" w:line="480" w:lineRule="auto"/>
        <w:jc w:val="center"/>
        <w:rPr>
          <w:rFonts w:eastAsia="宋体"/>
          <w:b/>
          <w:sz w:val="28"/>
          <w:szCs w:val="28"/>
          <w:lang w:eastAsia="zh-CN"/>
        </w:rPr>
      </w:pPr>
      <w:r w:rsidRPr="009A28C1">
        <w:rPr>
          <w:b/>
          <w:sz w:val="28"/>
          <w:szCs w:val="28"/>
        </w:rPr>
        <w:t>Additional file 1</w:t>
      </w:r>
    </w:p>
    <w:p w14:paraId="147CEE90" w14:textId="1619DC94" w:rsidR="009A28C1" w:rsidRPr="00EC539E" w:rsidRDefault="00EC539E" w:rsidP="009A28C1">
      <w:pPr>
        <w:spacing w:after="0" w:line="480" w:lineRule="auto"/>
        <w:jc w:val="center"/>
        <w:rPr>
          <w:rFonts w:eastAsia="宋体"/>
          <w:iCs/>
          <w:sz w:val="28"/>
          <w:szCs w:val="28"/>
          <w:lang w:eastAsia="zh-CN"/>
        </w:rPr>
      </w:pPr>
      <w:r w:rsidRPr="00EC539E">
        <w:rPr>
          <w:rFonts w:eastAsia="宋体"/>
          <w:iCs/>
          <w:sz w:val="28"/>
          <w:szCs w:val="28"/>
          <w:lang w:eastAsia="zh-CN"/>
        </w:rPr>
        <w:t>Supplementary methods, supplementary results, Tables S1–S5, and Figures S1–S2</w:t>
      </w:r>
    </w:p>
    <w:p w14:paraId="4BA03A27" w14:textId="77777777" w:rsidR="009A28C1" w:rsidRPr="009A28C1" w:rsidRDefault="009A28C1" w:rsidP="009A28C1">
      <w:pPr>
        <w:spacing w:after="0" w:line="480" w:lineRule="auto"/>
        <w:jc w:val="both"/>
        <w:rPr>
          <w:b/>
          <w:bCs/>
          <w:sz w:val="24"/>
          <w:szCs w:val="24"/>
        </w:rPr>
      </w:pPr>
      <w:bookmarkStart w:id="0" w:name="OLE_LINK1"/>
      <w:r w:rsidRPr="009A28C1">
        <w:rPr>
          <w:b/>
          <w:bCs/>
          <w:sz w:val="24"/>
          <w:szCs w:val="24"/>
        </w:rPr>
        <w:t>Supplementary opening note</w:t>
      </w:r>
    </w:p>
    <w:p w14:paraId="02888A3F" w14:textId="72BAC89D" w:rsidR="009A28C1" w:rsidRPr="009A28C1" w:rsidRDefault="00EC539E" w:rsidP="009A28C1">
      <w:pPr>
        <w:spacing w:after="0" w:line="480" w:lineRule="auto"/>
        <w:jc w:val="both"/>
        <w:rPr>
          <w:rFonts w:eastAsia="宋体"/>
          <w:sz w:val="24"/>
          <w:szCs w:val="24"/>
          <w:lang w:eastAsia="zh-CN"/>
        </w:rPr>
      </w:pPr>
      <w:r w:rsidRPr="00EC539E">
        <w:rPr>
          <w:sz w:val="24"/>
          <w:szCs w:val="24"/>
        </w:rPr>
        <w:t>This additional file provides supplementary cohort description, retained principal-window dataset structure, and detailed results from the supplementary analyses, including the intraoperative fixed-duration truncation analysis, Bland–Altman agreement assessment, and the continuity-based feasibility analysis. It also clarifies why higher-order feasibility outside the intraoperative stage was constrained not only by shorter retained data but also by fragmentation of retained clean data</w:t>
      </w:r>
      <w:r w:rsidR="009A28C1" w:rsidRPr="009A28C1">
        <w:rPr>
          <w:sz w:val="24"/>
          <w:szCs w:val="24"/>
        </w:rPr>
        <w:t>.</w:t>
      </w:r>
    </w:p>
    <w:p w14:paraId="1452DD16" w14:textId="77777777" w:rsidR="009A28C1" w:rsidRDefault="009A28C1" w:rsidP="009A28C1">
      <w:pPr>
        <w:spacing w:after="0" w:line="480" w:lineRule="auto"/>
        <w:jc w:val="both"/>
        <w:rPr>
          <w:rFonts w:eastAsia="宋体"/>
          <w:b/>
          <w:bCs/>
          <w:sz w:val="24"/>
          <w:szCs w:val="24"/>
          <w:lang w:eastAsia="zh-CN"/>
        </w:rPr>
      </w:pPr>
      <w:r w:rsidRPr="009A28C1">
        <w:rPr>
          <w:b/>
          <w:bCs/>
          <w:sz w:val="24"/>
          <w:szCs w:val="24"/>
        </w:rPr>
        <w:t>Supplementary methods</w:t>
      </w:r>
    </w:p>
    <w:p w14:paraId="12B224D3" w14:textId="77777777" w:rsidR="009A28C1" w:rsidRPr="009A28C1" w:rsidRDefault="009A28C1" w:rsidP="009A28C1">
      <w:pPr>
        <w:spacing w:after="0" w:line="480" w:lineRule="auto"/>
        <w:jc w:val="both"/>
        <w:rPr>
          <w:rFonts w:eastAsia="宋体"/>
          <w:b/>
          <w:bCs/>
          <w:sz w:val="24"/>
          <w:szCs w:val="24"/>
          <w:lang w:eastAsia="zh-CN"/>
        </w:rPr>
      </w:pPr>
      <w:r w:rsidRPr="009A28C1">
        <w:rPr>
          <w:rFonts w:eastAsia="宋体"/>
          <w:b/>
          <w:bCs/>
          <w:sz w:val="24"/>
          <w:szCs w:val="24"/>
          <w:lang w:eastAsia="zh-CN"/>
        </w:rPr>
        <w:t>S1. Clinical and perioperative characteristics</w:t>
      </w:r>
    </w:p>
    <w:p w14:paraId="3968CA4D" w14:textId="07DC770D" w:rsidR="009A28C1" w:rsidRPr="009A28C1" w:rsidRDefault="00EC539E" w:rsidP="009A28C1">
      <w:pPr>
        <w:spacing w:after="0" w:line="480" w:lineRule="auto"/>
        <w:jc w:val="both"/>
        <w:rPr>
          <w:sz w:val="24"/>
          <w:szCs w:val="24"/>
        </w:rPr>
      </w:pPr>
      <w:r w:rsidRPr="00EC539E">
        <w:rPr>
          <w:sz w:val="24"/>
          <w:szCs w:val="24"/>
        </w:rPr>
        <w:t>Clinical and perioperative characteristics of the study cohort are summarized in Table S1. These data are provided to define the clinical context of the methodological feasibility study but were not used to stratify the primary stage-aware analyzability framework.</w:t>
      </w:r>
    </w:p>
    <w:p w14:paraId="2A9F43E8" w14:textId="77777777" w:rsidR="009A28C1" w:rsidRPr="009A28C1" w:rsidRDefault="009A28C1" w:rsidP="009A28C1">
      <w:pPr>
        <w:spacing w:after="0" w:line="480" w:lineRule="auto"/>
        <w:jc w:val="both"/>
        <w:rPr>
          <w:b/>
          <w:bCs/>
          <w:sz w:val="24"/>
          <w:szCs w:val="24"/>
        </w:rPr>
      </w:pPr>
      <w:r w:rsidRPr="009A28C1">
        <w:rPr>
          <w:b/>
          <w:bCs/>
          <w:sz w:val="24"/>
          <w:szCs w:val="24"/>
        </w:rPr>
        <w:t>S2. Characteristics of retained principal windows across perioperative stages</w:t>
      </w:r>
    </w:p>
    <w:p w14:paraId="44532D59" w14:textId="77777777" w:rsidR="00EC539E" w:rsidRDefault="00EC539E" w:rsidP="009A28C1">
      <w:pPr>
        <w:spacing w:after="0" w:line="480" w:lineRule="auto"/>
        <w:jc w:val="both"/>
        <w:rPr>
          <w:rFonts w:eastAsia="宋体"/>
          <w:sz w:val="24"/>
          <w:szCs w:val="24"/>
          <w:lang w:eastAsia="zh-CN"/>
        </w:rPr>
      </w:pPr>
      <w:r w:rsidRPr="00EC539E">
        <w:rPr>
          <w:sz w:val="24"/>
          <w:szCs w:val="24"/>
        </w:rPr>
        <w:t>After uniform preprocessing and automated principal-window selection, one retained principal window was preserved for each subject-stage with available raw acquisition. The retained principal-window dataset therefore represented the standardized input for all primary stage-wise feasibility analyses. Table S2 summarizes the characteristics of retained principal windows across perioperative stages. Principal windows were retained using a prespecified ranking rule based on highest analyzable duration (</w:t>
      </w:r>
      <w:proofErr w:type="spellStart"/>
      <w:r w:rsidRPr="00EC539E">
        <w:rPr>
          <w:i/>
          <w:iCs/>
          <w:sz w:val="24"/>
          <w:szCs w:val="24"/>
        </w:rPr>
        <w:t>good_sec</w:t>
      </w:r>
      <w:proofErr w:type="spellEnd"/>
      <w:r w:rsidRPr="00EC539E">
        <w:rPr>
          <w:sz w:val="24"/>
          <w:szCs w:val="24"/>
        </w:rPr>
        <w:t>), higher retention ratio, and longer raw window length.</w:t>
      </w:r>
    </w:p>
    <w:p w14:paraId="11B23BC2" w14:textId="284042E6" w:rsidR="009A28C1" w:rsidRPr="009A28C1" w:rsidRDefault="009A28C1" w:rsidP="009A28C1">
      <w:pPr>
        <w:spacing w:after="0" w:line="480" w:lineRule="auto"/>
        <w:jc w:val="both"/>
        <w:rPr>
          <w:b/>
          <w:bCs/>
          <w:sz w:val="24"/>
          <w:szCs w:val="24"/>
        </w:rPr>
      </w:pPr>
      <w:r w:rsidRPr="009A28C1">
        <w:rPr>
          <w:b/>
          <w:bCs/>
          <w:sz w:val="24"/>
          <w:szCs w:val="24"/>
        </w:rPr>
        <w:t>S3. Intraoperative fixed 120-s truncation analysis</w:t>
      </w:r>
    </w:p>
    <w:p w14:paraId="58A0BC29" w14:textId="77777777" w:rsidR="00EC539E" w:rsidRDefault="00EC539E" w:rsidP="009A28C1">
      <w:pPr>
        <w:spacing w:after="0" w:line="480" w:lineRule="auto"/>
        <w:jc w:val="both"/>
        <w:rPr>
          <w:rFonts w:eastAsia="宋体"/>
          <w:sz w:val="24"/>
          <w:szCs w:val="24"/>
          <w:lang w:eastAsia="zh-CN"/>
        </w:rPr>
      </w:pPr>
      <w:r w:rsidRPr="00EC539E">
        <w:rPr>
          <w:sz w:val="24"/>
          <w:szCs w:val="24"/>
        </w:rPr>
        <w:t xml:space="preserve">A supplementary truncation-based analysis was performed to assess whether the apparent intraoperative advantage for Level 2 analyses was solely attributable to longer analyzable duration. In connectivity-eligible intraoperative retained principal windows, fixed 120-s clean segments were </w:t>
      </w:r>
      <w:r w:rsidRPr="00EC539E">
        <w:rPr>
          <w:sz w:val="24"/>
          <w:szCs w:val="24"/>
        </w:rPr>
        <w:lastRenderedPageBreak/>
        <w:t>sampled and used to recalculate alpha-band and upper-alpha-band global efficiency. These truncated estimates were then compared with the corresponding full-length estimates.</w:t>
      </w:r>
    </w:p>
    <w:p w14:paraId="709D445B" w14:textId="1006315F" w:rsidR="009A28C1" w:rsidRPr="009A28C1" w:rsidRDefault="009A28C1" w:rsidP="009A28C1">
      <w:pPr>
        <w:spacing w:after="0" w:line="480" w:lineRule="auto"/>
        <w:jc w:val="both"/>
        <w:rPr>
          <w:b/>
          <w:bCs/>
          <w:sz w:val="24"/>
          <w:szCs w:val="24"/>
        </w:rPr>
      </w:pPr>
      <w:r w:rsidRPr="009A28C1">
        <w:rPr>
          <w:b/>
          <w:bCs/>
          <w:sz w:val="24"/>
          <w:szCs w:val="24"/>
        </w:rPr>
        <w:t>S4. Continuity-based supplementary analysis</w:t>
      </w:r>
    </w:p>
    <w:bookmarkEnd w:id="0"/>
    <w:p w14:paraId="241A25BC" w14:textId="77777777" w:rsidR="00EC539E" w:rsidRPr="00EC539E" w:rsidRDefault="00EC539E" w:rsidP="00EC539E">
      <w:pPr>
        <w:spacing w:after="0" w:line="480" w:lineRule="auto"/>
        <w:jc w:val="both"/>
        <w:rPr>
          <w:sz w:val="24"/>
          <w:szCs w:val="24"/>
        </w:rPr>
      </w:pPr>
      <w:r w:rsidRPr="00EC539E">
        <w:rPr>
          <w:sz w:val="24"/>
          <w:szCs w:val="24"/>
        </w:rPr>
        <w:t>A second supplementary analysis was performed to evaluate whether higher-order feasibility depended not only on total analyzable duration but also on continuity of retained clean data. For each retained principal window, the longest uninterrupted clean segment was identified and summarized. This continuity-based analysis was intended to provide methodological support for interpretation and was not intended to replace the prespecified primary stage-aware framework.</w:t>
      </w:r>
    </w:p>
    <w:p w14:paraId="73F47D86" w14:textId="77777777" w:rsidR="009A28C1" w:rsidRPr="009A28C1" w:rsidRDefault="009A28C1" w:rsidP="009A28C1">
      <w:pPr>
        <w:spacing w:after="0" w:line="480" w:lineRule="auto"/>
        <w:jc w:val="both"/>
        <w:rPr>
          <w:rFonts w:eastAsia="宋体"/>
          <w:b/>
          <w:bCs/>
          <w:sz w:val="24"/>
          <w:szCs w:val="24"/>
          <w:lang w:eastAsia="zh-CN"/>
        </w:rPr>
      </w:pPr>
      <w:r w:rsidRPr="009A28C1">
        <w:rPr>
          <w:rFonts w:eastAsia="宋体"/>
          <w:b/>
          <w:bCs/>
          <w:sz w:val="24"/>
          <w:szCs w:val="24"/>
          <w:lang w:eastAsia="zh-CN"/>
        </w:rPr>
        <w:t>Supplementary results</w:t>
      </w:r>
    </w:p>
    <w:p w14:paraId="05807B43" w14:textId="77777777" w:rsidR="009A28C1" w:rsidRPr="009A28C1" w:rsidRDefault="009A28C1" w:rsidP="009A28C1">
      <w:pPr>
        <w:spacing w:after="0" w:line="480" w:lineRule="auto"/>
        <w:jc w:val="both"/>
        <w:rPr>
          <w:rFonts w:eastAsia="宋体"/>
          <w:b/>
          <w:bCs/>
          <w:sz w:val="24"/>
          <w:szCs w:val="24"/>
          <w:lang w:eastAsia="zh-CN"/>
        </w:rPr>
      </w:pPr>
      <w:r w:rsidRPr="009A28C1">
        <w:rPr>
          <w:rFonts w:eastAsia="宋体"/>
          <w:b/>
          <w:bCs/>
          <w:sz w:val="24"/>
          <w:szCs w:val="24"/>
          <w:lang w:eastAsia="zh-CN"/>
        </w:rPr>
        <w:t>S1. Clinical and perioperative characteristics</w:t>
      </w:r>
    </w:p>
    <w:p w14:paraId="31EA0255" w14:textId="77777777" w:rsidR="00EC539E" w:rsidRDefault="00EC539E" w:rsidP="009A28C1">
      <w:pPr>
        <w:spacing w:after="0" w:line="480" w:lineRule="auto"/>
        <w:jc w:val="both"/>
        <w:rPr>
          <w:rFonts w:eastAsia="宋体"/>
          <w:sz w:val="24"/>
          <w:szCs w:val="24"/>
          <w:lang w:eastAsia="zh-CN"/>
        </w:rPr>
      </w:pPr>
      <w:r w:rsidRPr="00EC539E">
        <w:rPr>
          <w:rFonts w:eastAsia="宋体"/>
          <w:sz w:val="24"/>
          <w:szCs w:val="24"/>
          <w:lang w:eastAsia="zh-CN"/>
        </w:rPr>
        <w:t>Clinical and perioperative characteristics of the study cohort are presented in Table S1. These data provide context for the cohort in which the stage-aware EEG analyzability framework was developed.</w:t>
      </w:r>
    </w:p>
    <w:p w14:paraId="46A4C325" w14:textId="3793888B" w:rsidR="009A28C1" w:rsidRPr="009A28C1" w:rsidRDefault="009A28C1" w:rsidP="009A28C1">
      <w:pPr>
        <w:spacing w:after="0" w:line="480" w:lineRule="auto"/>
        <w:jc w:val="both"/>
        <w:rPr>
          <w:rFonts w:eastAsia="宋体"/>
          <w:b/>
          <w:bCs/>
          <w:sz w:val="24"/>
          <w:szCs w:val="24"/>
          <w:lang w:eastAsia="zh-CN"/>
        </w:rPr>
      </w:pPr>
      <w:r w:rsidRPr="009A28C1">
        <w:rPr>
          <w:rFonts w:eastAsia="宋体"/>
          <w:b/>
          <w:bCs/>
          <w:sz w:val="24"/>
          <w:szCs w:val="24"/>
          <w:lang w:eastAsia="zh-CN"/>
        </w:rPr>
        <w:t>S2. Characteristics of retained principal windows across perioperative stages</w:t>
      </w:r>
    </w:p>
    <w:p w14:paraId="5C96147C" w14:textId="77777777" w:rsidR="00EC539E" w:rsidRDefault="00EC539E" w:rsidP="009A28C1">
      <w:pPr>
        <w:spacing w:after="0" w:line="480" w:lineRule="auto"/>
        <w:jc w:val="both"/>
        <w:rPr>
          <w:rFonts w:eastAsia="宋体"/>
          <w:sz w:val="24"/>
          <w:szCs w:val="24"/>
          <w:lang w:eastAsia="zh-CN"/>
        </w:rPr>
      </w:pPr>
      <w:r w:rsidRPr="00EC539E">
        <w:rPr>
          <w:rFonts w:eastAsia="宋体"/>
          <w:sz w:val="24"/>
          <w:szCs w:val="24"/>
          <w:lang w:eastAsia="zh-CN"/>
        </w:rPr>
        <w:t>Retained principal windows across perioperative stages are summarized in Table S2. One principal window was retained per subject-stage after uniform preprocessing and fully automated ranking. This standardized dataset formed the basis for all primary stage-wise feasibility analyses presented in the main manuscript.</w:t>
      </w:r>
    </w:p>
    <w:p w14:paraId="4623904A" w14:textId="35A380EF" w:rsidR="009A28C1" w:rsidRPr="009A28C1" w:rsidRDefault="009A28C1" w:rsidP="009A28C1">
      <w:pPr>
        <w:spacing w:after="0" w:line="480" w:lineRule="auto"/>
        <w:jc w:val="both"/>
        <w:rPr>
          <w:rFonts w:eastAsia="宋体"/>
          <w:b/>
          <w:bCs/>
          <w:sz w:val="24"/>
          <w:szCs w:val="24"/>
          <w:lang w:eastAsia="zh-CN"/>
        </w:rPr>
      </w:pPr>
      <w:r w:rsidRPr="009A28C1">
        <w:rPr>
          <w:rFonts w:eastAsia="宋体"/>
          <w:b/>
          <w:bCs/>
          <w:sz w:val="24"/>
          <w:szCs w:val="24"/>
          <w:lang w:eastAsia="zh-CN"/>
        </w:rPr>
        <w:t>S3. Intraoperative fixed 120-s truncation analysis</w:t>
      </w:r>
    </w:p>
    <w:p w14:paraId="0C8E75B0" w14:textId="77777777" w:rsidR="00EC539E" w:rsidRDefault="00EC539E" w:rsidP="009A28C1">
      <w:pPr>
        <w:spacing w:after="0" w:line="480" w:lineRule="auto"/>
        <w:jc w:val="both"/>
        <w:rPr>
          <w:rFonts w:eastAsia="宋体"/>
          <w:sz w:val="24"/>
          <w:szCs w:val="24"/>
          <w:lang w:eastAsia="zh-CN"/>
        </w:rPr>
      </w:pPr>
      <w:r w:rsidRPr="00EC539E">
        <w:rPr>
          <w:rFonts w:eastAsia="宋体"/>
          <w:sz w:val="24"/>
          <w:szCs w:val="24"/>
          <w:lang w:eastAsia="zh-CN"/>
        </w:rPr>
        <w:t xml:space="preserve">Results of the intraoperative truncation analysis are presented in Table S3 and Figures S1–S2. Truncated 120-s estimates remained highly consistent with the corresponding full-length estimates for both alpha-band GE and upper-alpha GE, with strong Pearson correlations (r = 0.961 and 0.978, respectively) and minimal mean bias (0.004 and 0.006, respectively). Bland–Altman plots further </w:t>
      </w:r>
      <w:r w:rsidRPr="00EC539E">
        <w:rPr>
          <w:rFonts w:eastAsia="宋体"/>
          <w:sz w:val="24"/>
          <w:szCs w:val="24"/>
          <w:lang w:eastAsia="zh-CN"/>
        </w:rPr>
        <w:lastRenderedPageBreak/>
        <w:t>showed small average differences and acceptable limits of agreement, supporting the stability of these higher-order estimates after fixed-length truncation.</w:t>
      </w:r>
    </w:p>
    <w:p w14:paraId="463AADE9" w14:textId="6ED21577" w:rsidR="009A28C1" w:rsidRPr="009A28C1" w:rsidRDefault="009A28C1" w:rsidP="009A28C1">
      <w:pPr>
        <w:spacing w:after="0" w:line="480" w:lineRule="auto"/>
        <w:jc w:val="both"/>
        <w:rPr>
          <w:rFonts w:eastAsia="宋体"/>
          <w:b/>
          <w:bCs/>
          <w:sz w:val="24"/>
          <w:szCs w:val="24"/>
          <w:lang w:eastAsia="zh-CN"/>
        </w:rPr>
      </w:pPr>
      <w:r w:rsidRPr="009A28C1">
        <w:rPr>
          <w:rFonts w:eastAsia="宋体"/>
          <w:b/>
          <w:bCs/>
          <w:sz w:val="24"/>
          <w:szCs w:val="24"/>
          <w:lang w:eastAsia="zh-CN"/>
        </w:rPr>
        <w:t>S4. Continuity-based supplementary analysis</w:t>
      </w:r>
    </w:p>
    <w:p w14:paraId="2CC4F4E2" w14:textId="77777777" w:rsidR="000E53FD" w:rsidRDefault="00EC539E" w:rsidP="000E53FD">
      <w:pPr>
        <w:spacing w:line="480" w:lineRule="auto"/>
        <w:jc w:val="both"/>
        <w:rPr>
          <w:rFonts w:eastAsia="宋体"/>
          <w:sz w:val="24"/>
          <w:szCs w:val="24"/>
          <w:lang w:eastAsia="zh-CN"/>
        </w:rPr>
      </w:pPr>
      <w:bookmarkStart w:id="1" w:name="OLE_LINK2"/>
      <w:r w:rsidRPr="00EC539E">
        <w:rPr>
          <w:rFonts w:eastAsia="宋体"/>
          <w:sz w:val="24"/>
          <w:szCs w:val="24"/>
          <w:lang w:eastAsia="zh-CN"/>
        </w:rPr>
        <w:t>Continuity-related summaries are presented in Table S4, and continuity-aware higher-order feasibility is summarized in Table S5. Across perioperative stages, the longest uninterrupted clean segment was substantially more favorable intraoperatively than preoperatively or postoperatively; continuity-aware higher-order eligibility was 32/43 (74.4%) intraoperatively versus 9/56 (16.1%) in both the preoperative and postoperative stages.</w:t>
      </w:r>
    </w:p>
    <w:p w14:paraId="0C9A4BF2" w14:textId="7054C281" w:rsidR="00EC539E" w:rsidRPr="009A28C1" w:rsidRDefault="00EC539E" w:rsidP="000E53FD">
      <w:pPr>
        <w:spacing w:line="480" w:lineRule="auto"/>
        <w:jc w:val="both"/>
        <w:rPr>
          <w:rFonts w:eastAsia="宋体"/>
          <w:b/>
          <w:sz w:val="24"/>
          <w:szCs w:val="24"/>
          <w:lang w:eastAsia="zh-CN"/>
        </w:rPr>
        <w:sectPr w:rsidR="00EC539E" w:rsidRPr="009A28C1" w:rsidSect="002E72A7">
          <w:headerReference w:type="default" r:id="rId8"/>
          <w:pgSz w:w="12240" w:h="15840"/>
          <w:pgMar w:top="1152" w:right="1296" w:bottom="1152" w:left="1296" w:header="720" w:footer="720" w:gutter="0"/>
          <w:lnNumType w:countBy="1" w:restart="continuous"/>
          <w:cols w:space="720"/>
          <w:docGrid w:linePitch="360"/>
        </w:sectPr>
      </w:pPr>
    </w:p>
    <w:p w14:paraId="2FB2D14C" w14:textId="39701E41" w:rsidR="00500327" w:rsidRPr="00A11FAF" w:rsidRDefault="000B401A" w:rsidP="00563861">
      <w:pPr>
        <w:spacing w:line="360" w:lineRule="auto"/>
        <w:jc w:val="both"/>
        <w:rPr>
          <w:rFonts w:eastAsia="宋体"/>
          <w:sz w:val="24"/>
          <w:szCs w:val="24"/>
          <w:lang w:eastAsia="zh-CN"/>
        </w:rPr>
      </w:pPr>
      <w:r w:rsidRPr="00896449">
        <w:rPr>
          <w:b/>
          <w:sz w:val="24"/>
          <w:szCs w:val="24"/>
        </w:rPr>
        <w:lastRenderedPageBreak/>
        <w:t>Supplementary Tables</w:t>
      </w:r>
    </w:p>
    <w:bookmarkEnd w:id="1"/>
    <w:p w14:paraId="0193CFDE" w14:textId="1B96160C" w:rsidR="00563861" w:rsidRDefault="00563861" w:rsidP="00563861">
      <w:pPr>
        <w:spacing w:after="0" w:line="360" w:lineRule="auto"/>
        <w:rPr>
          <w:rFonts w:eastAsia="宋体"/>
          <w:b/>
          <w:sz w:val="24"/>
          <w:szCs w:val="24"/>
          <w:lang w:eastAsia="zh-CN"/>
        </w:rPr>
      </w:pPr>
      <w:r w:rsidRPr="00563861">
        <w:rPr>
          <w:rFonts w:eastAsia="宋体"/>
          <w:b/>
          <w:sz w:val="24"/>
          <w:szCs w:val="24"/>
          <w:lang w:eastAsia="zh-CN"/>
        </w:rPr>
        <w:t xml:space="preserve">Table S1. </w:t>
      </w:r>
      <w:r w:rsidR="00BE7142" w:rsidRPr="00BE7142">
        <w:rPr>
          <w:rFonts w:eastAsia="宋体"/>
          <w:b/>
          <w:sz w:val="24"/>
          <w:szCs w:val="24"/>
          <w:lang w:eastAsia="zh-CN"/>
        </w:rPr>
        <w:t>Selected clinical and perioperative characteristics of the study cohort</w:t>
      </w:r>
    </w:p>
    <w:tbl>
      <w:tblPr>
        <w:tblStyle w:val="aff1"/>
        <w:tblW w:w="5000" w:type="pct"/>
        <w:tblLook w:val="04A0" w:firstRow="1" w:lastRow="0" w:firstColumn="1" w:lastColumn="0" w:noHBand="0" w:noVBand="1"/>
      </w:tblPr>
      <w:tblGrid>
        <w:gridCol w:w="6876"/>
        <w:gridCol w:w="6876"/>
      </w:tblGrid>
      <w:tr w:rsidR="009A28C1" w:rsidRPr="009A28C1" w14:paraId="1CE6BDA3" w14:textId="77777777" w:rsidTr="009A28C1">
        <w:tc>
          <w:tcPr>
            <w:tcW w:w="2500" w:type="pct"/>
            <w:hideMark/>
          </w:tcPr>
          <w:p w14:paraId="0985A19E" w14:textId="77777777" w:rsidR="009A28C1" w:rsidRPr="009A28C1" w:rsidRDefault="009A28C1" w:rsidP="009A28C1">
            <w:pPr>
              <w:spacing w:after="0" w:line="360" w:lineRule="auto"/>
              <w:rPr>
                <w:rFonts w:eastAsia="宋体"/>
                <w:b/>
                <w:sz w:val="24"/>
                <w:szCs w:val="24"/>
                <w:lang w:eastAsia="zh-CN"/>
              </w:rPr>
            </w:pPr>
            <w:r w:rsidRPr="009A28C1">
              <w:rPr>
                <w:rFonts w:eastAsia="宋体"/>
                <w:b/>
                <w:sz w:val="24"/>
                <w:szCs w:val="24"/>
                <w:lang w:eastAsia="zh-CN"/>
              </w:rPr>
              <w:t>Characteristic</w:t>
            </w:r>
          </w:p>
        </w:tc>
        <w:tc>
          <w:tcPr>
            <w:tcW w:w="2500" w:type="pct"/>
            <w:hideMark/>
          </w:tcPr>
          <w:p w14:paraId="6695D3AF" w14:textId="77777777" w:rsidR="009A28C1" w:rsidRPr="009A28C1" w:rsidRDefault="009A28C1" w:rsidP="009A28C1">
            <w:pPr>
              <w:spacing w:after="0" w:line="360" w:lineRule="auto"/>
              <w:rPr>
                <w:rFonts w:eastAsia="宋体"/>
                <w:b/>
                <w:sz w:val="24"/>
                <w:szCs w:val="24"/>
                <w:lang w:eastAsia="zh-CN"/>
              </w:rPr>
            </w:pPr>
            <w:r w:rsidRPr="009A28C1">
              <w:rPr>
                <w:rFonts w:eastAsia="宋体"/>
                <w:b/>
                <w:sz w:val="24"/>
                <w:szCs w:val="24"/>
                <w:lang w:eastAsia="zh-CN"/>
              </w:rPr>
              <w:t>Overall</w:t>
            </w:r>
          </w:p>
        </w:tc>
      </w:tr>
      <w:tr w:rsidR="009A28C1" w:rsidRPr="009A28C1" w14:paraId="53812863" w14:textId="77777777" w:rsidTr="009A28C1">
        <w:tc>
          <w:tcPr>
            <w:tcW w:w="2500" w:type="pct"/>
            <w:hideMark/>
          </w:tcPr>
          <w:p w14:paraId="5B05E09E" w14:textId="5799C608" w:rsidR="009A28C1" w:rsidRPr="009A28C1" w:rsidRDefault="00EC539E" w:rsidP="009A28C1">
            <w:pPr>
              <w:spacing w:after="0" w:line="360" w:lineRule="auto"/>
              <w:rPr>
                <w:rFonts w:eastAsia="宋体"/>
                <w:b/>
                <w:sz w:val="24"/>
                <w:szCs w:val="24"/>
                <w:lang w:eastAsia="zh-CN"/>
              </w:rPr>
            </w:pPr>
            <w:r w:rsidRPr="00EC539E">
              <w:rPr>
                <w:rFonts w:eastAsia="宋体"/>
                <w:b/>
                <w:sz w:val="24"/>
                <w:szCs w:val="24"/>
                <w:lang w:eastAsia="zh-CN"/>
              </w:rPr>
              <w:t>Study cohort, n</w:t>
            </w:r>
          </w:p>
        </w:tc>
        <w:tc>
          <w:tcPr>
            <w:tcW w:w="2500" w:type="pct"/>
            <w:hideMark/>
          </w:tcPr>
          <w:p w14:paraId="0B86F567"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61</w:t>
            </w:r>
          </w:p>
        </w:tc>
      </w:tr>
      <w:tr w:rsidR="009A28C1" w:rsidRPr="009A28C1" w14:paraId="735FA33C" w14:textId="77777777" w:rsidTr="009A28C1">
        <w:tc>
          <w:tcPr>
            <w:tcW w:w="2500" w:type="pct"/>
            <w:hideMark/>
          </w:tcPr>
          <w:p w14:paraId="1CF7521B" w14:textId="77777777" w:rsidR="009A28C1" w:rsidRPr="009A28C1" w:rsidRDefault="009A28C1" w:rsidP="009A28C1">
            <w:pPr>
              <w:spacing w:after="0" w:line="360" w:lineRule="auto"/>
              <w:rPr>
                <w:rFonts w:eastAsia="宋体"/>
                <w:b/>
                <w:sz w:val="24"/>
                <w:szCs w:val="24"/>
                <w:lang w:eastAsia="zh-CN"/>
              </w:rPr>
            </w:pPr>
            <w:r w:rsidRPr="009A28C1">
              <w:rPr>
                <w:rFonts w:eastAsia="宋体"/>
                <w:b/>
                <w:sz w:val="24"/>
                <w:szCs w:val="24"/>
                <w:lang w:eastAsia="zh-CN"/>
              </w:rPr>
              <w:t>Age, y</w:t>
            </w:r>
          </w:p>
        </w:tc>
        <w:tc>
          <w:tcPr>
            <w:tcW w:w="2500" w:type="pct"/>
            <w:hideMark/>
          </w:tcPr>
          <w:p w14:paraId="57159E1D"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67 (63-71)</w:t>
            </w:r>
          </w:p>
        </w:tc>
      </w:tr>
      <w:tr w:rsidR="009A28C1" w:rsidRPr="009A28C1" w14:paraId="3B7282BF" w14:textId="77777777" w:rsidTr="009A28C1">
        <w:tc>
          <w:tcPr>
            <w:tcW w:w="2500" w:type="pct"/>
            <w:hideMark/>
          </w:tcPr>
          <w:p w14:paraId="370639CC" w14:textId="77777777" w:rsidR="009A28C1" w:rsidRPr="009A28C1" w:rsidRDefault="009A28C1" w:rsidP="009A28C1">
            <w:pPr>
              <w:spacing w:after="0" w:line="360" w:lineRule="auto"/>
              <w:rPr>
                <w:rFonts w:eastAsia="宋体"/>
                <w:b/>
                <w:sz w:val="24"/>
                <w:szCs w:val="24"/>
                <w:lang w:eastAsia="zh-CN"/>
              </w:rPr>
            </w:pPr>
            <w:r w:rsidRPr="009A28C1">
              <w:rPr>
                <w:rFonts w:eastAsia="宋体"/>
                <w:b/>
                <w:sz w:val="24"/>
                <w:szCs w:val="24"/>
                <w:lang w:eastAsia="zh-CN"/>
              </w:rPr>
              <w:t>Male sex, n (%)</w:t>
            </w:r>
          </w:p>
        </w:tc>
        <w:tc>
          <w:tcPr>
            <w:tcW w:w="2500" w:type="pct"/>
            <w:hideMark/>
          </w:tcPr>
          <w:p w14:paraId="04E40A79"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56 (91.8%)</w:t>
            </w:r>
          </w:p>
        </w:tc>
      </w:tr>
      <w:tr w:rsidR="009A28C1" w:rsidRPr="009A28C1" w14:paraId="03389764" w14:textId="77777777" w:rsidTr="009A28C1">
        <w:tc>
          <w:tcPr>
            <w:tcW w:w="2500" w:type="pct"/>
            <w:hideMark/>
          </w:tcPr>
          <w:p w14:paraId="330EBB78" w14:textId="77777777" w:rsidR="009A28C1" w:rsidRPr="009A28C1" w:rsidRDefault="009A28C1" w:rsidP="009A28C1">
            <w:pPr>
              <w:spacing w:after="0" w:line="360" w:lineRule="auto"/>
              <w:rPr>
                <w:rFonts w:eastAsia="宋体"/>
                <w:b/>
                <w:sz w:val="24"/>
                <w:szCs w:val="24"/>
                <w:lang w:eastAsia="zh-CN"/>
              </w:rPr>
            </w:pPr>
            <w:r w:rsidRPr="009A28C1">
              <w:rPr>
                <w:rFonts w:eastAsia="宋体"/>
                <w:b/>
                <w:sz w:val="24"/>
                <w:szCs w:val="24"/>
                <w:lang w:eastAsia="zh-CN"/>
              </w:rPr>
              <w:t>Education, y</w:t>
            </w:r>
          </w:p>
        </w:tc>
        <w:tc>
          <w:tcPr>
            <w:tcW w:w="2500" w:type="pct"/>
            <w:hideMark/>
          </w:tcPr>
          <w:p w14:paraId="573ABB84"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9 (6-9)</w:t>
            </w:r>
          </w:p>
        </w:tc>
      </w:tr>
      <w:tr w:rsidR="009A28C1" w:rsidRPr="009A28C1" w14:paraId="14F3506A" w14:textId="77777777" w:rsidTr="009A28C1">
        <w:tc>
          <w:tcPr>
            <w:tcW w:w="2500" w:type="pct"/>
            <w:hideMark/>
          </w:tcPr>
          <w:p w14:paraId="2D14820A" w14:textId="77777777" w:rsidR="009A28C1" w:rsidRPr="009A28C1" w:rsidRDefault="009A28C1" w:rsidP="009A28C1">
            <w:pPr>
              <w:spacing w:after="0" w:line="360" w:lineRule="auto"/>
              <w:rPr>
                <w:rFonts w:eastAsia="宋体"/>
                <w:b/>
                <w:sz w:val="24"/>
                <w:szCs w:val="24"/>
                <w:lang w:eastAsia="zh-CN"/>
              </w:rPr>
            </w:pPr>
            <w:r w:rsidRPr="009A28C1">
              <w:rPr>
                <w:rFonts w:eastAsia="宋体"/>
                <w:b/>
                <w:sz w:val="24"/>
                <w:szCs w:val="24"/>
                <w:lang w:eastAsia="zh-CN"/>
              </w:rPr>
              <w:t>Body mass index, kg/m^2</w:t>
            </w:r>
          </w:p>
        </w:tc>
        <w:tc>
          <w:tcPr>
            <w:tcW w:w="2500" w:type="pct"/>
            <w:hideMark/>
          </w:tcPr>
          <w:p w14:paraId="06CD81A5"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23.2 (21.5-25.6)</w:t>
            </w:r>
          </w:p>
        </w:tc>
      </w:tr>
      <w:tr w:rsidR="009A28C1" w:rsidRPr="009A28C1" w14:paraId="331B57EA" w14:textId="77777777" w:rsidTr="009A28C1">
        <w:tc>
          <w:tcPr>
            <w:tcW w:w="2500" w:type="pct"/>
            <w:hideMark/>
          </w:tcPr>
          <w:p w14:paraId="5560B232" w14:textId="77777777" w:rsidR="009A28C1" w:rsidRPr="009A28C1" w:rsidRDefault="009A28C1" w:rsidP="009A28C1">
            <w:pPr>
              <w:spacing w:after="0" w:line="360" w:lineRule="auto"/>
              <w:rPr>
                <w:rFonts w:eastAsia="宋体"/>
                <w:b/>
                <w:sz w:val="24"/>
                <w:szCs w:val="24"/>
                <w:lang w:eastAsia="zh-CN"/>
              </w:rPr>
            </w:pPr>
            <w:r w:rsidRPr="009A28C1">
              <w:rPr>
                <w:rFonts w:eastAsia="宋体"/>
                <w:b/>
                <w:sz w:val="24"/>
                <w:szCs w:val="24"/>
                <w:lang w:eastAsia="zh-CN"/>
              </w:rPr>
              <w:t>ASA physical status I-II, n (%)</w:t>
            </w:r>
          </w:p>
        </w:tc>
        <w:tc>
          <w:tcPr>
            <w:tcW w:w="2500" w:type="pct"/>
            <w:hideMark/>
          </w:tcPr>
          <w:p w14:paraId="79A11123"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47 (77.0%)</w:t>
            </w:r>
          </w:p>
        </w:tc>
      </w:tr>
      <w:tr w:rsidR="009A28C1" w:rsidRPr="009A28C1" w14:paraId="481F490D" w14:textId="77777777" w:rsidTr="009A28C1">
        <w:tc>
          <w:tcPr>
            <w:tcW w:w="2500" w:type="pct"/>
            <w:hideMark/>
          </w:tcPr>
          <w:p w14:paraId="3B086A93" w14:textId="77777777" w:rsidR="009A28C1" w:rsidRPr="009A28C1" w:rsidRDefault="009A28C1" w:rsidP="009A28C1">
            <w:pPr>
              <w:spacing w:after="0" w:line="360" w:lineRule="auto"/>
              <w:rPr>
                <w:rFonts w:eastAsia="宋体"/>
                <w:b/>
                <w:sz w:val="24"/>
                <w:szCs w:val="24"/>
                <w:lang w:eastAsia="zh-CN"/>
              </w:rPr>
            </w:pPr>
            <w:r w:rsidRPr="009A28C1">
              <w:rPr>
                <w:rFonts w:eastAsia="宋体"/>
                <w:b/>
                <w:sz w:val="24"/>
                <w:szCs w:val="24"/>
                <w:lang w:eastAsia="zh-CN"/>
              </w:rPr>
              <w:t>ASA physical status III-IV, n (%)</w:t>
            </w:r>
          </w:p>
        </w:tc>
        <w:tc>
          <w:tcPr>
            <w:tcW w:w="2500" w:type="pct"/>
            <w:hideMark/>
          </w:tcPr>
          <w:p w14:paraId="4CED5694"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14 (23.0%)</w:t>
            </w:r>
          </w:p>
        </w:tc>
      </w:tr>
      <w:tr w:rsidR="009A28C1" w:rsidRPr="009A28C1" w14:paraId="67A21907" w14:textId="77777777" w:rsidTr="009A28C1">
        <w:tc>
          <w:tcPr>
            <w:tcW w:w="2500" w:type="pct"/>
            <w:hideMark/>
          </w:tcPr>
          <w:p w14:paraId="73425707" w14:textId="77777777" w:rsidR="009A28C1" w:rsidRPr="009A28C1" w:rsidRDefault="009A28C1" w:rsidP="009A28C1">
            <w:pPr>
              <w:spacing w:after="0" w:line="360" w:lineRule="auto"/>
              <w:rPr>
                <w:rFonts w:eastAsia="宋体"/>
                <w:b/>
                <w:sz w:val="24"/>
                <w:szCs w:val="24"/>
                <w:lang w:eastAsia="zh-CN"/>
              </w:rPr>
            </w:pPr>
            <w:r w:rsidRPr="009A28C1">
              <w:rPr>
                <w:rFonts w:eastAsia="宋体"/>
                <w:b/>
                <w:sz w:val="24"/>
                <w:szCs w:val="24"/>
                <w:lang w:eastAsia="zh-CN"/>
              </w:rPr>
              <w:t>Charlson Comorbidity Index</w:t>
            </w:r>
          </w:p>
        </w:tc>
        <w:tc>
          <w:tcPr>
            <w:tcW w:w="2500" w:type="pct"/>
            <w:hideMark/>
          </w:tcPr>
          <w:p w14:paraId="5311A98B"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0 (0-1)</w:t>
            </w:r>
          </w:p>
        </w:tc>
      </w:tr>
      <w:tr w:rsidR="009A28C1" w:rsidRPr="009A28C1" w14:paraId="6DFC9BB0" w14:textId="77777777" w:rsidTr="009A28C1">
        <w:tc>
          <w:tcPr>
            <w:tcW w:w="2500" w:type="pct"/>
            <w:hideMark/>
          </w:tcPr>
          <w:p w14:paraId="50A71216" w14:textId="77777777" w:rsidR="009A28C1" w:rsidRPr="009A28C1" w:rsidRDefault="009A28C1" w:rsidP="009A28C1">
            <w:pPr>
              <w:spacing w:after="0" w:line="360" w:lineRule="auto"/>
              <w:rPr>
                <w:rFonts w:eastAsia="宋体"/>
                <w:b/>
                <w:sz w:val="24"/>
                <w:szCs w:val="24"/>
                <w:lang w:eastAsia="zh-CN"/>
              </w:rPr>
            </w:pPr>
            <w:r w:rsidRPr="009A28C1">
              <w:rPr>
                <w:rFonts w:eastAsia="宋体"/>
                <w:b/>
                <w:sz w:val="24"/>
                <w:szCs w:val="24"/>
                <w:lang w:eastAsia="zh-CN"/>
              </w:rPr>
              <w:t>Frailty score</w:t>
            </w:r>
          </w:p>
        </w:tc>
        <w:tc>
          <w:tcPr>
            <w:tcW w:w="2500" w:type="pct"/>
            <w:hideMark/>
          </w:tcPr>
          <w:p w14:paraId="346DA917"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1 (0-2)</w:t>
            </w:r>
          </w:p>
        </w:tc>
      </w:tr>
      <w:tr w:rsidR="009A28C1" w:rsidRPr="009A28C1" w14:paraId="1836B742" w14:textId="77777777" w:rsidTr="009A28C1">
        <w:tc>
          <w:tcPr>
            <w:tcW w:w="2500" w:type="pct"/>
            <w:hideMark/>
          </w:tcPr>
          <w:p w14:paraId="0EEDA1F5" w14:textId="77777777" w:rsidR="009A28C1" w:rsidRPr="009A28C1" w:rsidRDefault="009A28C1" w:rsidP="009A28C1">
            <w:pPr>
              <w:spacing w:after="0" w:line="360" w:lineRule="auto"/>
              <w:rPr>
                <w:rFonts w:eastAsia="宋体"/>
                <w:b/>
                <w:sz w:val="24"/>
                <w:szCs w:val="24"/>
                <w:lang w:eastAsia="zh-CN"/>
              </w:rPr>
            </w:pPr>
            <w:r w:rsidRPr="009A28C1">
              <w:rPr>
                <w:rFonts w:eastAsia="宋体"/>
                <w:b/>
                <w:sz w:val="24"/>
                <w:szCs w:val="24"/>
                <w:lang w:eastAsia="zh-CN"/>
              </w:rPr>
              <w:t>Operation time, min</w:t>
            </w:r>
          </w:p>
        </w:tc>
        <w:tc>
          <w:tcPr>
            <w:tcW w:w="2500" w:type="pct"/>
            <w:hideMark/>
          </w:tcPr>
          <w:p w14:paraId="4D6AE096"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180 (150-200)</w:t>
            </w:r>
          </w:p>
        </w:tc>
      </w:tr>
    </w:tbl>
    <w:p w14:paraId="6486C22F" w14:textId="77777777" w:rsidR="00EC539E" w:rsidRDefault="009A28C1" w:rsidP="00EC539E">
      <w:pPr>
        <w:spacing w:after="0" w:line="360" w:lineRule="auto"/>
        <w:jc w:val="both"/>
        <w:rPr>
          <w:rFonts w:eastAsia="宋体"/>
          <w:lang w:eastAsia="zh-CN"/>
        </w:rPr>
      </w:pPr>
      <w:r w:rsidRPr="00EC539E">
        <w:rPr>
          <w:rFonts w:eastAsia="宋体"/>
          <w:lang w:eastAsia="zh-CN"/>
        </w:rPr>
        <w:t>Continuous variables are presented as median (IQR), and categorical variables as n (%). ASA, American Society of Anesthesiologists physical status.</w:t>
      </w:r>
    </w:p>
    <w:p w14:paraId="45D8AD3B" w14:textId="0B695FA4" w:rsidR="009A28C1" w:rsidRPr="00EC539E" w:rsidRDefault="00563861" w:rsidP="00EC539E">
      <w:pPr>
        <w:spacing w:after="0" w:line="360" w:lineRule="auto"/>
        <w:jc w:val="both"/>
        <w:rPr>
          <w:rFonts w:eastAsia="宋体"/>
          <w:lang w:eastAsia="zh-CN"/>
        </w:rPr>
      </w:pPr>
      <w:r w:rsidRPr="00563861">
        <w:rPr>
          <w:rFonts w:eastAsia="宋体"/>
          <w:b/>
          <w:sz w:val="24"/>
          <w:szCs w:val="24"/>
          <w:lang w:eastAsia="zh-CN"/>
        </w:rPr>
        <w:t>Table S2.</w:t>
      </w:r>
      <w:r w:rsidRPr="00563861">
        <w:rPr>
          <w:rFonts w:cs="Times New Roman"/>
          <w:b/>
          <w:sz w:val="24"/>
          <w:szCs w:val="24"/>
        </w:rPr>
        <w:t xml:space="preserve"> </w:t>
      </w:r>
      <w:r w:rsidR="009A28C1" w:rsidRPr="009A28C1">
        <w:rPr>
          <w:rFonts w:cs="Times New Roman"/>
          <w:b/>
          <w:bCs/>
          <w:sz w:val="24"/>
          <w:szCs w:val="24"/>
        </w:rPr>
        <w:t>Characteristics of retained principal windows across perioperative stages</w:t>
      </w:r>
    </w:p>
    <w:tbl>
      <w:tblPr>
        <w:tblStyle w:val="aff1"/>
        <w:tblW w:w="5000" w:type="pct"/>
        <w:tblLook w:val="04A0" w:firstRow="1" w:lastRow="0" w:firstColumn="1" w:lastColumn="0" w:noHBand="0" w:noVBand="1"/>
      </w:tblPr>
      <w:tblGrid>
        <w:gridCol w:w="2255"/>
        <w:gridCol w:w="1397"/>
        <w:gridCol w:w="1843"/>
        <w:gridCol w:w="1843"/>
        <w:gridCol w:w="1983"/>
        <w:gridCol w:w="1986"/>
        <w:gridCol w:w="2445"/>
      </w:tblGrid>
      <w:tr w:rsidR="009A28C1" w:rsidRPr="009A28C1" w14:paraId="0172449F" w14:textId="77777777" w:rsidTr="009A28C1">
        <w:tc>
          <w:tcPr>
            <w:tcW w:w="820" w:type="pct"/>
            <w:vAlign w:val="center"/>
            <w:hideMark/>
          </w:tcPr>
          <w:p w14:paraId="3B160EC1" w14:textId="77777777" w:rsidR="009A28C1" w:rsidRPr="009A28C1" w:rsidRDefault="009A28C1" w:rsidP="009A28C1">
            <w:pPr>
              <w:spacing w:after="0" w:line="360" w:lineRule="auto"/>
              <w:jc w:val="center"/>
              <w:rPr>
                <w:rFonts w:eastAsia="宋体"/>
                <w:b/>
                <w:sz w:val="24"/>
                <w:szCs w:val="24"/>
                <w:lang w:eastAsia="zh-CN"/>
              </w:rPr>
            </w:pPr>
            <w:r w:rsidRPr="009A28C1">
              <w:rPr>
                <w:rFonts w:eastAsia="宋体"/>
                <w:b/>
                <w:sz w:val="24"/>
                <w:szCs w:val="24"/>
                <w:lang w:eastAsia="zh-CN"/>
              </w:rPr>
              <w:t>Stage</w:t>
            </w:r>
          </w:p>
        </w:tc>
        <w:tc>
          <w:tcPr>
            <w:tcW w:w="508" w:type="pct"/>
            <w:hideMark/>
          </w:tcPr>
          <w:p w14:paraId="5840DCB3" w14:textId="77777777" w:rsidR="009A28C1" w:rsidRPr="009A28C1" w:rsidRDefault="009A28C1" w:rsidP="009A28C1">
            <w:pPr>
              <w:spacing w:after="0" w:line="360" w:lineRule="auto"/>
              <w:rPr>
                <w:rFonts w:eastAsia="宋体"/>
                <w:b/>
                <w:sz w:val="24"/>
                <w:szCs w:val="24"/>
                <w:lang w:eastAsia="zh-CN"/>
              </w:rPr>
            </w:pPr>
            <w:r w:rsidRPr="009A28C1">
              <w:rPr>
                <w:rFonts w:eastAsia="宋体"/>
                <w:b/>
                <w:sz w:val="24"/>
                <w:szCs w:val="24"/>
                <w:lang w:eastAsia="zh-CN"/>
              </w:rPr>
              <w:t>Retained principal windows, n</w:t>
            </w:r>
          </w:p>
        </w:tc>
        <w:tc>
          <w:tcPr>
            <w:tcW w:w="670" w:type="pct"/>
            <w:hideMark/>
          </w:tcPr>
          <w:p w14:paraId="4B5FB005" w14:textId="77777777" w:rsidR="009A28C1" w:rsidRPr="009A28C1" w:rsidRDefault="009A28C1" w:rsidP="009A28C1">
            <w:pPr>
              <w:spacing w:after="0" w:line="360" w:lineRule="auto"/>
              <w:rPr>
                <w:rFonts w:eastAsia="宋体"/>
                <w:b/>
                <w:sz w:val="24"/>
                <w:szCs w:val="24"/>
                <w:lang w:eastAsia="zh-CN"/>
              </w:rPr>
            </w:pPr>
            <w:r w:rsidRPr="009A28C1">
              <w:rPr>
                <w:rFonts w:eastAsia="宋体"/>
                <w:b/>
                <w:sz w:val="24"/>
                <w:szCs w:val="24"/>
                <w:lang w:eastAsia="zh-CN"/>
              </w:rPr>
              <w:t>Full-recording retained, n (%)</w:t>
            </w:r>
          </w:p>
        </w:tc>
        <w:tc>
          <w:tcPr>
            <w:tcW w:w="670" w:type="pct"/>
            <w:hideMark/>
          </w:tcPr>
          <w:p w14:paraId="30F0865C" w14:textId="77777777" w:rsidR="009A28C1" w:rsidRPr="009A28C1" w:rsidRDefault="009A28C1" w:rsidP="009A28C1">
            <w:pPr>
              <w:spacing w:after="0" w:line="360" w:lineRule="auto"/>
              <w:rPr>
                <w:rFonts w:eastAsia="宋体"/>
                <w:b/>
                <w:sz w:val="24"/>
                <w:szCs w:val="24"/>
                <w:lang w:eastAsia="zh-CN"/>
              </w:rPr>
            </w:pPr>
            <w:r w:rsidRPr="009A28C1">
              <w:rPr>
                <w:rFonts w:eastAsia="宋体"/>
                <w:b/>
                <w:sz w:val="24"/>
                <w:szCs w:val="24"/>
                <w:lang w:eastAsia="zh-CN"/>
              </w:rPr>
              <w:t>Sub-window retained, n (%)</w:t>
            </w:r>
          </w:p>
        </w:tc>
        <w:tc>
          <w:tcPr>
            <w:tcW w:w="721" w:type="pct"/>
            <w:hideMark/>
          </w:tcPr>
          <w:p w14:paraId="165F4965" w14:textId="2C1758E4" w:rsidR="009A28C1" w:rsidRPr="009A28C1" w:rsidRDefault="009C7D66" w:rsidP="009A28C1">
            <w:pPr>
              <w:spacing w:after="0" w:line="360" w:lineRule="auto"/>
              <w:rPr>
                <w:rFonts w:eastAsia="宋体"/>
                <w:b/>
                <w:sz w:val="24"/>
                <w:szCs w:val="24"/>
                <w:lang w:eastAsia="zh-CN"/>
              </w:rPr>
            </w:pPr>
            <w:proofErr w:type="spellStart"/>
            <w:r w:rsidRPr="009C7D66">
              <w:rPr>
                <w:b/>
                <w:bCs/>
                <w:i/>
                <w:iCs/>
                <w:sz w:val="24"/>
                <w:szCs w:val="24"/>
              </w:rPr>
              <w:t>good_sec</w:t>
            </w:r>
            <w:proofErr w:type="spellEnd"/>
            <w:r w:rsidR="009A28C1" w:rsidRPr="009A28C1">
              <w:rPr>
                <w:rFonts w:eastAsia="宋体"/>
                <w:b/>
                <w:sz w:val="24"/>
                <w:szCs w:val="24"/>
                <w:lang w:eastAsia="zh-CN"/>
              </w:rPr>
              <w:t>, median (IQR), s</w:t>
            </w:r>
          </w:p>
        </w:tc>
        <w:tc>
          <w:tcPr>
            <w:tcW w:w="722" w:type="pct"/>
            <w:hideMark/>
          </w:tcPr>
          <w:p w14:paraId="608F7697" w14:textId="77777777" w:rsidR="009A28C1" w:rsidRPr="009A28C1" w:rsidRDefault="009A28C1" w:rsidP="009A28C1">
            <w:pPr>
              <w:spacing w:after="0" w:line="360" w:lineRule="auto"/>
              <w:rPr>
                <w:rFonts w:eastAsia="宋体"/>
                <w:b/>
                <w:sz w:val="24"/>
                <w:szCs w:val="24"/>
                <w:lang w:eastAsia="zh-CN"/>
              </w:rPr>
            </w:pPr>
            <w:r w:rsidRPr="009A28C1">
              <w:rPr>
                <w:rFonts w:eastAsia="宋体"/>
                <w:b/>
                <w:sz w:val="24"/>
                <w:szCs w:val="24"/>
                <w:lang w:eastAsia="zh-CN"/>
              </w:rPr>
              <w:t>Retention ratio, median (IQR)</w:t>
            </w:r>
          </w:p>
        </w:tc>
        <w:tc>
          <w:tcPr>
            <w:tcW w:w="889" w:type="pct"/>
            <w:hideMark/>
          </w:tcPr>
          <w:p w14:paraId="7AC562F5" w14:textId="77777777" w:rsidR="009A28C1" w:rsidRPr="009A28C1" w:rsidRDefault="009A28C1" w:rsidP="009A28C1">
            <w:pPr>
              <w:spacing w:after="0" w:line="360" w:lineRule="auto"/>
              <w:rPr>
                <w:rFonts w:eastAsia="宋体"/>
                <w:b/>
                <w:sz w:val="24"/>
                <w:szCs w:val="24"/>
                <w:lang w:eastAsia="zh-CN"/>
              </w:rPr>
            </w:pPr>
            <w:r w:rsidRPr="009A28C1">
              <w:rPr>
                <w:rFonts w:eastAsia="宋体"/>
                <w:b/>
                <w:sz w:val="24"/>
                <w:szCs w:val="24"/>
                <w:lang w:eastAsia="zh-CN"/>
              </w:rPr>
              <w:t>Raw window length, median (IQR), s</w:t>
            </w:r>
          </w:p>
        </w:tc>
      </w:tr>
      <w:tr w:rsidR="009A28C1" w:rsidRPr="009A28C1" w14:paraId="67A8438D" w14:textId="77777777" w:rsidTr="009A28C1">
        <w:tc>
          <w:tcPr>
            <w:tcW w:w="820" w:type="pct"/>
            <w:hideMark/>
          </w:tcPr>
          <w:p w14:paraId="17BF45BB" w14:textId="77777777" w:rsidR="009A28C1" w:rsidRPr="009A28C1" w:rsidRDefault="009A28C1" w:rsidP="009A28C1">
            <w:pPr>
              <w:spacing w:after="0" w:line="360" w:lineRule="auto"/>
              <w:rPr>
                <w:rFonts w:eastAsia="宋体"/>
                <w:b/>
                <w:sz w:val="24"/>
                <w:szCs w:val="24"/>
                <w:lang w:eastAsia="zh-CN"/>
              </w:rPr>
            </w:pPr>
            <w:r w:rsidRPr="009A28C1">
              <w:rPr>
                <w:rFonts w:eastAsia="宋体"/>
                <w:b/>
                <w:sz w:val="24"/>
                <w:szCs w:val="24"/>
                <w:lang w:eastAsia="zh-CN"/>
              </w:rPr>
              <w:t>Preoperative</w:t>
            </w:r>
          </w:p>
        </w:tc>
        <w:tc>
          <w:tcPr>
            <w:tcW w:w="508" w:type="pct"/>
            <w:hideMark/>
          </w:tcPr>
          <w:p w14:paraId="1FE2D2BB"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56</w:t>
            </w:r>
          </w:p>
        </w:tc>
        <w:tc>
          <w:tcPr>
            <w:tcW w:w="670" w:type="pct"/>
            <w:hideMark/>
          </w:tcPr>
          <w:p w14:paraId="5BBB0CF6"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26 (46.4%)</w:t>
            </w:r>
          </w:p>
        </w:tc>
        <w:tc>
          <w:tcPr>
            <w:tcW w:w="670" w:type="pct"/>
            <w:hideMark/>
          </w:tcPr>
          <w:p w14:paraId="31ED2454"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30 (53.6%)</w:t>
            </w:r>
          </w:p>
        </w:tc>
        <w:tc>
          <w:tcPr>
            <w:tcW w:w="721" w:type="pct"/>
            <w:hideMark/>
          </w:tcPr>
          <w:p w14:paraId="71977C56"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153 (113-258)</w:t>
            </w:r>
          </w:p>
        </w:tc>
        <w:tc>
          <w:tcPr>
            <w:tcW w:w="722" w:type="pct"/>
            <w:hideMark/>
          </w:tcPr>
          <w:p w14:paraId="5B89D691"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0.68 (0.50-0.86)</w:t>
            </w:r>
          </w:p>
        </w:tc>
        <w:tc>
          <w:tcPr>
            <w:tcW w:w="889" w:type="pct"/>
            <w:hideMark/>
          </w:tcPr>
          <w:p w14:paraId="51F96519"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295 (147-435)</w:t>
            </w:r>
          </w:p>
        </w:tc>
      </w:tr>
      <w:tr w:rsidR="009A28C1" w:rsidRPr="009A28C1" w14:paraId="4D741508" w14:textId="77777777" w:rsidTr="009A28C1">
        <w:tc>
          <w:tcPr>
            <w:tcW w:w="820" w:type="pct"/>
            <w:hideMark/>
          </w:tcPr>
          <w:p w14:paraId="3D345F66" w14:textId="77777777" w:rsidR="009A28C1" w:rsidRPr="009A28C1" w:rsidRDefault="009A28C1" w:rsidP="009A28C1">
            <w:pPr>
              <w:spacing w:after="0" w:line="360" w:lineRule="auto"/>
              <w:rPr>
                <w:rFonts w:eastAsia="宋体"/>
                <w:b/>
                <w:sz w:val="24"/>
                <w:szCs w:val="24"/>
                <w:lang w:eastAsia="zh-CN"/>
              </w:rPr>
            </w:pPr>
            <w:r w:rsidRPr="009A28C1">
              <w:rPr>
                <w:rFonts w:eastAsia="宋体"/>
                <w:b/>
                <w:sz w:val="24"/>
                <w:szCs w:val="24"/>
                <w:lang w:eastAsia="zh-CN"/>
              </w:rPr>
              <w:t>Intraoperative</w:t>
            </w:r>
          </w:p>
        </w:tc>
        <w:tc>
          <w:tcPr>
            <w:tcW w:w="508" w:type="pct"/>
            <w:hideMark/>
          </w:tcPr>
          <w:p w14:paraId="1D3CAA77"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43</w:t>
            </w:r>
          </w:p>
        </w:tc>
        <w:tc>
          <w:tcPr>
            <w:tcW w:w="670" w:type="pct"/>
            <w:hideMark/>
          </w:tcPr>
          <w:p w14:paraId="3B646BFA"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1 (2.3%)</w:t>
            </w:r>
          </w:p>
        </w:tc>
        <w:tc>
          <w:tcPr>
            <w:tcW w:w="670" w:type="pct"/>
            <w:hideMark/>
          </w:tcPr>
          <w:p w14:paraId="168F1A02"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42 (97.7%)</w:t>
            </w:r>
          </w:p>
        </w:tc>
        <w:tc>
          <w:tcPr>
            <w:tcW w:w="721" w:type="pct"/>
            <w:hideMark/>
          </w:tcPr>
          <w:p w14:paraId="0AE57D72"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678 (488-826)</w:t>
            </w:r>
          </w:p>
        </w:tc>
        <w:tc>
          <w:tcPr>
            <w:tcW w:w="722" w:type="pct"/>
            <w:hideMark/>
          </w:tcPr>
          <w:p w14:paraId="210A332A"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0.99 (0.96-1.00)</w:t>
            </w:r>
          </w:p>
        </w:tc>
        <w:tc>
          <w:tcPr>
            <w:tcW w:w="889" w:type="pct"/>
            <w:hideMark/>
          </w:tcPr>
          <w:p w14:paraId="1F59A74E"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689 (516-856)</w:t>
            </w:r>
          </w:p>
        </w:tc>
      </w:tr>
      <w:tr w:rsidR="009A28C1" w:rsidRPr="009A28C1" w14:paraId="3B3C8059" w14:textId="77777777" w:rsidTr="009A28C1">
        <w:tc>
          <w:tcPr>
            <w:tcW w:w="820" w:type="pct"/>
            <w:hideMark/>
          </w:tcPr>
          <w:p w14:paraId="7957A87F" w14:textId="77777777" w:rsidR="009A28C1" w:rsidRPr="009A28C1" w:rsidRDefault="009A28C1" w:rsidP="009A28C1">
            <w:pPr>
              <w:spacing w:after="0" w:line="360" w:lineRule="auto"/>
              <w:rPr>
                <w:rFonts w:eastAsia="宋体"/>
                <w:b/>
                <w:sz w:val="24"/>
                <w:szCs w:val="24"/>
                <w:lang w:eastAsia="zh-CN"/>
              </w:rPr>
            </w:pPr>
            <w:r w:rsidRPr="009A28C1">
              <w:rPr>
                <w:rFonts w:eastAsia="宋体"/>
                <w:b/>
                <w:sz w:val="24"/>
                <w:szCs w:val="24"/>
                <w:lang w:eastAsia="zh-CN"/>
              </w:rPr>
              <w:t>Postoperative</w:t>
            </w:r>
          </w:p>
        </w:tc>
        <w:tc>
          <w:tcPr>
            <w:tcW w:w="508" w:type="pct"/>
            <w:hideMark/>
          </w:tcPr>
          <w:p w14:paraId="32E8131D"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56</w:t>
            </w:r>
          </w:p>
        </w:tc>
        <w:tc>
          <w:tcPr>
            <w:tcW w:w="670" w:type="pct"/>
            <w:hideMark/>
          </w:tcPr>
          <w:p w14:paraId="0C32067F"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51 (91.1%)</w:t>
            </w:r>
          </w:p>
        </w:tc>
        <w:tc>
          <w:tcPr>
            <w:tcW w:w="670" w:type="pct"/>
            <w:hideMark/>
          </w:tcPr>
          <w:p w14:paraId="762FEA22"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5 (8.9%)</w:t>
            </w:r>
          </w:p>
        </w:tc>
        <w:tc>
          <w:tcPr>
            <w:tcW w:w="721" w:type="pct"/>
            <w:hideMark/>
          </w:tcPr>
          <w:p w14:paraId="27361CCE"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112 (76-137)</w:t>
            </w:r>
          </w:p>
        </w:tc>
        <w:tc>
          <w:tcPr>
            <w:tcW w:w="722" w:type="pct"/>
            <w:hideMark/>
          </w:tcPr>
          <w:p w14:paraId="61FBC774"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0.78 (0.55-0.89)</w:t>
            </w:r>
          </w:p>
        </w:tc>
        <w:tc>
          <w:tcPr>
            <w:tcW w:w="889" w:type="pct"/>
            <w:hideMark/>
          </w:tcPr>
          <w:p w14:paraId="131F84F6"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145 (125-198)</w:t>
            </w:r>
          </w:p>
        </w:tc>
      </w:tr>
    </w:tbl>
    <w:p w14:paraId="1936FC22" w14:textId="5894C21B" w:rsidR="00EC539E" w:rsidRDefault="00EC539E" w:rsidP="009A28C1">
      <w:pPr>
        <w:spacing w:after="0" w:line="360" w:lineRule="auto"/>
        <w:rPr>
          <w:rFonts w:eastAsia="宋体"/>
          <w:lang w:eastAsia="zh-CN"/>
        </w:rPr>
      </w:pPr>
      <w:r w:rsidRPr="00EC539E">
        <w:rPr>
          <w:rFonts w:eastAsia="宋体"/>
          <w:lang w:eastAsia="zh-CN"/>
        </w:rPr>
        <w:t>Values are presented as median (IQR) or n (%), as appropriate. One principal window was retained per subject-stage after uniform preprocessing and fully automated ranking based on highest analyzable duration (</w:t>
      </w:r>
      <w:proofErr w:type="spellStart"/>
      <w:r w:rsidR="009C7D66" w:rsidRPr="009C7D66">
        <w:rPr>
          <w:rFonts w:eastAsia="宋体"/>
          <w:i/>
          <w:iCs/>
          <w:lang w:eastAsia="zh-CN"/>
        </w:rPr>
        <w:t>good_sec</w:t>
      </w:r>
      <w:proofErr w:type="spellEnd"/>
      <w:r w:rsidRPr="00EC539E">
        <w:rPr>
          <w:rFonts w:eastAsia="宋体"/>
          <w:lang w:eastAsia="zh-CN"/>
        </w:rPr>
        <w:t>), higher retention ratio, and longer raw window length.</w:t>
      </w:r>
    </w:p>
    <w:p w14:paraId="2F1B41B3" w14:textId="092CDD6B" w:rsidR="009A28C1" w:rsidRPr="009A28C1" w:rsidRDefault="009A28C1" w:rsidP="009A28C1">
      <w:pPr>
        <w:spacing w:after="0" w:line="360" w:lineRule="auto"/>
        <w:rPr>
          <w:rFonts w:eastAsia="宋体"/>
          <w:b/>
          <w:bCs/>
          <w:sz w:val="24"/>
          <w:szCs w:val="24"/>
          <w:lang w:eastAsia="zh-CN"/>
        </w:rPr>
      </w:pPr>
      <w:r w:rsidRPr="009A28C1">
        <w:rPr>
          <w:rFonts w:eastAsia="宋体"/>
          <w:b/>
          <w:bCs/>
          <w:sz w:val="24"/>
          <w:szCs w:val="24"/>
          <w:lang w:eastAsia="zh-CN"/>
        </w:rPr>
        <w:lastRenderedPageBreak/>
        <w:t>Table S3.</w:t>
      </w:r>
      <w:r w:rsidR="001E170A" w:rsidRPr="001E170A">
        <w:t xml:space="preserve"> </w:t>
      </w:r>
      <w:r w:rsidR="001E170A" w:rsidRPr="001E170A">
        <w:rPr>
          <w:rFonts w:eastAsia="宋体"/>
          <w:b/>
          <w:bCs/>
          <w:sz w:val="24"/>
          <w:szCs w:val="24"/>
          <w:lang w:eastAsia="zh-CN"/>
        </w:rPr>
        <w:t>Intraoperative 120-s truncation analysis for connectivity-derived network metrics</w:t>
      </w:r>
    </w:p>
    <w:tbl>
      <w:tblPr>
        <w:tblStyle w:val="aff1"/>
        <w:tblW w:w="5000" w:type="pct"/>
        <w:tblLook w:val="04A0" w:firstRow="1" w:lastRow="0" w:firstColumn="1" w:lastColumn="0" w:noHBand="0" w:noVBand="1"/>
      </w:tblPr>
      <w:tblGrid>
        <w:gridCol w:w="3438"/>
        <w:gridCol w:w="3438"/>
        <w:gridCol w:w="3438"/>
        <w:gridCol w:w="3438"/>
      </w:tblGrid>
      <w:tr w:rsidR="001E170A" w:rsidRPr="009A28C1" w14:paraId="4FE2CB1E" w14:textId="77777777" w:rsidTr="001E170A">
        <w:tc>
          <w:tcPr>
            <w:tcW w:w="1250" w:type="pct"/>
            <w:vAlign w:val="center"/>
            <w:hideMark/>
          </w:tcPr>
          <w:p w14:paraId="43B43928" w14:textId="7ADD0B2F" w:rsidR="001E170A" w:rsidRPr="009A28C1" w:rsidRDefault="001E170A" w:rsidP="001E170A">
            <w:pPr>
              <w:spacing w:after="0" w:line="360" w:lineRule="auto"/>
              <w:rPr>
                <w:rFonts w:eastAsia="宋体"/>
                <w:b/>
                <w:sz w:val="24"/>
                <w:szCs w:val="24"/>
                <w:lang w:eastAsia="zh-CN"/>
              </w:rPr>
            </w:pPr>
            <w:r>
              <w:rPr>
                <w:b/>
                <w:bCs/>
              </w:rPr>
              <w:t>Metric</w:t>
            </w:r>
          </w:p>
        </w:tc>
        <w:tc>
          <w:tcPr>
            <w:tcW w:w="1250" w:type="pct"/>
            <w:vAlign w:val="center"/>
            <w:hideMark/>
          </w:tcPr>
          <w:p w14:paraId="74019828" w14:textId="48BC76D1" w:rsidR="001E170A" w:rsidRPr="009A28C1" w:rsidRDefault="001E170A" w:rsidP="001E170A">
            <w:pPr>
              <w:spacing w:after="0" w:line="360" w:lineRule="auto"/>
              <w:rPr>
                <w:rFonts w:eastAsia="宋体"/>
                <w:b/>
                <w:sz w:val="24"/>
                <w:szCs w:val="24"/>
                <w:lang w:eastAsia="zh-CN"/>
              </w:rPr>
            </w:pPr>
            <w:r>
              <w:rPr>
                <w:b/>
                <w:bCs/>
              </w:rPr>
              <w:t>Pearson correlation coefficient (r)</w:t>
            </w:r>
          </w:p>
        </w:tc>
        <w:tc>
          <w:tcPr>
            <w:tcW w:w="1250" w:type="pct"/>
            <w:vAlign w:val="center"/>
            <w:hideMark/>
          </w:tcPr>
          <w:p w14:paraId="7C37348F" w14:textId="54467800" w:rsidR="001E170A" w:rsidRPr="009A28C1" w:rsidRDefault="001E170A" w:rsidP="001E170A">
            <w:pPr>
              <w:spacing w:after="0" w:line="360" w:lineRule="auto"/>
              <w:rPr>
                <w:rFonts w:eastAsia="宋体"/>
                <w:b/>
                <w:sz w:val="24"/>
                <w:szCs w:val="24"/>
                <w:lang w:eastAsia="zh-CN"/>
              </w:rPr>
            </w:pPr>
            <w:r>
              <w:rPr>
                <w:b/>
                <w:bCs/>
              </w:rPr>
              <w:t>Mean bias</w:t>
            </w:r>
          </w:p>
        </w:tc>
        <w:tc>
          <w:tcPr>
            <w:tcW w:w="1250" w:type="pct"/>
            <w:vAlign w:val="center"/>
            <w:hideMark/>
          </w:tcPr>
          <w:p w14:paraId="6CE83FDE" w14:textId="11F9F6BC" w:rsidR="001E170A" w:rsidRPr="009A28C1" w:rsidRDefault="001E170A" w:rsidP="001E170A">
            <w:pPr>
              <w:spacing w:after="0" w:line="360" w:lineRule="auto"/>
              <w:rPr>
                <w:rFonts w:eastAsia="宋体"/>
                <w:b/>
                <w:sz w:val="24"/>
                <w:szCs w:val="24"/>
                <w:lang w:eastAsia="zh-CN"/>
              </w:rPr>
            </w:pPr>
            <w:r>
              <w:rPr>
                <w:b/>
                <w:bCs/>
              </w:rPr>
              <w:t>Subjects, n</w:t>
            </w:r>
          </w:p>
        </w:tc>
      </w:tr>
      <w:tr w:rsidR="001E170A" w:rsidRPr="009A28C1" w14:paraId="479FBD5C" w14:textId="77777777" w:rsidTr="001E170A">
        <w:tc>
          <w:tcPr>
            <w:tcW w:w="1250" w:type="pct"/>
            <w:vAlign w:val="center"/>
            <w:hideMark/>
          </w:tcPr>
          <w:p w14:paraId="4A9726A6" w14:textId="3D3F981E" w:rsidR="001E170A" w:rsidRPr="009A28C1" w:rsidRDefault="001E170A" w:rsidP="001E170A">
            <w:pPr>
              <w:spacing w:after="0" w:line="360" w:lineRule="auto"/>
              <w:rPr>
                <w:rFonts w:eastAsia="宋体"/>
                <w:b/>
                <w:sz w:val="24"/>
                <w:szCs w:val="24"/>
                <w:lang w:eastAsia="zh-CN"/>
              </w:rPr>
            </w:pPr>
            <w:r>
              <w:t>Alpha-band GE</w:t>
            </w:r>
          </w:p>
        </w:tc>
        <w:tc>
          <w:tcPr>
            <w:tcW w:w="1250" w:type="pct"/>
            <w:vAlign w:val="center"/>
            <w:hideMark/>
          </w:tcPr>
          <w:p w14:paraId="23B28599" w14:textId="756D372D" w:rsidR="001E170A" w:rsidRPr="009A28C1" w:rsidRDefault="001E170A" w:rsidP="001E170A">
            <w:pPr>
              <w:spacing w:after="0" w:line="360" w:lineRule="auto"/>
              <w:rPr>
                <w:rFonts w:eastAsia="宋体"/>
                <w:bCs/>
                <w:sz w:val="24"/>
                <w:szCs w:val="24"/>
                <w:lang w:eastAsia="zh-CN"/>
              </w:rPr>
            </w:pPr>
            <w:r>
              <w:t>0.961</w:t>
            </w:r>
          </w:p>
        </w:tc>
        <w:tc>
          <w:tcPr>
            <w:tcW w:w="1250" w:type="pct"/>
            <w:vAlign w:val="center"/>
            <w:hideMark/>
          </w:tcPr>
          <w:p w14:paraId="12BC0983" w14:textId="3922D2E8" w:rsidR="001E170A" w:rsidRPr="009A28C1" w:rsidRDefault="001E170A" w:rsidP="001E170A">
            <w:pPr>
              <w:spacing w:after="0" w:line="360" w:lineRule="auto"/>
              <w:rPr>
                <w:rFonts w:eastAsia="宋体"/>
                <w:bCs/>
                <w:sz w:val="24"/>
                <w:szCs w:val="24"/>
                <w:lang w:eastAsia="zh-CN"/>
              </w:rPr>
            </w:pPr>
            <w:r>
              <w:t>0.004</w:t>
            </w:r>
          </w:p>
        </w:tc>
        <w:tc>
          <w:tcPr>
            <w:tcW w:w="1250" w:type="pct"/>
            <w:vAlign w:val="center"/>
            <w:hideMark/>
          </w:tcPr>
          <w:p w14:paraId="52C5B2A4" w14:textId="4B4149CC" w:rsidR="001E170A" w:rsidRPr="009A28C1" w:rsidRDefault="001E170A" w:rsidP="001E170A">
            <w:pPr>
              <w:spacing w:after="0" w:line="360" w:lineRule="auto"/>
              <w:rPr>
                <w:rFonts w:eastAsia="宋体"/>
                <w:bCs/>
                <w:sz w:val="24"/>
                <w:szCs w:val="24"/>
                <w:lang w:eastAsia="zh-CN"/>
              </w:rPr>
            </w:pPr>
            <w:r>
              <w:t>41</w:t>
            </w:r>
          </w:p>
        </w:tc>
      </w:tr>
      <w:tr w:rsidR="001E170A" w:rsidRPr="009A28C1" w14:paraId="0C3E6ECF" w14:textId="77777777" w:rsidTr="001E170A">
        <w:tc>
          <w:tcPr>
            <w:tcW w:w="1250" w:type="pct"/>
            <w:vAlign w:val="center"/>
            <w:hideMark/>
          </w:tcPr>
          <w:p w14:paraId="56304870" w14:textId="2C11AB2D" w:rsidR="001E170A" w:rsidRPr="009A28C1" w:rsidRDefault="001E170A" w:rsidP="001E170A">
            <w:pPr>
              <w:spacing w:after="0" w:line="360" w:lineRule="auto"/>
              <w:rPr>
                <w:rFonts w:eastAsia="宋体"/>
                <w:b/>
                <w:sz w:val="24"/>
                <w:szCs w:val="24"/>
                <w:lang w:eastAsia="zh-CN"/>
              </w:rPr>
            </w:pPr>
            <w:r>
              <w:t>Upper-alpha GE</w:t>
            </w:r>
          </w:p>
        </w:tc>
        <w:tc>
          <w:tcPr>
            <w:tcW w:w="1250" w:type="pct"/>
            <w:vAlign w:val="center"/>
            <w:hideMark/>
          </w:tcPr>
          <w:p w14:paraId="1557DE9C" w14:textId="101AA991" w:rsidR="001E170A" w:rsidRPr="009A28C1" w:rsidRDefault="001E170A" w:rsidP="001E170A">
            <w:pPr>
              <w:spacing w:after="0" w:line="360" w:lineRule="auto"/>
              <w:rPr>
                <w:rFonts w:eastAsia="宋体"/>
                <w:bCs/>
                <w:sz w:val="24"/>
                <w:szCs w:val="24"/>
                <w:lang w:eastAsia="zh-CN"/>
              </w:rPr>
            </w:pPr>
            <w:r>
              <w:t>0.978</w:t>
            </w:r>
          </w:p>
        </w:tc>
        <w:tc>
          <w:tcPr>
            <w:tcW w:w="1250" w:type="pct"/>
            <w:vAlign w:val="center"/>
            <w:hideMark/>
          </w:tcPr>
          <w:p w14:paraId="6703CC0E" w14:textId="7E150B68" w:rsidR="001E170A" w:rsidRPr="009A28C1" w:rsidRDefault="001E170A" w:rsidP="001E170A">
            <w:pPr>
              <w:spacing w:after="0" w:line="360" w:lineRule="auto"/>
              <w:rPr>
                <w:rFonts w:eastAsia="宋体"/>
                <w:bCs/>
                <w:sz w:val="24"/>
                <w:szCs w:val="24"/>
                <w:lang w:eastAsia="zh-CN"/>
              </w:rPr>
            </w:pPr>
            <w:r>
              <w:t>0.006</w:t>
            </w:r>
          </w:p>
        </w:tc>
        <w:tc>
          <w:tcPr>
            <w:tcW w:w="1250" w:type="pct"/>
            <w:vAlign w:val="center"/>
            <w:hideMark/>
          </w:tcPr>
          <w:p w14:paraId="17B81692" w14:textId="6C54FBF3" w:rsidR="001E170A" w:rsidRPr="009A28C1" w:rsidRDefault="001E170A" w:rsidP="001E170A">
            <w:pPr>
              <w:spacing w:after="0" w:line="360" w:lineRule="auto"/>
              <w:rPr>
                <w:rFonts w:eastAsia="宋体"/>
                <w:bCs/>
                <w:sz w:val="24"/>
                <w:szCs w:val="24"/>
                <w:lang w:eastAsia="zh-CN"/>
              </w:rPr>
            </w:pPr>
            <w:r>
              <w:t>41</w:t>
            </w:r>
          </w:p>
        </w:tc>
      </w:tr>
    </w:tbl>
    <w:p w14:paraId="1D1D1AC0" w14:textId="2A12BD53" w:rsidR="009A28C1" w:rsidRPr="00EC539E" w:rsidRDefault="00EC539E" w:rsidP="002E72A7">
      <w:pPr>
        <w:spacing w:after="0" w:line="360" w:lineRule="auto"/>
        <w:jc w:val="both"/>
        <w:rPr>
          <w:rFonts w:eastAsia="宋体"/>
          <w:lang w:eastAsia="zh-CN"/>
        </w:rPr>
      </w:pPr>
      <w:r w:rsidRPr="00EC539E">
        <w:rPr>
          <w:rFonts w:eastAsia="宋体"/>
          <w:lang w:eastAsia="zh-CN"/>
        </w:rPr>
        <w:t>Connectivity-eligible intraoperative retained principal windows were truncated to fixed 120-s clean segments, and alpha-band and upper-alpha-band global efficiency were recalculated. Pearson correlation coefficients summarize the linear association between truncated and full-length estimates across subjects. Mean bias was defined as the mean difference between truncated 120-s estimates and corresponding full-length estimates (truncated minus full-length).</w:t>
      </w:r>
      <w:r w:rsidR="009A28C1" w:rsidRPr="00EC539E">
        <w:rPr>
          <w:rFonts w:eastAsia="宋体"/>
          <w:lang w:eastAsia="zh-CN"/>
        </w:rPr>
        <w:t xml:space="preserve"> </w:t>
      </w:r>
    </w:p>
    <w:p w14:paraId="3BCFA8D3" w14:textId="77777777" w:rsidR="009A28C1" w:rsidRPr="009A28C1" w:rsidRDefault="009A28C1" w:rsidP="009A28C1">
      <w:pPr>
        <w:spacing w:after="0" w:line="360" w:lineRule="auto"/>
        <w:rPr>
          <w:rFonts w:eastAsia="宋体"/>
          <w:b/>
          <w:bCs/>
          <w:sz w:val="24"/>
          <w:szCs w:val="24"/>
          <w:lang w:eastAsia="zh-CN"/>
        </w:rPr>
      </w:pPr>
      <w:r w:rsidRPr="009A28C1">
        <w:rPr>
          <w:rFonts w:eastAsia="宋体"/>
          <w:b/>
          <w:bCs/>
          <w:sz w:val="24"/>
          <w:szCs w:val="24"/>
          <w:lang w:eastAsia="zh-CN"/>
        </w:rPr>
        <w:t>Table S4. Continuity-based clean-segment summary across perioperative stages</w:t>
      </w:r>
    </w:p>
    <w:tbl>
      <w:tblPr>
        <w:tblStyle w:val="aff1"/>
        <w:tblW w:w="5000" w:type="pct"/>
        <w:tblLayout w:type="fixed"/>
        <w:tblLook w:val="04A0" w:firstRow="1" w:lastRow="0" w:firstColumn="1" w:lastColumn="0" w:noHBand="0" w:noVBand="1"/>
      </w:tblPr>
      <w:tblGrid>
        <w:gridCol w:w="1811"/>
        <w:gridCol w:w="1252"/>
        <w:gridCol w:w="1529"/>
        <w:gridCol w:w="1529"/>
        <w:gridCol w:w="1529"/>
        <w:gridCol w:w="1529"/>
        <w:gridCol w:w="1529"/>
        <w:gridCol w:w="1529"/>
        <w:gridCol w:w="1515"/>
      </w:tblGrid>
      <w:tr w:rsidR="002E72A7" w:rsidRPr="009A28C1" w14:paraId="1FEF3D87" w14:textId="77777777" w:rsidTr="00EC539E">
        <w:tc>
          <w:tcPr>
            <w:tcW w:w="658" w:type="pct"/>
            <w:hideMark/>
          </w:tcPr>
          <w:p w14:paraId="288C7AE0" w14:textId="77777777" w:rsidR="009A28C1" w:rsidRPr="009A28C1" w:rsidRDefault="009A28C1" w:rsidP="009A28C1">
            <w:pPr>
              <w:spacing w:after="0" w:line="360" w:lineRule="auto"/>
              <w:rPr>
                <w:rFonts w:eastAsia="宋体"/>
                <w:b/>
                <w:sz w:val="24"/>
                <w:szCs w:val="24"/>
                <w:lang w:eastAsia="zh-CN"/>
              </w:rPr>
            </w:pPr>
            <w:r w:rsidRPr="009A28C1">
              <w:rPr>
                <w:rFonts w:eastAsia="宋体"/>
                <w:b/>
                <w:sz w:val="24"/>
                <w:szCs w:val="24"/>
                <w:lang w:eastAsia="zh-CN"/>
              </w:rPr>
              <w:t>Stage</w:t>
            </w:r>
          </w:p>
        </w:tc>
        <w:tc>
          <w:tcPr>
            <w:tcW w:w="455" w:type="pct"/>
            <w:hideMark/>
          </w:tcPr>
          <w:p w14:paraId="30529D25" w14:textId="77777777" w:rsidR="009A28C1" w:rsidRPr="009A28C1" w:rsidRDefault="009A28C1" w:rsidP="009A28C1">
            <w:pPr>
              <w:spacing w:after="0" w:line="360" w:lineRule="auto"/>
              <w:rPr>
                <w:rFonts w:eastAsia="宋体"/>
                <w:b/>
                <w:sz w:val="24"/>
                <w:szCs w:val="24"/>
                <w:lang w:eastAsia="zh-CN"/>
              </w:rPr>
            </w:pPr>
            <w:r w:rsidRPr="009A28C1">
              <w:rPr>
                <w:rFonts w:eastAsia="宋体"/>
                <w:b/>
                <w:sz w:val="24"/>
                <w:szCs w:val="24"/>
                <w:lang w:eastAsia="zh-CN"/>
              </w:rPr>
              <w:t>Retained principal windows, n</w:t>
            </w:r>
          </w:p>
        </w:tc>
        <w:tc>
          <w:tcPr>
            <w:tcW w:w="556" w:type="pct"/>
            <w:hideMark/>
          </w:tcPr>
          <w:p w14:paraId="6C637000" w14:textId="77777777" w:rsidR="009A28C1" w:rsidRPr="009A28C1" w:rsidRDefault="009A28C1" w:rsidP="009A28C1">
            <w:pPr>
              <w:spacing w:after="0" w:line="360" w:lineRule="auto"/>
              <w:rPr>
                <w:rFonts w:eastAsia="宋体"/>
                <w:b/>
                <w:sz w:val="24"/>
                <w:szCs w:val="24"/>
                <w:lang w:eastAsia="zh-CN"/>
              </w:rPr>
            </w:pPr>
            <w:r w:rsidRPr="009A28C1">
              <w:rPr>
                <w:rFonts w:eastAsia="宋体"/>
                <w:b/>
                <w:sz w:val="24"/>
                <w:szCs w:val="24"/>
                <w:lang w:eastAsia="zh-CN"/>
              </w:rPr>
              <w:t>Mean total analyzable duration, s</w:t>
            </w:r>
          </w:p>
        </w:tc>
        <w:tc>
          <w:tcPr>
            <w:tcW w:w="556" w:type="pct"/>
            <w:hideMark/>
          </w:tcPr>
          <w:p w14:paraId="3DCCAEDB" w14:textId="77777777" w:rsidR="009A28C1" w:rsidRPr="009A28C1" w:rsidRDefault="009A28C1" w:rsidP="009A28C1">
            <w:pPr>
              <w:spacing w:after="0" w:line="360" w:lineRule="auto"/>
              <w:rPr>
                <w:rFonts w:eastAsia="宋体"/>
                <w:b/>
                <w:sz w:val="24"/>
                <w:szCs w:val="24"/>
                <w:lang w:eastAsia="zh-CN"/>
              </w:rPr>
            </w:pPr>
            <w:r w:rsidRPr="009A28C1">
              <w:rPr>
                <w:rFonts w:eastAsia="宋体"/>
                <w:b/>
                <w:sz w:val="24"/>
                <w:szCs w:val="24"/>
                <w:lang w:eastAsia="zh-CN"/>
              </w:rPr>
              <w:t>Median total analyzable duration, s</w:t>
            </w:r>
          </w:p>
        </w:tc>
        <w:tc>
          <w:tcPr>
            <w:tcW w:w="556" w:type="pct"/>
            <w:hideMark/>
          </w:tcPr>
          <w:p w14:paraId="705CCEF6" w14:textId="77777777" w:rsidR="009A28C1" w:rsidRPr="009A28C1" w:rsidRDefault="009A28C1" w:rsidP="009A28C1">
            <w:pPr>
              <w:spacing w:after="0" w:line="360" w:lineRule="auto"/>
              <w:rPr>
                <w:rFonts w:eastAsia="宋体"/>
                <w:b/>
                <w:sz w:val="24"/>
                <w:szCs w:val="24"/>
                <w:lang w:eastAsia="zh-CN"/>
              </w:rPr>
            </w:pPr>
            <w:r w:rsidRPr="009A28C1">
              <w:rPr>
                <w:rFonts w:eastAsia="宋体"/>
                <w:b/>
                <w:sz w:val="24"/>
                <w:szCs w:val="24"/>
                <w:lang w:eastAsia="zh-CN"/>
              </w:rPr>
              <w:t>Mean longest uninterrupted clean segment, s</w:t>
            </w:r>
          </w:p>
        </w:tc>
        <w:tc>
          <w:tcPr>
            <w:tcW w:w="556" w:type="pct"/>
            <w:hideMark/>
          </w:tcPr>
          <w:p w14:paraId="337CB78B" w14:textId="77777777" w:rsidR="009A28C1" w:rsidRPr="009A28C1" w:rsidRDefault="009A28C1" w:rsidP="009A28C1">
            <w:pPr>
              <w:spacing w:after="0" w:line="360" w:lineRule="auto"/>
              <w:rPr>
                <w:rFonts w:eastAsia="宋体"/>
                <w:b/>
                <w:sz w:val="24"/>
                <w:szCs w:val="24"/>
                <w:lang w:eastAsia="zh-CN"/>
              </w:rPr>
            </w:pPr>
            <w:r w:rsidRPr="009A28C1">
              <w:rPr>
                <w:rFonts w:eastAsia="宋体"/>
                <w:b/>
                <w:sz w:val="24"/>
                <w:szCs w:val="24"/>
                <w:lang w:eastAsia="zh-CN"/>
              </w:rPr>
              <w:t>Median longest uninterrupted clean segment, s</w:t>
            </w:r>
          </w:p>
        </w:tc>
        <w:tc>
          <w:tcPr>
            <w:tcW w:w="556" w:type="pct"/>
            <w:hideMark/>
          </w:tcPr>
          <w:p w14:paraId="529A12DB" w14:textId="6B975B4F" w:rsidR="009A28C1" w:rsidRPr="009A28C1" w:rsidRDefault="009A28C1" w:rsidP="009A28C1">
            <w:pPr>
              <w:spacing w:after="0" w:line="360" w:lineRule="auto"/>
              <w:rPr>
                <w:rFonts w:eastAsia="宋体"/>
                <w:b/>
                <w:sz w:val="24"/>
                <w:szCs w:val="24"/>
                <w:lang w:eastAsia="zh-CN"/>
              </w:rPr>
            </w:pPr>
            <w:r w:rsidRPr="009A28C1">
              <w:rPr>
                <w:rFonts w:eastAsia="宋体"/>
                <w:b/>
                <w:sz w:val="24"/>
                <w:szCs w:val="24"/>
                <w:lang w:eastAsia="zh-CN"/>
              </w:rPr>
              <w:t xml:space="preserve">Windows with uninterrupted segment </w:t>
            </w:r>
            <w:r w:rsidR="003C62CA">
              <w:rPr>
                <w:rFonts w:eastAsia="宋体"/>
                <w:b/>
                <w:sz w:val="24"/>
                <w:szCs w:val="24"/>
                <w:lang w:eastAsia="zh-CN"/>
              </w:rPr>
              <w:t>≥</w:t>
            </w:r>
            <w:r w:rsidRPr="009A28C1">
              <w:rPr>
                <w:rFonts w:eastAsia="宋体"/>
                <w:b/>
                <w:sz w:val="24"/>
                <w:szCs w:val="24"/>
                <w:lang w:eastAsia="zh-CN"/>
              </w:rPr>
              <w:t>90 s, n</w:t>
            </w:r>
          </w:p>
        </w:tc>
        <w:tc>
          <w:tcPr>
            <w:tcW w:w="556" w:type="pct"/>
            <w:hideMark/>
          </w:tcPr>
          <w:p w14:paraId="7BD240B5" w14:textId="3F944586" w:rsidR="009A28C1" w:rsidRPr="009A28C1" w:rsidRDefault="009A28C1" w:rsidP="009A28C1">
            <w:pPr>
              <w:spacing w:after="0" w:line="360" w:lineRule="auto"/>
              <w:rPr>
                <w:rFonts w:eastAsia="宋体"/>
                <w:b/>
                <w:sz w:val="24"/>
                <w:szCs w:val="24"/>
                <w:lang w:eastAsia="zh-CN"/>
              </w:rPr>
            </w:pPr>
            <w:r w:rsidRPr="009A28C1">
              <w:rPr>
                <w:rFonts w:eastAsia="宋体"/>
                <w:b/>
                <w:sz w:val="24"/>
                <w:szCs w:val="24"/>
                <w:lang w:eastAsia="zh-CN"/>
              </w:rPr>
              <w:t xml:space="preserve">Windows with uninterrupted segment </w:t>
            </w:r>
            <w:r w:rsidR="003C62CA">
              <w:rPr>
                <w:rFonts w:eastAsia="宋体"/>
                <w:b/>
                <w:sz w:val="24"/>
                <w:szCs w:val="24"/>
                <w:lang w:eastAsia="zh-CN"/>
              </w:rPr>
              <w:t>≥</w:t>
            </w:r>
            <w:r w:rsidRPr="009A28C1">
              <w:rPr>
                <w:rFonts w:eastAsia="宋体"/>
                <w:b/>
                <w:sz w:val="24"/>
                <w:szCs w:val="24"/>
                <w:lang w:eastAsia="zh-CN"/>
              </w:rPr>
              <w:t>120 s, n</w:t>
            </w:r>
          </w:p>
        </w:tc>
        <w:tc>
          <w:tcPr>
            <w:tcW w:w="551" w:type="pct"/>
            <w:hideMark/>
          </w:tcPr>
          <w:p w14:paraId="4C096833" w14:textId="38A66D64" w:rsidR="009A28C1" w:rsidRPr="009A28C1" w:rsidRDefault="009A28C1" w:rsidP="009A28C1">
            <w:pPr>
              <w:spacing w:after="0" w:line="360" w:lineRule="auto"/>
              <w:rPr>
                <w:rFonts w:eastAsia="宋体"/>
                <w:b/>
                <w:sz w:val="24"/>
                <w:szCs w:val="24"/>
                <w:lang w:eastAsia="zh-CN"/>
              </w:rPr>
            </w:pPr>
            <w:r w:rsidRPr="009A28C1">
              <w:rPr>
                <w:rFonts w:eastAsia="宋体"/>
                <w:b/>
                <w:sz w:val="24"/>
                <w:szCs w:val="24"/>
                <w:lang w:eastAsia="zh-CN"/>
              </w:rPr>
              <w:t xml:space="preserve">Windows with uninterrupted segment </w:t>
            </w:r>
            <w:r w:rsidR="003C62CA">
              <w:rPr>
                <w:rFonts w:eastAsia="宋体"/>
                <w:b/>
                <w:sz w:val="24"/>
                <w:szCs w:val="24"/>
                <w:lang w:eastAsia="zh-CN"/>
              </w:rPr>
              <w:t>≥</w:t>
            </w:r>
            <w:r w:rsidRPr="009A28C1">
              <w:rPr>
                <w:rFonts w:eastAsia="宋体"/>
                <w:b/>
                <w:sz w:val="24"/>
                <w:szCs w:val="24"/>
                <w:lang w:eastAsia="zh-CN"/>
              </w:rPr>
              <w:t>180 s, n</w:t>
            </w:r>
          </w:p>
        </w:tc>
      </w:tr>
      <w:tr w:rsidR="002E72A7" w:rsidRPr="009A28C1" w14:paraId="6F4CF4A1" w14:textId="77777777" w:rsidTr="00EC539E">
        <w:tc>
          <w:tcPr>
            <w:tcW w:w="658" w:type="pct"/>
            <w:hideMark/>
          </w:tcPr>
          <w:p w14:paraId="38182515" w14:textId="77777777" w:rsidR="009A28C1" w:rsidRPr="009A28C1" w:rsidRDefault="009A28C1" w:rsidP="009A28C1">
            <w:pPr>
              <w:spacing w:after="0" w:line="360" w:lineRule="auto"/>
              <w:rPr>
                <w:rFonts w:eastAsia="宋体"/>
                <w:b/>
                <w:sz w:val="24"/>
                <w:szCs w:val="24"/>
                <w:lang w:eastAsia="zh-CN"/>
              </w:rPr>
            </w:pPr>
            <w:r w:rsidRPr="009A28C1">
              <w:rPr>
                <w:rFonts w:eastAsia="宋体"/>
                <w:b/>
                <w:sz w:val="24"/>
                <w:szCs w:val="24"/>
                <w:lang w:eastAsia="zh-CN"/>
              </w:rPr>
              <w:t>Preoperative</w:t>
            </w:r>
          </w:p>
        </w:tc>
        <w:tc>
          <w:tcPr>
            <w:tcW w:w="455" w:type="pct"/>
            <w:hideMark/>
          </w:tcPr>
          <w:p w14:paraId="11536395"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56</w:t>
            </w:r>
          </w:p>
        </w:tc>
        <w:tc>
          <w:tcPr>
            <w:tcW w:w="556" w:type="pct"/>
            <w:hideMark/>
          </w:tcPr>
          <w:p w14:paraId="47201382"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189.5</w:t>
            </w:r>
          </w:p>
        </w:tc>
        <w:tc>
          <w:tcPr>
            <w:tcW w:w="556" w:type="pct"/>
            <w:hideMark/>
          </w:tcPr>
          <w:p w14:paraId="34994DE6"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153</w:t>
            </w:r>
          </w:p>
        </w:tc>
        <w:tc>
          <w:tcPr>
            <w:tcW w:w="556" w:type="pct"/>
            <w:hideMark/>
          </w:tcPr>
          <w:p w14:paraId="784E4B11"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66.3</w:t>
            </w:r>
          </w:p>
        </w:tc>
        <w:tc>
          <w:tcPr>
            <w:tcW w:w="556" w:type="pct"/>
            <w:hideMark/>
          </w:tcPr>
          <w:p w14:paraId="6EA2B532"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50</w:t>
            </w:r>
          </w:p>
        </w:tc>
        <w:tc>
          <w:tcPr>
            <w:tcW w:w="556" w:type="pct"/>
            <w:hideMark/>
          </w:tcPr>
          <w:p w14:paraId="730E4043"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14</w:t>
            </w:r>
          </w:p>
        </w:tc>
        <w:tc>
          <w:tcPr>
            <w:tcW w:w="556" w:type="pct"/>
            <w:hideMark/>
          </w:tcPr>
          <w:p w14:paraId="04C44959"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9</w:t>
            </w:r>
          </w:p>
        </w:tc>
        <w:tc>
          <w:tcPr>
            <w:tcW w:w="551" w:type="pct"/>
            <w:hideMark/>
          </w:tcPr>
          <w:p w14:paraId="793E8A4F"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1</w:t>
            </w:r>
          </w:p>
        </w:tc>
      </w:tr>
      <w:tr w:rsidR="002E72A7" w:rsidRPr="009A28C1" w14:paraId="6E5600E7" w14:textId="77777777" w:rsidTr="00EC539E">
        <w:tc>
          <w:tcPr>
            <w:tcW w:w="658" w:type="pct"/>
            <w:hideMark/>
          </w:tcPr>
          <w:p w14:paraId="7651AF1C" w14:textId="77777777" w:rsidR="009A28C1" w:rsidRPr="009A28C1" w:rsidRDefault="009A28C1" w:rsidP="009A28C1">
            <w:pPr>
              <w:spacing w:after="0" w:line="360" w:lineRule="auto"/>
              <w:rPr>
                <w:rFonts w:eastAsia="宋体"/>
                <w:b/>
                <w:sz w:val="24"/>
                <w:szCs w:val="24"/>
                <w:lang w:eastAsia="zh-CN"/>
              </w:rPr>
            </w:pPr>
            <w:r w:rsidRPr="009A28C1">
              <w:rPr>
                <w:rFonts w:eastAsia="宋体"/>
                <w:b/>
                <w:sz w:val="24"/>
                <w:szCs w:val="24"/>
                <w:lang w:eastAsia="zh-CN"/>
              </w:rPr>
              <w:t>Intraoperative</w:t>
            </w:r>
          </w:p>
        </w:tc>
        <w:tc>
          <w:tcPr>
            <w:tcW w:w="455" w:type="pct"/>
            <w:hideMark/>
          </w:tcPr>
          <w:p w14:paraId="36B7B14B"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43</w:t>
            </w:r>
          </w:p>
        </w:tc>
        <w:tc>
          <w:tcPr>
            <w:tcW w:w="556" w:type="pct"/>
            <w:hideMark/>
          </w:tcPr>
          <w:p w14:paraId="40196848"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657.9</w:t>
            </w:r>
          </w:p>
        </w:tc>
        <w:tc>
          <w:tcPr>
            <w:tcW w:w="556" w:type="pct"/>
            <w:hideMark/>
          </w:tcPr>
          <w:p w14:paraId="29C26A6C"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678</w:t>
            </w:r>
          </w:p>
        </w:tc>
        <w:tc>
          <w:tcPr>
            <w:tcW w:w="556" w:type="pct"/>
            <w:hideMark/>
          </w:tcPr>
          <w:p w14:paraId="22798A07"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476.8</w:t>
            </w:r>
          </w:p>
        </w:tc>
        <w:tc>
          <w:tcPr>
            <w:tcW w:w="556" w:type="pct"/>
            <w:hideMark/>
          </w:tcPr>
          <w:p w14:paraId="2BB0EB63"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442</w:t>
            </w:r>
          </w:p>
        </w:tc>
        <w:tc>
          <w:tcPr>
            <w:tcW w:w="556" w:type="pct"/>
            <w:hideMark/>
          </w:tcPr>
          <w:p w14:paraId="3D42FB53"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39</w:t>
            </w:r>
          </w:p>
        </w:tc>
        <w:tc>
          <w:tcPr>
            <w:tcW w:w="556" w:type="pct"/>
            <w:hideMark/>
          </w:tcPr>
          <w:p w14:paraId="4DB06822"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39</w:t>
            </w:r>
          </w:p>
        </w:tc>
        <w:tc>
          <w:tcPr>
            <w:tcW w:w="551" w:type="pct"/>
            <w:hideMark/>
          </w:tcPr>
          <w:p w14:paraId="0397B70C"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32</w:t>
            </w:r>
          </w:p>
        </w:tc>
      </w:tr>
      <w:tr w:rsidR="002E72A7" w:rsidRPr="009A28C1" w14:paraId="7F8890B6" w14:textId="77777777" w:rsidTr="00EC539E">
        <w:tc>
          <w:tcPr>
            <w:tcW w:w="658" w:type="pct"/>
            <w:hideMark/>
          </w:tcPr>
          <w:p w14:paraId="746D8AF0" w14:textId="77777777" w:rsidR="009A28C1" w:rsidRPr="009A28C1" w:rsidRDefault="009A28C1" w:rsidP="009A28C1">
            <w:pPr>
              <w:spacing w:after="0" w:line="360" w:lineRule="auto"/>
              <w:rPr>
                <w:rFonts w:eastAsia="宋体"/>
                <w:b/>
                <w:sz w:val="24"/>
                <w:szCs w:val="24"/>
                <w:lang w:eastAsia="zh-CN"/>
              </w:rPr>
            </w:pPr>
            <w:r w:rsidRPr="009A28C1">
              <w:rPr>
                <w:rFonts w:eastAsia="宋体"/>
                <w:b/>
                <w:sz w:val="24"/>
                <w:szCs w:val="24"/>
                <w:lang w:eastAsia="zh-CN"/>
              </w:rPr>
              <w:t>Postoperative</w:t>
            </w:r>
          </w:p>
        </w:tc>
        <w:tc>
          <w:tcPr>
            <w:tcW w:w="455" w:type="pct"/>
            <w:hideMark/>
          </w:tcPr>
          <w:p w14:paraId="2977FE1E"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56</w:t>
            </w:r>
          </w:p>
        </w:tc>
        <w:tc>
          <w:tcPr>
            <w:tcW w:w="556" w:type="pct"/>
            <w:hideMark/>
          </w:tcPr>
          <w:p w14:paraId="7B5C9225"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112.2</w:t>
            </w:r>
          </w:p>
        </w:tc>
        <w:tc>
          <w:tcPr>
            <w:tcW w:w="556" w:type="pct"/>
            <w:hideMark/>
          </w:tcPr>
          <w:p w14:paraId="295FA00F"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112</w:t>
            </w:r>
          </w:p>
        </w:tc>
        <w:tc>
          <w:tcPr>
            <w:tcW w:w="556" w:type="pct"/>
            <w:hideMark/>
          </w:tcPr>
          <w:p w14:paraId="548C3AC9"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51.8</w:t>
            </w:r>
          </w:p>
        </w:tc>
        <w:tc>
          <w:tcPr>
            <w:tcW w:w="556" w:type="pct"/>
            <w:hideMark/>
          </w:tcPr>
          <w:p w14:paraId="22B81AF8"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45</w:t>
            </w:r>
          </w:p>
        </w:tc>
        <w:tc>
          <w:tcPr>
            <w:tcW w:w="556" w:type="pct"/>
            <w:hideMark/>
          </w:tcPr>
          <w:p w14:paraId="0BEF6FCB"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9</w:t>
            </w:r>
          </w:p>
        </w:tc>
        <w:tc>
          <w:tcPr>
            <w:tcW w:w="556" w:type="pct"/>
            <w:hideMark/>
          </w:tcPr>
          <w:p w14:paraId="7BA06E19"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5</w:t>
            </w:r>
          </w:p>
        </w:tc>
        <w:tc>
          <w:tcPr>
            <w:tcW w:w="551" w:type="pct"/>
            <w:hideMark/>
          </w:tcPr>
          <w:p w14:paraId="54ACAD7E"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0</w:t>
            </w:r>
          </w:p>
        </w:tc>
      </w:tr>
    </w:tbl>
    <w:p w14:paraId="5AA52325" w14:textId="77777777" w:rsidR="00EC539E" w:rsidRDefault="00EC539E" w:rsidP="009A28C1">
      <w:pPr>
        <w:spacing w:after="0" w:line="360" w:lineRule="auto"/>
        <w:rPr>
          <w:rFonts w:eastAsia="宋体"/>
          <w:lang w:eastAsia="zh-CN"/>
        </w:rPr>
      </w:pPr>
      <w:r w:rsidRPr="00EC539E">
        <w:rPr>
          <w:rFonts w:eastAsia="宋体"/>
          <w:lang w:eastAsia="zh-CN"/>
        </w:rPr>
        <w:t>This table summarizes continuity-related properties of retained principal windows across perioperative stages, including total analyzable duration and the longest uninterrupted clean segment. Continuity was evaluated to assess whether higher-order feasibility depended not only on analyzable duration but also on preservation of sufficiently long uninterrupted clean data.</w:t>
      </w:r>
    </w:p>
    <w:p w14:paraId="599EA2FA" w14:textId="11007C16" w:rsidR="009A28C1" w:rsidRPr="009A28C1" w:rsidRDefault="009A28C1" w:rsidP="009A28C1">
      <w:pPr>
        <w:spacing w:after="0" w:line="360" w:lineRule="auto"/>
        <w:rPr>
          <w:rFonts w:eastAsia="宋体"/>
          <w:b/>
          <w:bCs/>
          <w:sz w:val="24"/>
          <w:szCs w:val="24"/>
          <w:lang w:eastAsia="zh-CN"/>
        </w:rPr>
      </w:pPr>
      <w:r w:rsidRPr="009A28C1">
        <w:rPr>
          <w:rFonts w:eastAsia="宋体"/>
          <w:b/>
          <w:bCs/>
          <w:sz w:val="24"/>
          <w:szCs w:val="24"/>
          <w:lang w:eastAsia="zh-CN"/>
        </w:rPr>
        <w:t xml:space="preserve">Table S5. </w:t>
      </w:r>
      <w:r w:rsidR="00BE7142" w:rsidRPr="00BE7142">
        <w:rPr>
          <w:rFonts w:eastAsia="宋体"/>
          <w:b/>
          <w:bCs/>
          <w:sz w:val="24"/>
          <w:szCs w:val="24"/>
          <w:lang w:eastAsia="zh-CN"/>
        </w:rPr>
        <w:t>Continuity-aware summary of higher-order feasibility</w:t>
      </w:r>
    </w:p>
    <w:tbl>
      <w:tblPr>
        <w:tblStyle w:val="aff1"/>
        <w:tblW w:w="5000" w:type="pct"/>
        <w:tblLook w:val="04A0" w:firstRow="1" w:lastRow="0" w:firstColumn="1" w:lastColumn="0" w:noHBand="0" w:noVBand="1"/>
      </w:tblPr>
      <w:tblGrid>
        <w:gridCol w:w="4585"/>
        <w:gridCol w:w="4585"/>
        <w:gridCol w:w="4582"/>
      </w:tblGrid>
      <w:tr w:rsidR="009A28C1" w:rsidRPr="009A28C1" w14:paraId="7784C248" w14:textId="77777777" w:rsidTr="00EC539E">
        <w:tc>
          <w:tcPr>
            <w:tcW w:w="1667" w:type="pct"/>
            <w:hideMark/>
          </w:tcPr>
          <w:p w14:paraId="35DF3FDD" w14:textId="77777777" w:rsidR="009A28C1" w:rsidRPr="009A28C1" w:rsidRDefault="009A28C1" w:rsidP="009A28C1">
            <w:pPr>
              <w:spacing w:after="0" w:line="360" w:lineRule="auto"/>
              <w:rPr>
                <w:rFonts w:eastAsia="宋体"/>
                <w:b/>
                <w:sz w:val="24"/>
                <w:szCs w:val="24"/>
                <w:lang w:eastAsia="zh-CN"/>
              </w:rPr>
            </w:pPr>
            <w:r w:rsidRPr="009A28C1">
              <w:rPr>
                <w:rFonts w:eastAsia="宋体"/>
                <w:b/>
                <w:sz w:val="24"/>
                <w:szCs w:val="24"/>
                <w:lang w:eastAsia="zh-CN"/>
              </w:rPr>
              <w:t>Stage</w:t>
            </w:r>
          </w:p>
        </w:tc>
        <w:tc>
          <w:tcPr>
            <w:tcW w:w="1667" w:type="pct"/>
            <w:hideMark/>
          </w:tcPr>
          <w:p w14:paraId="50A1E277" w14:textId="77777777" w:rsidR="009A28C1" w:rsidRPr="009A28C1" w:rsidRDefault="009A28C1" w:rsidP="009A28C1">
            <w:pPr>
              <w:spacing w:after="0" w:line="360" w:lineRule="auto"/>
              <w:rPr>
                <w:rFonts w:eastAsia="宋体"/>
                <w:b/>
                <w:sz w:val="24"/>
                <w:szCs w:val="24"/>
                <w:lang w:eastAsia="zh-CN"/>
              </w:rPr>
            </w:pPr>
            <w:r w:rsidRPr="009A28C1">
              <w:rPr>
                <w:rFonts w:eastAsia="宋体"/>
                <w:b/>
                <w:sz w:val="24"/>
                <w:szCs w:val="24"/>
                <w:lang w:eastAsia="zh-CN"/>
              </w:rPr>
              <w:t>Rule</w:t>
            </w:r>
          </w:p>
        </w:tc>
        <w:tc>
          <w:tcPr>
            <w:tcW w:w="1666" w:type="pct"/>
            <w:hideMark/>
          </w:tcPr>
          <w:p w14:paraId="6D79DF9F" w14:textId="77777777" w:rsidR="009A28C1" w:rsidRPr="009A28C1" w:rsidRDefault="009A28C1" w:rsidP="009A28C1">
            <w:pPr>
              <w:spacing w:after="0" w:line="360" w:lineRule="auto"/>
              <w:rPr>
                <w:rFonts w:eastAsia="宋体"/>
                <w:b/>
                <w:sz w:val="24"/>
                <w:szCs w:val="24"/>
                <w:lang w:eastAsia="zh-CN"/>
              </w:rPr>
            </w:pPr>
            <w:r w:rsidRPr="009A28C1">
              <w:rPr>
                <w:rFonts w:eastAsia="宋体"/>
                <w:b/>
                <w:sz w:val="24"/>
                <w:szCs w:val="24"/>
                <w:lang w:eastAsia="zh-CN"/>
              </w:rPr>
              <w:t>Continuity-aware eligible windows</w:t>
            </w:r>
          </w:p>
        </w:tc>
      </w:tr>
      <w:tr w:rsidR="009A28C1" w:rsidRPr="009A28C1" w14:paraId="74CFB799" w14:textId="77777777" w:rsidTr="00EC539E">
        <w:tc>
          <w:tcPr>
            <w:tcW w:w="1667" w:type="pct"/>
            <w:hideMark/>
          </w:tcPr>
          <w:p w14:paraId="3B1E372C" w14:textId="77777777" w:rsidR="009A28C1" w:rsidRPr="009A28C1" w:rsidRDefault="009A28C1" w:rsidP="009A28C1">
            <w:pPr>
              <w:spacing w:after="0" w:line="360" w:lineRule="auto"/>
              <w:rPr>
                <w:rFonts w:eastAsia="宋体"/>
                <w:b/>
                <w:sz w:val="24"/>
                <w:szCs w:val="24"/>
                <w:lang w:eastAsia="zh-CN"/>
              </w:rPr>
            </w:pPr>
            <w:r w:rsidRPr="009A28C1">
              <w:rPr>
                <w:rFonts w:eastAsia="宋体"/>
                <w:b/>
                <w:sz w:val="24"/>
                <w:szCs w:val="24"/>
                <w:lang w:eastAsia="zh-CN"/>
              </w:rPr>
              <w:t>Preoperative</w:t>
            </w:r>
          </w:p>
        </w:tc>
        <w:tc>
          <w:tcPr>
            <w:tcW w:w="1667" w:type="pct"/>
            <w:hideMark/>
          </w:tcPr>
          <w:p w14:paraId="113765EF" w14:textId="4260730F"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 xml:space="preserve">Longest uninterrupted clean segment </w:t>
            </w:r>
            <w:r w:rsidR="003C62CA">
              <w:rPr>
                <w:rFonts w:eastAsia="宋体"/>
                <w:bCs/>
                <w:sz w:val="24"/>
                <w:szCs w:val="24"/>
                <w:lang w:eastAsia="zh-CN"/>
              </w:rPr>
              <w:t>≥</w:t>
            </w:r>
            <w:r w:rsidRPr="009A28C1">
              <w:rPr>
                <w:rFonts w:eastAsia="宋体"/>
                <w:bCs/>
                <w:sz w:val="24"/>
                <w:szCs w:val="24"/>
                <w:lang w:eastAsia="zh-CN"/>
              </w:rPr>
              <w:t>120 s</w:t>
            </w:r>
          </w:p>
        </w:tc>
        <w:tc>
          <w:tcPr>
            <w:tcW w:w="1666" w:type="pct"/>
            <w:hideMark/>
          </w:tcPr>
          <w:p w14:paraId="154E383A"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9/56 (16.1%)</w:t>
            </w:r>
          </w:p>
        </w:tc>
      </w:tr>
      <w:tr w:rsidR="009A28C1" w:rsidRPr="009A28C1" w14:paraId="54D20AA4" w14:textId="77777777" w:rsidTr="00EC539E">
        <w:tc>
          <w:tcPr>
            <w:tcW w:w="1667" w:type="pct"/>
            <w:hideMark/>
          </w:tcPr>
          <w:p w14:paraId="5FC36111" w14:textId="77777777" w:rsidR="009A28C1" w:rsidRPr="009A28C1" w:rsidRDefault="009A28C1" w:rsidP="009A28C1">
            <w:pPr>
              <w:spacing w:after="0" w:line="360" w:lineRule="auto"/>
              <w:rPr>
                <w:rFonts w:eastAsia="宋体"/>
                <w:b/>
                <w:sz w:val="24"/>
                <w:szCs w:val="24"/>
                <w:lang w:eastAsia="zh-CN"/>
              </w:rPr>
            </w:pPr>
            <w:r w:rsidRPr="009A28C1">
              <w:rPr>
                <w:rFonts w:eastAsia="宋体"/>
                <w:b/>
                <w:sz w:val="24"/>
                <w:szCs w:val="24"/>
                <w:lang w:eastAsia="zh-CN"/>
              </w:rPr>
              <w:lastRenderedPageBreak/>
              <w:t>Intraoperative</w:t>
            </w:r>
          </w:p>
        </w:tc>
        <w:tc>
          <w:tcPr>
            <w:tcW w:w="1667" w:type="pct"/>
            <w:hideMark/>
          </w:tcPr>
          <w:p w14:paraId="656FA603" w14:textId="4EA8D482"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 xml:space="preserve">Longest uninterrupted clean segment </w:t>
            </w:r>
            <w:r w:rsidR="003C62CA">
              <w:rPr>
                <w:rFonts w:eastAsia="宋体"/>
                <w:bCs/>
                <w:sz w:val="24"/>
                <w:szCs w:val="24"/>
                <w:lang w:eastAsia="zh-CN"/>
              </w:rPr>
              <w:t>≥</w:t>
            </w:r>
            <w:r w:rsidRPr="009A28C1">
              <w:rPr>
                <w:rFonts w:eastAsia="宋体"/>
                <w:bCs/>
                <w:sz w:val="24"/>
                <w:szCs w:val="24"/>
                <w:lang w:eastAsia="zh-CN"/>
              </w:rPr>
              <w:t>180 s</w:t>
            </w:r>
          </w:p>
        </w:tc>
        <w:tc>
          <w:tcPr>
            <w:tcW w:w="1666" w:type="pct"/>
            <w:hideMark/>
          </w:tcPr>
          <w:p w14:paraId="07409CF5"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32/43 (74.4%)</w:t>
            </w:r>
          </w:p>
        </w:tc>
      </w:tr>
      <w:tr w:rsidR="009A28C1" w:rsidRPr="009A28C1" w14:paraId="647F39D0" w14:textId="77777777" w:rsidTr="00EC539E">
        <w:tc>
          <w:tcPr>
            <w:tcW w:w="1667" w:type="pct"/>
            <w:hideMark/>
          </w:tcPr>
          <w:p w14:paraId="18EF12CB" w14:textId="77777777" w:rsidR="009A28C1" w:rsidRPr="009A28C1" w:rsidRDefault="009A28C1" w:rsidP="009A28C1">
            <w:pPr>
              <w:spacing w:after="0" w:line="360" w:lineRule="auto"/>
              <w:rPr>
                <w:rFonts w:eastAsia="宋体"/>
                <w:b/>
                <w:sz w:val="24"/>
                <w:szCs w:val="24"/>
                <w:lang w:eastAsia="zh-CN"/>
              </w:rPr>
            </w:pPr>
            <w:r w:rsidRPr="009A28C1">
              <w:rPr>
                <w:rFonts w:eastAsia="宋体"/>
                <w:b/>
                <w:sz w:val="24"/>
                <w:szCs w:val="24"/>
                <w:lang w:eastAsia="zh-CN"/>
              </w:rPr>
              <w:t>Postoperative</w:t>
            </w:r>
          </w:p>
        </w:tc>
        <w:tc>
          <w:tcPr>
            <w:tcW w:w="1667" w:type="pct"/>
            <w:hideMark/>
          </w:tcPr>
          <w:p w14:paraId="26B0A7BA" w14:textId="576FFC79"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 xml:space="preserve">Longest uninterrupted clean segment </w:t>
            </w:r>
            <w:r w:rsidR="003C62CA">
              <w:rPr>
                <w:rFonts w:eastAsia="宋体"/>
                <w:bCs/>
                <w:sz w:val="24"/>
                <w:szCs w:val="24"/>
                <w:lang w:eastAsia="zh-CN"/>
              </w:rPr>
              <w:t>≥</w:t>
            </w:r>
            <w:r w:rsidRPr="009A28C1">
              <w:rPr>
                <w:rFonts w:eastAsia="宋体"/>
                <w:bCs/>
                <w:sz w:val="24"/>
                <w:szCs w:val="24"/>
                <w:lang w:eastAsia="zh-CN"/>
              </w:rPr>
              <w:t>90 s</w:t>
            </w:r>
          </w:p>
        </w:tc>
        <w:tc>
          <w:tcPr>
            <w:tcW w:w="1666" w:type="pct"/>
            <w:hideMark/>
          </w:tcPr>
          <w:p w14:paraId="621F43F7" w14:textId="77777777" w:rsidR="009A28C1" w:rsidRPr="009A28C1" w:rsidRDefault="009A28C1" w:rsidP="009A28C1">
            <w:pPr>
              <w:spacing w:after="0" w:line="360" w:lineRule="auto"/>
              <w:rPr>
                <w:rFonts w:eastAsia="宋体"/>
                <w:bCs/>
                <w:sz w:val="24"/>
                <w:szCs w:val="24"/>
                <w:lang w:eastAsia="zh-CN"/>
              </w:rPr>
            </w:pPr>
            <w:r w:rsidRPr="009A28C1">
              <w:rPr>
                <w:rFonts w:eastAsia="宋体"/>
                <w:bCs/>
                <w:sz w:val="24"/>
                <w:szCs w:val="24"/>
                <w:lang w:eastAsia="zh-CN"/>
              </w:rPr>
              <w:t>9/56 (16.1%)</w:t>
            </w:r>
          </w:p>
        </w:tc>
      </w:tr>
    </w:tbl>
    <w:p w14:paraId="1864F78D" w14:textId="77777777" w:rsidR="00FA768C" w:rsidRPr="00EC539E" w:rsidRDefault="00EC539E" w:rsidP="002E72A7">
      <w:pPr>
        <w:spacing w:after="0" w:line="360" w:lineRule="auto"/>
        <w:jc w:val="both"/>
        <w:rPr>
          <w:rFonts w:eastAsia="宋体"/>
          <w:lang w:eastAsia="zh-CN"/>
        </w:rPr>
      </w:pPr>
      <w:r w:rsidRPr="00EC539E">
        <w:rPr>
          <w:rFonts w:eastAsia="宋体"/>
          <w:lang w:eastAsia="zh-CN"/>
        </w:rPr>
        <w:t>This table summarizes supplementary higher-order feasibility using the longest uninterrupted clean segment within each retained principal window. The continuity-aware analysis was used as methodological support for interpretation and not as a replacement for the prespecified primary stage-aware framework.</w:t>
      </w:r>
    </w:p>
    <w:p w14:paraId="4722A73A" w14:textId="0EAB71F9" w:rsidR="00EC539E" w:rsidRDefault="00EC539E" w:rsidP="002E72A7">
      <w:pPr>
        <w:spacing w:after="0" w:line="360" w:lineRule="auto"/>
        <w:jc w:val="both"/>
        <w:rPr>
          <w:rFonts w:eastAsia="宋体"/>
          <w:b/>
          <w:sz w:val="24"/>
          <w:szCs w:val="24"/>
          <w:lang w:eastAsia="zh-CN"/>
        </w:rPr>
        <w:sectPr w:rsidR="00EC539E" w:rsidSect="002E72A7">
          <w:pgSz w:w="15840" w:h="12240" w:orient="landscape"/>
          <w:pgMar w:top="1296" w:right="1152" w:bottom="1296" w:left="1152" w:header="720" w:footer="720" w:gutter="0"/>
          <w:lnNumType w:countBy="1" w:restart="continuous"/>
          <w:cols w:space="720"/>
          <w:docGrid w:linePitch="360"/>
        </w:sectPr>
      </w:pPr>
    </w:p>
    <w:p w14:paraId="295354E5" w14:textId="0388B729" w:rsidR="002E72A7" w:rsidRPr="009C7D66" w:rsidRDefault="002E72A7" w:rsidP="002E72A7">
      <w:pPr>
        <w:spacing w:line="480" w:lineRule="auto"/>
        <w:jc w:val="both"/>
        <w:rPr>
          <w:sz w:val="24"/>
          <w:szCs w:val="24"/>
        </w:rPr>
      </w:pPr>
      <w:r w:rsidRPr="002E72A7">
        <w:rPr>
          <w:b/>
          <w:bCs/>
          <w:sz w:val="24"/>
          <w:szCs w:val="24"/>
        </w:rPr>
        <w:lastRenderedPageBreak/>
        <w:t>Supplementary figure legend</w:t>
      </w:r>
      <w:r w:rsidR="009C7D66" w:rsidRPr="009C7D66">
        <w:rPr>
          <w:rFonts w:hint="eastAsia"/>
          <w:b/>
          <w:bCs/>
          <w:sz w:val="24"/>
          <w:szCs w:val="24"/>
        </w:rPr>
        <w:t>s</w:t>
      </w:r>
    </w:p>
    <w:p w14:paraId="3B7DF9C3" w14:textId="77777777" w:rsidR="00EC539E" w:rsidRPr="00EC539E" w:rsidRDefault="00EC539E" w:rsidP="00EC539E">
      <w:pPr>
        <w:spacing w:line="480" w:lineRule="auto"/>
        <w:jc w:val="both"/>
        <w:rPr>
          <w:rFonts w:eastAsia="宋体"/>
          <w:b/>
          <w:bCs/>
          <w:sz w:val="24"/>
          <w:szCs w:val="24"/>
          <w:lang w:eastAsia="zh-CN"/>
        </w:rPr>
      </w:pPr>
      <w:r w:rsidRPr="00EC539E">
        <w:rPr>
          <w:rFonts w:eastAsia="宋体"/>
          <w:b/>
          <w:bCs/>
          <w:sz w:val="24"/>
          <w:szCs w:val="24"/>
          <w:lang w:eastAsia="zh-CN"/>
        </w:rPr>
        <w:t>Figure S1. Full-length versus truncated 120-s intraoperative global-efficiency estimates.</w:t>
      </w:r>
    </w:p>
    <w:p w14:paraId="6AE36E93" w14:textId="77777777" w:rsidR="00EC539E" w:rsidRPr="00EC539E" w:rsidRDefault="00EC539E" w:rsidP="00EC539E">
      <w:pPr>
        <w:spacing w:line="480" w:lineRule="auto"/>
        <w:jc w:val="both"/>
        <w:rPr>
          <w:rFonts w:eastAsia="宋体"/>
          <w:sz w:val="24"/>
          <w:szCs w:val="24"/>
          <w:lang w:eastAsia="zh-CN"/>
        </w:rPr>
      </w:pPr>
      <w:r w:rsidRPr="00EC539E">
        <w:rPr>
          <w:rFonts w:eastAsia="宋体"/>
          <w:sz w:val="24"/>
          <w:szCs w:val="24"/>
          <w:lang w:eastAsia="zh-CN"/>
        </w:rPr>
        <w:t xml:space="preserve">Each point represents one intraoperative retained principal window eligible for Level 2 analysis. The dashed diagonal line indicates identity (y = x). Full-length estimates are shown on the x-axis and corresponding truncated 120-s mean estimates on the y-axis. Separate panels show alpha-band and upper-alpha-band global efficiency. Within each panel, </w:t>
      </w:r>
      <w:r w:rsidRPr="00EC539E">
        <w:rPr>
          <w:rFonts w:eastAsia="宋体"/>
          <w:i/>
          <w:iCs/>
          <w:sz w:val="24"/>
          <w:szCs w:val="24"/>
          <w:lang w:eastAsia="zh-CN"/>
        </w:rPr>
        <w:t>r</w:t>
      </w:r>
      <w:r w:rsidRPr="00EC539E">
        <w:rPr>
          <w:rFonts w:eastAsia="宋体"/>
          <w:sz w:val="24"/>
          <w:szCs w:val="24"/>
          <w:lang w:eastAsia="zh-CN"/>
        </w:rPr>
        <w:t xml:space="preserve"> denotes the Pearson correlation coefficient between truncated and full-length estimates, and bias denotes the mean difference between truncated and full-length estimates (truncated minus full-length).</w:t>
      </w:r>
    </w:p>
    <w:p w14:paraId="3215FB35" w14:textId="77777777" w:rsidR="00EC539E" w:rsidRPr="00EC539E" w:rsidRDefault="00EC539E" w:rsidP="00EC539E">
      <w:pPr>
        <w:spacing w:line="480" w:lineRule="auto"/>
        <w:jc w:val="both"/>
        <w:rPr>
          <w:rFonts w:eastAsia="宋体"/>
          <w:b/>
          <w:bCs/>
          <w:sz w:val="24"/>
          <w:szCs w:val="24"/>
          <w:lang w:eastAsia="zh-CN"/>
        </w:rPr>
      </w:pPr>
      <w:r w:rsidRPr="00EC539E">
        <w:rPr>
          <w:rFonts w:eastAsia="宋体"/>
          <w:b/>
          <w:bCs/>
          <w:sz w:val="24"/>
          <w:szCs w:val="24"/>
          <w:lang w:eastAsia="zh-CN"/>
        </w:rPr>
        <w:t>Figure S2. Bland–Altman plots for truncated versus full-length intraoperative global-efficiency estimates.</w:t>
      </w:r>
    </w:p>
    <w:p w14:paraId="6AD48667" w14:textId="697F269D" w:rsidR="00BE7142" w:rsidRPr="00EC539E" w:rsidRDefault="00EC539E" w:rsidP="00EC539E">
      <w:pPr>
        <w:spacing w:line="480" w:lineRule="auto"/>
        <w:jc w:val="both"/>
        <w:rPr>
          <w:rFonts w:eastAsia="宋体"/>
          <w:sz w:val="24"/>
          <w:szCs w:val="24"/>
          <w:lang w:eastAsia="zh-CN"/>
        </w:rPr>
      </w:pPr>
      <w:r w:rsidRPr="00EC539E">
        <w:rPr>
          <w:rFonts w:eastAsia="宋体"/>
          <w:sz w:val="24"/>
          <w:szCs w:val="24"/>
          <w:lang w:eastAsia="zh-CN"/>
        </w:rPr>
        <w:t>Each point represents one intraoperative retained principal window eligible for Level 2 analysis. The x-axis shows the mean of the truncated and full-length estimates, and the y-axis shows their difference (truncated minus full-length). Separate panels show alpha-band and upper-alpha-band global efficiency. Solid horizontal lines indicate mean bias, and dashed horizontal lines indicate the 95% limits of agreement (mean bias ± 1.96 SD).</w:t>
      </w:r>
    </w:p>
    <w:sectPr w:rsidR="00BE7142" w:rsidRPr="00EC539E" w:rsidSect="002E72A7">
      <w:pgSz w:w="12240" w:h="15840"/>
      <w:pgMar w:top="1152" w:right="1296" w:bottom="1152" w:left="1296"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1828E" w14:textId="77777777" w:rsidR="008D1DB1" w:rsidRDefault="008D1DB1" w:rsidP="00E413AE">
      <w:pPr>
        <w:spacing w:after="0" w:line="240" w:lineRule="auto"/>
      </w:pPr>
      <w:r>
        <w:separator/>
      </w:r>
    </w:p>
  </w:endnote>
  <w:endnote w:type="continuationSeparator" w:id="0">
    <w:p w14:paraId="3ECBE999" w14:textId="77777777" w:rsidR="008D1DB1" w:rsidRDefault="008D1DB1" w:rsidP="00E41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F8D4C" w14:textId="77777777" w:rsidR="008D1DB1" w:rsidRDefault="008D1DB1" w:rsidP="00E413AE">
      <w:pPr>
        <w:spacing w:after="0" w:line="240" w:lineRule="auto"/>
      </w:pPr>
      <w:r>
        <w:separator/>
      </w:r>
    </w:p>
  </w:footnote>
  <w:footnote w:type="continuationSeparator" w:id="0">
    <w:p w14:paraId="51EB5517" w14:textId="77777777" w:rsidR="008D1DB1" w:rsidRDefault="008D1DB1" w:rsidP="00E41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467966"/>
      <w:docPartObj>
        <w:docPartGallery w:val="Page Numbers (Top of Page)"/>
        <w:docPartUnique/>
      </w:docPartObj>
    </w:sdtPr>
    <w:sdtContent>
      <w:p w14:paraId="09D25DB9" w14:textId="5A9F88EC" w:rsidR="00B34A65" w:rsidRDefault="00B34A65">
        <w:pPr>
          <w:pStyle w:val="a5"/>
          <w:jc w:val="right"/>
        </w:pPr>
        <w:r>
          <w:fldChar w:fldCharType="begin"/>
        </w:r>
        <w:r>
          <w:instrText>PAGE   \* MERGEFORMAT</w:instrText>
        </w:r>
        <w:r>
          <w:fldChar w:fldCharType="separate"/>
        </w:r>
        <w:r>
          <w:rPr>
            <w:lang w:val="zh-CN" w:eastAsia="zh-CN"/>
          </w:rPr>
          <w:t>2</w:t>
        </w:r>
        <w:r>
          <w:fldChar w:fldCharType="end"/>
        </w:r>
      </w:p>
    </w:sdtContent>
  </w:sdt>
  <w:p w14:paraId="6B13236B" w14:textId="77777777" w:rsidR="00B34A65" w:rsidRDefault="00B34A6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314405046">
    <w:abstractNumId w:val="8"/>
  </w:num>
  <w:num w:numId="2" w16cid:durableId="1739009028">
    <w:abstractNumId w:val="6"/>
  </w:num>
  <w:num w:numId="3" w16cid:durableId="1914504016">
    <w:abstractNumId w:val="5"/>
  </w:num>
  <w:num w:numId="4" w16cid:durableId="718552833">
    <w:abstractNumId w:val="4"/>
  </w:num>
  <w:num w:numId="5" w16cid:durableId="1170606224">
    <w:abstractNumId w:val="7"/>
  </w:num>
  <w:num w:numId="6" w16cid:durableId="769469918">
    <w:abstractNumId w:val="3"/>
  </w:num>
  <w:num w:numId="7" w16cid:durableId="620692511">
    <w:abstractNumId w:val="2"/>
  </w:num>
  <w:num w:numId="8" w16cid:durableId="652485724">
    <w:abstractNumId w:val="1"/>
  </w:num>
  <w:num w:numId="9" w16cid:durableId="2089693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7BA3"/>
    <w:rsid w:val="00082841"/>
    <w:rsid w:val="000B401A"/>
    <w:rsid w:val="000E53FD"/>
    <w:rsid w:val="000F122F"/>
    <w:rsid w:val="0015074B"/>
    <w:rsid w:val="001E170A"/>
    <w:rsid w:val="0025729C"/>
    <w:rsid w:val="0029639D"/>
    <w:rsid w:val="002E72A7"/>
    <w:rsid w:val="00326F90"/>
    <w:rsid w:val="00345018"/>
    <w:rsid w:val="003C62CA"/>
    <w:rsid w:val="004A7DA7"/>
    <w:rsid w:val="00500327"/>
    <w:rsid w:val="005425EE"/>
    <w:rsid w:val="00563861"/>
    <w:rsid w:val="005732A6"/>
    <w:rsid w:val="005F3485"/>
    <w:rsid w:val="005F6ACD"/>
    <w:rsid w:val="006E3E22"/>
    <w:rsid w:val="00763B6B"/>
    <w:rsid w:val="0084697A"/>
    <w:rsid w:val="00896449"/>
    <w:rsid w:val="008A411E"/>
    <w:rsid w:val="008D1DB1"/>
    <w:rsid w:val="009A28C1"/>
    <w:rsid w:val="009C7D66"/>
    <w:rsid w:val="00A11FAF"/>
    <w:rsid w:val="00A12BCE"/>
    <w:rsid w:val="00A768F9"/>
    <w:rsid w:val="00AA13B7"/>
    <w:rsid w:val="00AA1D8D"/>
    <w:rsid w:val="00AA6DA2"/>
    <w:rsid w:val="00AB34B6"/>
    <w:rsid w:val="00B210F4"/>
    <w:rsid w:val="00B34A65"/>
    <w:rsid w:val="00B47730"/>
    <w:rsid w:val="00BE7142"/>
    <w:rsid w:val="00CB0664"/>
    <w:rsid w:val="00D008CC"/>
    <w:rsid w:val="00D71106"/>
    <w:rsid w:val="00DA3D3E"/>
    <w:rsid w:val="00DC6363"/>
    <w:rsid w:val="00E20D78"/>
    <w:rsid w:val="00E3348C"/>
    <w:rsid w:val="00E40DF3"/>
    <w:rsid w:val="00E413AE"/>
    <w:rsid w:val="00E73C7C"/>
    <w:rsid w:val="00EC539E"/>
    <w:rsid w:val="00ED430B"/>
    <w:rsid w:val="00FA768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E9BCD0"/>
  <w14:defaultImageDpi w14:val="300"/>
  <w15:docId w15:val="{BAC853A2-7E13-4B4A-92DB-C104BA0E5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60"/>
    </w:pPr>
    <w:rPr>
      <w:rFonts w:ascii="Times New Roman" w:eastAsia="Times New Roman" w:hAnsi="Times New Roman"/>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6"/>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3"/>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28"/>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9">
    <w:name w:val="Bibliography"/>
    <w:basedOn w:val="a1"/>
    <w:next w:val="a1"/>
    <w:uiPriority w:val="37"/>
    <w:unhideWhenUsed/>
    <w:rsid w:val="000B401A"/>
    <w:pPr>
      <w:tabs>
        <w:tab w:val="left" w:pos="504"/>
      </w:tabs>
      <w:spacing w:after="0" w:line="240" w:lineRule="auto"/>
      <w:ind w:left="504" w:hanging="504"/>
    </w:pPr>
  </w:style>
  <w:style w:type="paragraph" w:styleId="affa">
    <w:name w:val="Normal (Web)"/>
    <w:basedOn w:val="a1"/>
    <w:uiPriority w:val="99"/>
    <w:semiHidden/>
    <w:unhideWhenUsed/>
    <w:rsid w:val="00077BA3"/>
    <w:rPr>
      <w:rFonts w:cs="Times New Roman"/>
      <w:sz w:val="24"/>
      <w:szCs w:val="24"/>
    </w:rPr>
  </w:style>
  <w:style w:type="table" w:styleId="2a">
    <w:name w:val="Plain Table 2"/>
    <w:basedOn w:val="a3"/>
    <w:uiPriority w:val="99"/>
    <w:rsid w:val="009A28C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fb">
    <w:name w:val="line number"/>
    <w:basedOn w:val="a2"/>
    <w:uiPriority w:val="99"/>
    <w:semiHidden/>
    <w:unhideWhenUsed/>
    <w:rsid w:val="002E7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7</Pages>
  <Words>1371</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Yuting Sang</cp:lastModifiedBy>
  <cp:revision>16</cp:revision>
  <dcterms:created xsi:type="dcterms:W3CDTF">2013-12-23T23:15:00Z</dcterms:created>
  <dcterms:modified xsi:type="dcterms:W3CDTF">2026-04-19T15:17:00Z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zotero-version="8.0.2-beta.5+c35d7f21e"&gt;&lt;session id="yoQFdiXt"/&gt;&lt;style id="http://www.zotero.org/styles/journal-of-clinical-anesthesia" hasBibliography="1" bibliographyStyleHasBeenSet="1"/&gt;&lt;prefs&gt;&lt;pref name="fieldType" value="Field"</vt:lpwstr>
  </property>
  <property fmtid="{D5CDD505-2E9C-101B-9397-08002B2CF9AE}" pid="3" name="ZOTERO_PREF_2">
    <vt:lpwstr>/&gt;&lt;/prefs&gt;&lt;/data&gt;</vt:lpwstr>
  </property>
</Properties>
</file>