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2F41" w14:textId="77777777" w:rsidR="00243308" w:rsidRDefault="006F2843">
      <w:pPr>
        <w:pStyle w:val="Z1"/>
        <w:ind w:firstLineChars="0" w:firstLine="0"/>
        <w:jc w:val="center"/>
        <w:rPr>
          <w:rFonts w:eastAsiaTheme="minorEastAsia"/>
          <w:b/>
          <w:bCs/>
          <w:sz w:val="36"/>
          <w:szCs w:val="36"/>
        </w:rPr>
      </w:pPr>
      <w:r>
        <w:rPr>
          <w:rFonts w:eastAsiaTheme="minorEastAsia"/>
          <w:b/>
          <w:bCs/>
          <w:sz w:val="36"/>
          <w:szCs w:val="36"/>
        </w:rPr>
        <w:t xml:space="preserve">Supplementary </w:t>
      </w:r>
      <w:r>
        <w:rPr>
          <w:rFonts w:eastAsiaTheme="minorEastAsia" w:hint="eastAsia"/>
          <w:b/>
          <w:bCs/>
          <w:sz w:val="36"/>
          <w:szCs w:val="36"/>
        </w:rPr>
        <w:t>Data</w:t>
      </w:r>
    </w:p>
    <w:p w14:paraId="09A03DA9" w14:textId="0B45BEFF" w:rsidR="006F2843" w:rsidRPr="00D8248C" w:rsidRDefault="006F2843" w:rsidP="006F2843">
      <w:pPr>
        <w:spacing w:line="360" w:lineRule="auto"/>
        <w:jc w:val="left"/>
        <w:rPr>
          <w:rFonts w:ascii="Arial" w:hAnsi="Arial" w:cs="Arial"/>
          <w:b/>
          <w:bCs/>
          <w:sz w:val="24"/>
        </w:rPr>
      </w:pPr>
      <w:bookmarkStart w:id="0" w:name="OLE_LINK27"/>
      <w:bookmarkStart w:id="1" w:name="OLE_LINK2"/>
      <w:r w:rsidRPr="00D8248C">
        <w:rPr>
          <w:rFonts w:ascii="Arial" w:hAnsi="Arial" w:cs="Arial"/>
          <w:b/>
          <w:bCs/>
          <w:sz w:val="24"/>
        </w:rPr>
        <w:t>A comprehensive pan-cancer investigation and experimental validation of the role of adenylosuccinate lyase in glioma</w:t>
      </w:r>
      <w:bookmarkEnd w:id="0"/>
    </w:p>
    <w:bookmarkEnd w:id="1"/>
    <w:p w14:paraId="636A2C6C" w14:textId="77777777" w:rsidR="006F2843" w:rsidRPr="001F0B26" w:rsidRDefault="006F2843" w:rsidP="006F2843">
      <w:pPr>
        <w:spacing w:line="360" w:lineRule="auto"/>
        <w:jc w:val="left"/>
        <w:rPr>
          <w:rFonts w:ascii="Arial" w:hAnsi="Arial" w:cs="Arial"/>
          <w:sz w:val="24"/>
          <w:vertAlign w:val="superscript"/>
        </w:rPr>
      </w:pPr>
      <w:r w:rsidRPr="001F0B26">
        <w:rPr>
          <w:rFonts w:ascii="Arial" w:hAnsi="Arial" w:cs="Arial"/>
          <w:sz w:val="24"/>
        </w:rPr>
        <w:t>Jiandong Zhu</w:t>
      </w:r>
      <w:r w:rsidRPr="001F0B26">
        <w:rPr>
          <w:rFonts w:ascii="Arial" w:hAnsi="Arial" w:cs="Arial"/>
          <w:sz w:val="24"/>
          <w:vertAlign w:val="superscript"/>
        </w:rPr>
        <w:t>1</w:t>
      </w:r>
      <w:bookmarkStart w:id="2" w:name="OLE_LINK24"/>
      <w:r w:rsidRPr="001F0B26">
        <w:rPr>
          <w:rFonts w:ascii="Arial" w:hAnsi="Arial" w:cs="Arial"/>
          <w:sz w:val="24"/>
          <w:vertAlign w:val="superscript"/>
        </w:rPr>
        <w:t>*</w:t>
      </w:r>
      <w:bookmarkEnd w:id="2"/>
      <w:r w:rsidRPr="001F0B26">
        <w:rPr>
          <w:rFonts w:ascii="Arial" w:hAnsi="Arial" w:cs="Arial"/>
          <w:sz w:val="24"/>
        </w:rPr>
        <w:t>, Jiang Wu</w:t>
      </w:r>
      <w:r>
        <w:rPr>
          <w:rFonts w:ascii="Arial" w:hAnsi="Arial" w:cs="Arial"/>
          <w:sz w:val="24"/>
          <w:vertAlign w:val="superscript"/>
        </w:rPr>
        <w:t>1</w:t>
      </w:r>
      <w:r w:rsidRPr="001F0B26">
        <w:rPr>
          <w:rFonts w:ascii="Arial" w:hAnsi="Arial" w:cs="Arial"/>
          <w:sz w:val="24"/>
          <w:vertAlign w:val="superscript"/>
        </w:rPr>
        <w:t>*</w:t>
      </w:r>
      <w:r w:rsidRPr="001F0B26">
        <w:rPr>
          <w:rFonts w:ascii="Arial" w:hAnsi="Arial" w:cs="Arial"/>
          <w:sz w:val="24"/>
        </w:rPr>
        <w:t xml:space="preserve">, </w:t>
      </w:r>
      <w:r w:rsidRPr="001F0B26">
        <w:rPr>
          <w:rFonts w:ascii="Arial" w:hAnsi="Arial" w:cs="Arial" w:hint="eastAsia"/>
          <w:sz w:val="24"/>
        </w:rPr>
        <w:t>Z</w:t>
      </w:r>
      <w:r w:rsidRPr="001F0B26">
        <w:rPr>
          <w:rFonts w:ascii="Arial" w:hAnsi="Arial" w:cs="Arial"/>
          <w:sz w:val="24"/>
        </w:rPr>
        <w:t>iqian Yin</w:t>
      </w:r>
      <w:r w:rsidRPr="001F0B26">
        <w:rPr>
          <w:rFonts w:ascii="Arial" w:hAnsi="Arial" w:cs="Arial"/>
          <w:sz w:val="24"/>
          <w:vertAlign w:val="superscript"/>
        </w:rPr>
        <w:t>1</w:t>
      </w:r>
      <w:r w:rsidRPr="001F0B26">
        <w:rPr>
          <w:rFonts w:ascii="Arial" w:hAnsi="Arial" w:cs="Arial"/>
          <w:sz w:val="24"/>
        </w:rPr>
        <w:t>, Haiying Li</w:t>
      </w:r>
      <w:r w:rsidRPr="001F0B26">
        <w:rPr>
          <w:rFonts w:ascii="Arial" w:hAnsi="Arial" w:cs="Arial"/>
          <w:sz w:val="24"/>
          <w:vertAlign w:val="superscript"/>
        </w:rPr>
        <w:t>1</w:t>
      </w:r>
      <w:r w:rsidRPr="001F0B26">
        <w:rPr>
          <w:rFonts w:ascii="Arial" w:hAnsi="Arial" w:cs="Arial"/>
          <w:sz w:val="24"/>
        </w:rPr>
        <w:t>, Yanyan Li</w:t>
      </w:r>
      <w:r w:rsidRPr="001F0B26">
        <w:rPr>
          <w:rFonts w:ascii="Arial" w:hAnsi="Arial" w:cs="Arial"/>
          <w:sz w:val="24"/>
          <w:vertAlign w:val="superscript"/>
        </w:rPr>
        <w:t xml:space="preserve"> 1#</w:t>
      </w:r>
      <w:r w:rsidRPr="001F0B26">
        <w:rPr>
          <w:rFonts w:ascii="Arial" w:hAnsi="Arial" w:cs="Arial"/>
          <w:sz w:val="24"/>
        </w:rPr>
        <w:t>, Zhengquan Yu</w:t>
      </w:r>
      <w:r>
        <w:rPr>
          <w:rFonts w:ascii="Arial" w:hAnsi="Arial" w:cs="Arial"/>
          <w:sz w:val="24"/>
          <w:vertAlign w:val="superscript"/>
        </w:rPr>
        <w:t>1</w:t>
      </w:r>
      <w:r w:rsidRPr="001F0B26">
        <w:rPr>
          <w:rFonts w:ascii="Arial" w:hAnsi="Arial" w:cs="Arial"/>
          <w:sz w:val="24"/>
          <w:vertAlign w:val="superscript"/>
        </w:rPr>
        <w:t>#</w:t>
      </w:r>
    </w:p>
    <w:p w14:paraId="7B3715A1" w14:textId="77777777" w:rsidR="006F2843" w:rsidRPr="001F0B26" w:rsidRDefault="006F2843" w:rsidP="006F2843">
      <w:pPr>
        <w:spacing w:line="360" w:lineRule="auto"/>
        <w:jc w:val="left"/>
        <w:rPr>
          <w:rFonts w:ascii="Arial" w:hAnsi="Arial" w:cs="Arial"/>
          <w:sz w:val="24"/>
        </w:rPr>
      </w:pPr>
      <w:r w:rsidRPr="001F0B26">
        <w:rPr>
          <w:rFonts w:ascii="Arial" w:hAnsi="Arial" w:cs="Arial"/>
          <w:sz w:val="24"/>
          <w:vertAlign w:val="superscript"/>
        </w:rPr>
        <w:t xml:space="preserve">1 </w:t>
      </w:r>
      <w:bookmarkStart w:id="3" w:name="OLE_LINK54"/>
      <w:bookmarkStart w:id="4" w:name="OLE_LINK64"/>
      <w:r w:rsidRPr="001F0B26">
        <w:rPr>
          <w:rFonts w:ascii="Arial" w:hAnsi="Arial" w:cs="Arial"/>
          <w:sz w:val="24"/>
        </w:rPr>
        <w:t>Department of Neurosurgery &amp; Brain and Nerve Research Laboratory</w:t>
      </w:r>
      <w:bookmarkEnd w:id="3"/>
      <w:r w:rsidRPr="001F0B26">
        <w:rPr>
          <w:rFonts w:ascii="Arial" w:hAnsi="Arial" w:cs="Arial"/>
          <w:sz w:val="24"/>
        </w:rPr>
        <w:t xml:space="preserve">, </w:t>
      </w:r>
      <w:bookmarkStart w:id="5" w:name="OLE_LINK30"/>
      <w:r w:rsidRPr="001F0B26">
        <w:rPr>
          <w:rFonts w:ascii="Arial" w:hAnsi="Arial" w:cs="Arial"/>
          <w:sz w:val="24"/>
        </w:rPr>
        <w:t>The First Affiliated Hospital of Soochow University</w:t>
      </w:r>
      <w:bookmarkEnd w:id="4"/>
      <w:bookmarkEnd w:id="5"/>
      <w:r w:rsidRPr="001F0B26">
        <w:rPr>
          <w:rFonts w:ascii="Arial" w:hAnsi="Arial" w:cs="Arial"/>
          <w:sz w:val="24"/>
        </w:rPr>
        <w:t>, Suzhou, China</w:t>
      </w:r>
    </w:p>
    <w:p w14:paraId="6DB7998D" w14:textId="77777777" w:rsidR="00243308" w:rsidRDefault="006F2843">
      <w:pPr>
        <w:pStyle w:val="Z1"/>
        <w:ind w:firstLineChars="0" w:firstLine="0"/>
      </w:pPr>
      <w:r>
        <w:rPr>
          <w:vertAlign w:val="superscript"/>
        </w:rPr>
        <w:t xml:space="preserve">* </w:t>
      </w:r>
      <w:r>
        <w:t>These authors contributed equally to this work.</w:t>
      </w:r>
    </w:p>
    <w:p w14:paraId="76BBB09A" w14:textId="77777777" w:rsidR="006F2843" w:rsidRDefault="006F2843" w:rsidP="006F2843">
      <w:pPr>
        <w:spacing w:line="360" w:lineRule="auto"/>
        <w:jc w:val="left"/>
        <w:rPr>
          <w:rFonts w:ascii="Arial" w:hAnsi="Arial" w:cs="Arial"/>
          <w:sz w:val="24"/>
        </w:rPr>
      </w:pPr>
      <w:r w:rsidRPr="001F0B26">
        <w:rPr>
          <w:rFonts w:ascii="Arial" w:hAnsi="Arial" w:cs="Arial"/>
          <w:sz w:val="24"/>
          <w:vertAlign w:val="superscript"/>
        </w:rPr>
        <w:t>#</w:t>
      </w:r>
      <w:r w:rsidRPr="001F0B26">
        <w:rPr>
          <w:rFonts w:ascii="Arial" w:hAnsi="Arial" w:cs="Arial"/>
          <w:sz w:val="24"/>
        </w:rPr>
        <w:t xml:space="preserve"> </w:t>
      </w:r>
      <w:r>
        <w:rPr>
          <w:rFonts w:ascii="Arial" w:hAnsi="Arial" w:cs="Arial"/>
          <w:sz w:val="24"/>
        </w:rPr>
        <w:t>Corresponding authors</w:t>
      </w:r>
      <w:r w:rsidRPr="001F0B26">
        <w:rPr>
          <w:rFonts w:ascii="Arial" w:hAnsi="Arial" w:cs="Arial"/>
          <w:sz w:val="24"/>
        </w:rPr>
        <w:t xml:space="preserve"> </w:t>
      </w:r>
    </w:p>
    <w:p w14:paraId="1972FFE1" w14:textId="77777777" w:rsidR="006F2843" w:rsidRPr="00D9788F" w:rsidRDefault="006F2843" w:rsidP="006F2843">
      <w:pPr>
        <w:spacing w:line="360" w:lineRule="auto"/>
        <w:jc w:val="left"/>
        <w:rPr>
          <w:rFonts w:ascii="Arial" w:hAnsi="Arial" w:cs="Arial"/>
          <w:sz w:val="24"/>
        </w:rPr>
      </w:pPr>
      <w:r w:rsidRPr="001F0B26">
        <w:rPr>
          <w:rFonts w:ascii="Arial" w:hAnsi="Arial" w:cs="Arial"/>
          <w:sz w:val="24"/>
        </w:rPr>
        <w:t>E</w:t>
      </w:r>
      <w:r w:rsidRPr="00D9788F">
        <w:rPr>
          <w:rFonts w:ascii="Arial" w:hAnsi="Arial" w:cs="Arial"/>
          <w:sz w:val="24"/>
        </w:rPr>
        <w:t xml:space="preserve">-mail: </w:t>
      </w:r>
      <w:r w:rsidRPr="00A636DD">
        <w:rPr>
          <w:rFonts w:ascii="Arial" w:hAnsi="Arial" w:cs="Arial"/>
          <w:sz w:val="24"/>
        </w:rPr>
        <w:t>lyy0618@suda.edu.cn</w:t>
      </w:r>
      <w:r>
        <w:rPr>
          <w:rFonts w:ascii="Arial" w:hAnsi="Arial" w:cs="Arial"/>
          <w:sz w:val="24"/>
        </w:rPr>
        <w:t xml:space="preserve"> </w:t>
      </w:r>
      <w:r>
        <w:rPr>
          <w:rFonts w:ascii="Arial" w:hAnsi="Arial" w:cs="Arial" w:hint="eastAsia"/>
          <w:sz w:val="24"/>
        </w:rPr>
        <w:t>(</w:t>
      </w:r>
      <w:r w:rsidRPr="00A636DD">
        <w:rPr>
          <w:rFonts w:ascii="Arial" w:hAnsi="Arial" w:cs="Arial"/>
          <w:sz w:val="24"/>
        </w:rPr>
        <w:t>Yanyan</w:t>
      </w:r>
      <w:r>
        <w:rPr>
          <w:rFonts w:ascii="Arial" w:hAnsi="Arial" w:cs="Arial"/>
          <w:sz w:val="24"/>
        </w:rPr>
        <w:t xml:space="preserve"> L</w:t>
      </w:r>
      <w:r>
        <w:rPr>
          <w:rFonts w:ascii="Arial" w:hAnsi="Arial" w:cs="Arial" w:hint="eastAsia"/>
          <w:sz w:val="24"/>
        </w:rPr>
        <w:t>i)</w:t>
      </w:r>
      <w:r w:rsidRPr="00D9788F">
        <w:rPr>
          <w:rFonts w:ascii="Arial" w:hAnsi="Arial" w:cs="Arial" w:hint="eastAsia"/>
          <w:sz w:val="24"/>
        </w:rPr>
        <w:t>,</w:t>
      </w:r>
      <w:r>
        <w:rPr>
          <w:rFonts w:ascii="Arial" w:hAnsi="Arial" w:cs="Arial"/>
          <w:sz w:val="24"/>
        </w:rPr>
        <w:t xml:space="preserve"> </w:t>
      </w:r>
      <w:r w:rsidRPr="00A636DD">
        <w:rPr>
          <w:rFonts w:ascii="Arial" w:hAnsi="Arial" w:cs="Arial"/>
          <w:sz w:val="24"/>
        </w:rPr>
        <w:t>zhengquan.yu@neurosci.com.cn</w:t>
      </w:r>
      <w:r>
        <w:rPr>
          <w:rFonts w:ascii="Arial" w:hAnsi="Arial" w:cs="Arial"/>
          <w:sz w:val="24"/>
        </w:rPr>
        <w:t xml:space="preserve"> </w:t>
      </w:r>
      <w:r w:rsidRPr="00A636DD">
        <w:rPr>
          <w:rFonts w:ascii="Arial" w:hAnsi="Arial" w:cs="Arial"/>
          <w:sz w:val="24"/>
        </w:rPr>
        <w:t>(Zhengquan Yu)</w:t>
      </w:r>
    </w:p>
    <w:p w14:paraId="06479F6C" w14:textId="77777777" w:rsidR="00243308" w:rsidRPr="006F2843" w:rsidRDefault="00243308">
      <w:pPr>
        <w:pStyle w:val="Z1"/>
      </w:pPr>
    </w:p>
    <w:p w14:paraId="04BBACD5" w14:textId="77777777" w:rsidR="00243308" w:rsidRDefault="00243308">
      <w:pPr>
        <w:pStyle w:val="Z1"/>
      </w:pPr>
    </w:p>
    <w:p w14:paraId="2EE21C81" w14:textId="77777777" w:rsidR="00243308" w:rsidRDefault="00243308">
      <w:pPr>
        <w:pStyle w:val="Z1"/>
      </w:pPr>
    </w:p>
    <w:p w14:paraId="336C5263" w14:textId="77777777" w:rsidR="00243308" w:rsidRDefault="00243308">
      <w:pPr>
        <w:pStyle w:val="Z1"/>
      </w:pPr>
    </w:p>
    <w:p w14:paraId="5DA16B6B" w14:textId="77777777" w:rsidR="00243308" w:rsidRDefault="00243308">
      <w:pPr>
        <w:pStyle w:val="Z1"/>
      </w:pPr>
    </w:p>
    <w:p w14:paraId="14A2BE57" w14:textId="77777777" w:rsidR="00243308" w:rsidRDefault="00243308">
      <w:pPr>
        <w:pStyle w:val="Z1"/>
      </w:pPr>
    </w:p>
    <w:p w14:paraId="426CDA9C" w14:textId="6BCF1EFF" w:rsidR="00243308" w:rsidRDefault="00243308">
      <w:pPr>
        <w:pStyle w:val="Z1"/>
        <w:ind w:firstLineChars="0" w:firstLine="0"/>
        <w:rPr>
          <w:rFonts w:eastAsiaTheme="minorEastAsia"/>
        </w:rPr>
      </w:pPr>
    </w:p>
    <w:p w14:paraId="03E508B0" w14:textId="048AF8B8" w:rsidR="006F2843" w:rsidRDefault="006F2843">
      <w:pPr>
        <w:pStyle w:val="Z1"/>
        <w:ind w:firstLineChars="0" w:firstLine="0"/>
        <w:rPr>
          <w:rFonts w:eastAsiaTheme="minorEastAsia"/>
        </w:rPr>
      </w:pPr>
    </w:p>
    <w:p w14:paraId="627467D5" w14:textId="77777777" w:rsidR="006F2843" w:rsidRDefault="006F2843">
      <w:pPr>
        <w:pStyle w:val="Z1"/>
        <w:ind w:firstLineChars="0" w:firstLine="0"/>
        <w:rPr>
          <w:rFonts w:eastAsiaTheme="minorEastAsia"/>
        </w:rPr>
      </w:pPr>
    </w:p>
    <w:p w14:paraId="650B65B1" w14:textId="77777777" w:rsidR="00243308" w:rsidRDefault="006F2843">
      <w:pPr>
        <w:pStyle w:val="Z3"/>
        <w:rPr>
          <w:rFonts w:ascii="Arial" w:hAnsi="Arial" w:cs="Arial"/>
        </w:rPr>
      </w:pPr>
      <w:r>
        <w:rPr>
          <w:rFonts w:ascii="Arial" w:hAnsi="Arial" w:cs="Arial"/>
        </w:rPr>
        <w:lastRenderedPageBreak/>
        <w:t>MATERIALS AND METHODS</w:t>
      </w:r>
    </w:p>
    <w:p w14:paraId="01491B09" w14:textId="77777777" w:rsidR="00243308" w:rsidRDefault="006F2843">
      <w:pPr>
        <w:pStyle w:val="Z"/>
      </w:pPr>
      <w:r>
        <w:t>Expression and Subcellular Localization Analysis of ADSL</w:t>
      </w:r>
    </w:p>
    <w:p w14:paraId="6C9ED2AD" w14:textId="77777777" w:rsidR="00243308" w:rsidRDefault="006F2843">
      <w:pPr>
        <w:rPr>
          <w:rFonts w:ascii="Arial" w:hAnsi="Arial" w:cs="Arial"/>
          <w:sz w:val="24"/>
        </w:rPr>
      </w:pPr>
      <w:r>
        <w:rPr>
          <w:rFonts w:ascii="Arial" w:hAnsi="Arial" w:cs="Arial"/>
          <w:sz w:val="24"/>
        </w:rPr>
        <w:t>The mRNA and protein of ADSL in normal tissues (N=13,084) was analyzed using the Human Protein Atlas (</w:t>
      </w:r>
      <w:r>
        <w:rPr>
          <w:rFonts w:ascii="Arial" w:hAnsi="Arial" w:cs="Arial" w:hint="eastAsia"/>
          <w:sz w:val="24"/>
        </w:rPr>
        <w:t xml:space="preserve"> </w:t>
      </w:r>
      <w:r>
        <w:rPr>
          <w:rFonts w:ascii="Arial" w:hAnsi="Arial" w:cs="Arial"/>
          <w:sz w:val="24"/>
        </w:rPr>
        <w:t>HPA, https://www.proteinatlas.org/</w:t>
      </w:r>
      <w:r>
        <w:rPr>
          <w:rFonts w:ascii="Arial" w:hAnsi="Arial" w:cs="Arial" w:hint="eastAsia"/>
          <w:sz w:val="24"/>
        </w:rPr>
        <w:t xml:space="preserve"> </w:t>
      </w:r>
      <w:r>
        <w:rPr>
          <w:rFonts w:ascii="Arial" w:hAnsi="Arial" w:cs="Arial"/>
          <w:sz w:val="24"/>
        </w:rPr>
        <w:t>).</w:t>
      </w:r>
      <w:r>
        <w:rPr>
          <w:rFonts w:ascii="Arial" w:hAnsi="Arial" w:cs="Arial" w:hint="eastAsia"/>
          <w:sz w:val="24"/>
        </w:rPr>
        <w:t xml:space="preserve"> </w:t>
      </w:r>
      <w:r>
        <w:rPr>
          <w:rFonts w:ascii="Arial" w:hAnsi="Arial" w:cs="Arial"/>
          <w:sz w:val="24"/>
        </w:rPr>
        <w:t>Data from the UCSC Xena</w:t>
      </w:r>
      <w:r>
        <w:rPr>
          <w:rFonts w:ascii="Arial" w:hAnsi="Arial" w:cs="Arial" w:hint="eastAsia"/>
          <w:sz w:val="24"/>
        </w:rPr>
        <w:t xml:space="preserve"> </w:t>
      </w:r>
      <w:r>
        <w:rPr>
          <w:rFonts w:ascii="Arial" w:hAnsi="Arial" w:cs="Arial"/>
          <w:sz w:val="24"/>
        </w:rPr>
        <w:t>( https://xenabrowser.net/datapages/ )</w:t>
      </w:r>
      <w:r>
        <w:rPr>
          <w:rFonts w:ascii="Arial" w:hAnsi="Arial" w:cs="Arial" w:hint="eastAsia"/>
          <w:sz w:val="24"/>
        </w:rPr>
        <w:t xml:space="preserve"> online s</w:t>
      </w:r>
      <w:r>
        <w:rPr>
          <w:rFonts w:ascii="Arial" w:hAnsi="Arial" w:cs="Arial"/>
          <w:sz w:val="24"/>
        </w:rPr>
        <w:t>erve was employed to examine the mRNA expression levels of ADSL in normal and tumor tissues (N=15,776), as well as in tumor and surrounding tissues and paired normal tissues (n=15,043)</w:t>
      </w:r>
      <w:r>
        <w:rPr>
          <w:rFonts w:ascii="Arial" w:hAnsi="Arial" w:cs="Arial" w:hint="eastAsia"/>
          <w:sz w:val="24"/>
        </w:rPr>
        <w:t xml:space="preserve"> (</w:t>
      </w:r>
      <w:r>
        <w:rPr>
          <w:rFonts w:ascii="Arial" w:hAnsi="Arial" w:cs="Arial"/>
          <w:sz w:val="24"/>
        </w:rPr>
        <w:t>encompassed 33 cancer types</w:t>
      </w:r>
      <w:r>
        <w:rPr>
          <w:rFonts w:ascii="Arial" w:hAnsi="Arial" w:cs="Arial" w:hint="eastAsia"/>
          <w:sz w:val="24"/>
        </w:rPr>
        <w:t>)</w:t>
      </w:r>
      <w:r>
        <w:rPr>
          <w:rFonts w:ascii="Arial" w:hAnsi="Arial" w:cs="Arial"/>
          <w:sz w:val="24"/>
        </w:rPr>
        <w:t>.</w:t>
      </w:r>
      <w:r>
        <w:rPr>
          <w:rFonts w:ascii="Arial" w:hAnsi="Arial" w:cs="Arial" w:hint="eastAsia"/>
          <w:sz w:val="24"/>
        </w:rPr>
        <w:t xml:space="preserve"> </w:t>
      </w:r>
      <w:r>
        <w:rPr>
          <w:rFonts w:ascii="Arial" w:hAnsi="Arial" w:cs="Arial"/>
          <w:sz w:val="24"/>
        </w:rPr>
        <w:t>Level 3 HTSeq-FPKM data were normalized to transcripts per million reads.</w:t>
      </w:r>
      <w:r>
        <w:rPr>
          <w:rFonts w:ascii="Arial" w:hAnsi="Arial" w:cs="Arial" w:hint="eastAsia"/>
          <w:sz w:val="24"/>
        </w:rPr>
        <w:t xml:space="preserve"> </w:t>
      </w:r>
      <w:r>
        <w:rPr>
          <w:rFonts w:ascii="Arial" w:hAnsi="Arial" w:cs="Arial"/>
          <w:sz w:val="24"/>
        </w:rPr>
        <w:t>The Wilcoxon rank-sum test was utilized for differential expression analysis, applying a significance level of P &lt; 0.05.</w:t>
      </w:r>
      <w:r>
        <w:rPr>
          <w:rFonts w:ascii="Arial" w:hAnsi="Arial" w:cs="Arial" w:hint="eastAsia"/>
          <w:sz w:val="24"/>
        </w:rPr>
        <w:t xml:space="preserve"> </w:t>
      </w:r>
      <w:r>
        <w:rPr>
          <w:rFonts w:ascii="Arial" w:hAnsi="Arial" w:cs="Arial"/>
          <w:sz w:val="24"/>
        </w:rPr>
        <w:t>R software (v4.2.2) and the “ggplot2” (v3.4.4) package were utilized for data visualization.</w:t>
      </w:r>
      <w:r>
        <w:rPr>
          <w:rFonts w:ascii="Arial" w:hAnsi="Arial" w:cs="Arial" w:hint="eastAsia"/>
          <w:sz w:val="24"/>
        </w:rPr>
        <w:t xml:space="preserve"> </w:t>
      </w:r>
      <w:r>
        <w:rPr>
          <w:rFonts w:ascii="Arial" w:hAnsi="Arial" w:cs="Arial"/>
          <w:sz w:val="24"/>
        </w:rPr>
        <w:t>Immunofluorescence staining images from three human cancer cell lines (A431, U251, and U-2 OS) were utilized to illustrate ADSL subcellular localization in cancer cells, as presented in the HPA dataset.</w:t>
      </w:r>
    </w:p>
    <w:p w14:paraId="24052FB6" w14:textId="77777777" w:rsidR="00243308" w:rsidRDefault="006F2843">
      <w:pPr>
        <w:pStyle w:val="Z"/>
      </w:pPr>
      <w:r>
        <w:t>Diagnostic and Prognostic Value Analysis of ADSL</w:t>
      </w:r>
    </w:p>
    <w:p w14:paraId="760417AE" w14:textId="77777777" w:rsidR="00243308" w:rsidRDefault="006F2843">
      <w:pPr>
        <w:rPr>
          <w:rFonts w:ascii="Arial" w:hAnsi="Arial" w:cs="Arial"/>
          <w:sz w:val="24"/>
        </w:rPr>
      </w:pPr>
      <w:r>
        <w:rPr>
          <w:rFonts w:ascii="Arial" w:hAnsi="Arial" w:cs="Arial"/>
          <w:sz w:val="24"/>
        </w:rPr>
        <w:t>We employed RNA sequencing datasets from the The Cancer Genome Atlas</w:t>
      </w:r>
      <w:r>
        <w:rPr>
          <w:rFonts w:ascii="Arial" w:hAnsi="Arial" w:cs="Arial" w:hint="eastAsia"/>
          <w:sz w:val="24"/>
        </w:rPr>
        <w:t xml:space="preserve"> (TCGA)</w:t>
      </w:r>
      <w:r>
        <w:rPr>
          <w:rFonts w:ascii="Arial" w:hAnsi="Arial" w:cs="Arial"/>
          <w:sz w:val="24"/>
        </w:rPr>
        <w:t xml:space="preserve"> to investigate how alterations in ADSL expression influence cancer diagnosis and patient prognosis. The diagnostic relevance of ADSL across different tumor tissues was determined through receiver operating characteristic (ROC) analyses alongside the calculation of the area under the curve (AUC). Kaplan-Meier survival curves and log-rank tests were used to perform survival analyses, with the </w:t>
      </w:r>
      <w:r>
        <w:rPr>
          <w:rFonts w:ascii="Arial" w:hAnsi="Arial" w:cs="Arial" w:hint="eastAsia"/>
          <w:sz w:val="24"/>
        </w:rPr>
        <w:t>m</w:t>
      </w:r>
      <w:r>
        <w:rPr>
          <w:rFonts w:ascii="Arial" w:hAnsi="Arial" w:cs="Arial"/>
          <w:sz w:val="24"/>
        </w:rPr>
        <w:t>inimum p-value as the threshold. Cox proportional hazard models, both univariate and multivariate, were used to assess the impact of clinical parameters on patient outcomes. Variables with a significance level of P &lt; 0.1 in univariate analysis were included in the multivariate models, and the results were visualized through forest plots generated using the "ggplot2" package in R. The developed models predicted survival probabilities at 1-, 3-, and 5-year. The accuracy of these models was assessed by generating ROC curves with the "timeROC"</w:t>
      </w:r>
      <w:r>
        <w:rPr>
          <w:rFonts w:ascii="Arial" w:hAnsi="Arial" w:cs="Arial" w:hint="eastAsia"/>
          <w:sz w:val="24"/>
        </w:rPr>
        <w:t xml:space="preserve"> </w:t>
      </w:r>
      <w:r>
        <w:rPr>
          <w:rFonts w:ascii="Arial" w:hAnsi="Arial" w:cs="Arial"/>
          <w:sz w:val="24"/>
        </w:rPr>
        <w:t>(v0.4.0) package in R.</w:t>
      </w:r>
    </w:p>
    <w:p w14:paraId="160D61C1" w14:textId="77777777" w:rsidR="00243308" w:rsidRDefault="006F2843">
      <w:pPr>
        <w:pStyle w:val="Z"/>
      </w:pPr>
      <w:r>
        <w:lastRenderedPageBreak/>
        <w:t>Genetic Alteration Analysis</w:t>
      </w:r>
    </w:p>
    <w:p w14:paraId="1A6BE030" w14:textId="77777777" w:rsidR="00243308" w:rsidRDefault="006F2843">
      <w:pPr>
        <w:rPr>
          <w:rFonts w:ascii="Arial" w:hAnsi="Arial" w:cs="Arial"/>
          <w:sz w:val="24"/>
        </w:rPr>
      </w:pPr>
      <w:r>
        <w:rPr>
          <w:rFonts w:ascii="Arial" w:hAnsi="Arial" w:cs="Arial"/>
          <w:sz w:val="24"/>
        </w:rPr>
        <w:t xml:space="preserve">The cBioPortal ( https://www.cbioportal.org/ ) </w:t>
      </w:r>
      <w:r>
        <w:rPr>
          <w:rFonts w:ascii="Arial" w:hAnsi="Arial" w:cs="Arial" w:hint="eastAsia"/>
          <w:sz w:val="24"/>
        </w:rPr>
        <w:t>web s</w:t>
      </w:r>
      <w:r>
        <w:rPr>
          <w:rFonts w:ascii="Arial" w:hAnsi="Arial" w:cs="Arial"/>
          <w:sz w:val="24"/>
        </w:rPr>
        <w:t>erve</w:t>
      </w:r>
      <w:r>
        <w:rPr>
          <w:rFonts w:ascii="Arial" w:hAnsi="Arial" w:cs="Arial" w:hint="eastAsia"/>
          <w:sz w:val="24"/>
        </w:rPr>
        <w:t xml:space="preserve"> </w:t>
      </w:r>
      <w:r>
        <w:rPr>
          <w:rFonts w:ascii="Arial" w:hAnsi="Arial" w:cs="Arial"/>
          <w:sz w:val="24"/>
        </w:rPr>
        <w:t>was searched for genetic alteration information of ADSL. All the Pan-</w:t>
      </w:r>
      <w:r>
        <w:rPr>
          <w:rFonts w:ascii="Arial" w:hAnsi="Arial" w:cs="Arial" w:hint="eastAsia"/>
          <w:sz w:val="24"/>
        </w:rPr>
        <w:t>c</w:t>
      </w:r>
      <w:r>
        <w:rPr>
          <w:rFonts w:ascii="Arial" w:hAnsi="Arial" w:cs="Arial"/>
          <w:sz w:val="24"/>
        </w:rPr>
        <w:t xml:space="preserve">ancer Atlas Studies </w:t>
      </w:r>
      <w:r>
        <w:rPr>
          <w:rFonts w:ascii="Arial" w:hAnsi="Arial" w:cs="Arial" w:hint="eastAsia"/>
          <w:sz w:val="24"/>
        </w:rPr>
        <w:t xml:space="preserve">in TCGA </w:t>
      </w:r>
      <w:r>
        <w:rPr>
          <w:rFonts w:ascii="Arial" w:hAnsi="Arial" w:cs="Arial"/>
          <w:sz w:val="24"/>
        </w:rPr>
        <w:t>were included. The frequency of somatic mutations and genomic data related to ADSL mutations in cancers were analyzed using the “cancer types summary and mutations” and “mRNA vs. study” modules. The mutation sites were obtained from the “mutations” modules.</w:t>
      </w:r>
    </w:p>
    <w:p w14:paraId="37845852" w14:textId="77777777" w:rsidR="00243308" w:rsidRDefault="006F2843">
      <w:pPr>
        <w:pStyle w:val="Z"/>
        <w:jc w:val="left"/>
        <w:rPr>
          <w:rFonts w:eastAsiaTheme="minorEastAsia"/>
          <w:szCs w:val="24"/>
        </w:rPr>
      </w:pPr>
      <w:r>
        <w:rPr>
          <w:szCs w:val="24"/>
        </w:rPr>
        <w:t xml:space="preserve">Protein-Protein Interaction (PPI) Network Analyses of </w:t>
      </w:r>
      <w:r>
        <w:rPr>
          <w:rFonts w:eastAsiaTheme="minorEastAsia"/>
          <w:szCs w:val="24"/>
        </w:rPr>
        <w:t>ADSL</w:t>
      </w:r>
    </w:p>
    <w:p w14:paraId="6B3D152F" w14:textId="77777777" w:rsidR="00243308" w:rsidRDefault="006F2843">
      <w:pPr>
        <w:pStyle w:val="Z1"/>
        <w:ind w:firstLineChars="0" w:firstLine="0"/>
        <w:rPr>
          <w:b/>
        </w:rPr>
      </w:pPr>
      <w:r>
        <w:t>The STRING database (</w:t>
      </w:r>
      <w:r>
        <w:rPr>
          <w:rFonts w:eastAsiaTheme="minorEastAsia" w:hint="eastAsia"/>
        </w:rPr>
        <w:t xml:space="preserve"> </w:t>
      </w:r>
      <w:r>
        <w:t>https://cn.string-db.org/</w:t>
      </w:r>
      <w:r>
        <w:rPr>
          <w:rFonts w:eastAsiaTheme="minorEastAsia" w:hint="eastAsia"/>
        </w:rPr>
        <w:t xml:space="preserve"> </w:t>
      </w:r>
      <w:r>
        <w:t xml:space="preserve">) was employed to integrate potential protein interactions involving ADSL. The identified genes associated with these interactions were analyzed within a PPI network. A confidence score more excellent than 0.5 was set as the threshold to ensure the significance of the interactions included. Subsequently, the Cytoscape software (v3.9.1) </w:t>
      </w:r>
      <w:r>
        <w:rPr>
          <w:rFonts w:eastAsiaTheme="minorEastAsia" w:hint="eastAsia"/>
        </w:rPr>
        <w:t xml:space="preserve">was used </w:t>
      </w:r>
      <w:r>
        <w:t xml:space="preserve">to enable graphical representation and network visualization. Critical modules were identified using the “cytoHubba” plugin within Cytoscape, with the top 10 nodes ranked by Maximal Clique Centrality (MCC) designated as hub genes. Furthermore, we explored the relationships and correlations of these </w:t>
      </w:r>
      <w:r>
        <w:rPr>
          <w:rFonts w:eastAsiaTheme="minorEastAsia" w:hint="eastAsia"/>
        </w:rPr>
        <w:t>10</w:t>
      </w:r>
      <w:r>
        <w:t xml:space="preserve"> genes </w:t>
      </w:r>
      <w:r>
        <w:rPr>
          <w:rFonts w:eastAsiaTheme="minorEastAsia" w:hint="eastAsia"/>
        </w:rPr>
        <w:t>in pan-cancer</w:t>
      </w:r>
      <w:r>
        <w:t>.</w:t>
      </w:r>
    </w:p>
    <w:p w14:paraId="21628C49" w14:textId="77777777" w:rsidR="00243308" w:rsidRDefault="006F2843">
      <w:pPr>
        <w:pStyle w:val="Z"/>
      </w:pPr>
      <w:r>
        <w:t xml:space="preserve">Gene </w:t>
      </w:r>
      <w:r>
        <w:rPr>
          <w:rFonts w:eastAsiaTheme="minorEastAsia" w:hint="eastAsia"/>
        </w:rPr>
        <w:t>N</w:t>
      </w:r>
      <w:r>
        <w:t xml:space="preserve">etwork and </w:t>
      </w:r>
      <w:r>
        <w:rPr>
          <w:rFonts w:eastAsiaTheme="minorEastAsia" w:hint="eastAsia"/>
        </w:rPr>
        <w:t>E</w:t>
      </w:r>
      <w:r>
        <w:t xml:space="preserve">nrichment </w:t>
      </w:r>
      <w:r>
        <w:rPr>
          <w:rFonts w:eastAsiaTheme="minorEastAsia" w:hint="eastAsia"/>
        </w:rPr>
        <w:t>A</w:t>
      </w:r>
      <w:r>
        <w:t>nalysis</w:t>
      </w:r>
    </w:p>
    <w:p w14:paraId="5CAC88AF" w14:textId="77777777" w:rsidR="00243308" w:rsidRDefault="006F2843">
      <w:pPr>
        <w:rPr>
          <w:rFonts w:ascii="Arial" w:hAnsi="Arial" w:cs="Arial"/>
          <w:sz w:val="24"/>
        </w:rPr>
      </w:pPr>
      <w:r>
        <w:rPr>
          <w:rFonts w:ascii="Arial" w:hAnsi="Arial" w:cs="Arial"/>
          <w:sz w:val="24"/>
        </w:rPr>
        <w:t xml:space="preserve">Using the "clusterProfiler" (v4.6.2) and "org.Hs.eg.db" (v3.16.0) R packages, we conducted enrichment analyses for Gene Ontology (GO) and the Kyoto Encyclopedia of Genes and Genomes (KEGG) on genes closely associated with ADSL, as identified through the STRING database. Additionally, Gene Set Enrichment Analysis (GSEA) was applied to explore potential functions related to ADSL expression. </w:t>
      </w:r>
      <w:r>
        <w:rPr>
          <w:rFonts w:ascii="Arial" w:hAnsi="Arial" w:cs="Arial" w:hint="eastAsia"/>
          <w:sz w:val="24"/>
        </w:rPr>
        <w:t>T</w:t>
      </w:r>
      <w:r>
        <w:rPr>
          <w:rFonts w:ascii="Arial" w:hAnsi="Arial" w:cs="Arial"/>
          <w:sz w:val="24"/>
        </w:rPr>
        <w:t>he "h.all.v7.5" gene set from the MSigDB database was selected</w:t>
      </w:r>
      <w:r>
        <w:rPr>
          <w:rFonts w:ascii="Arial" w:hAnsi="Arial" w:cs="Arial" w:hint="eastAsia"/>
          <w:sz w:val="24"/>
        </w:rPr>
        <w:t xml:space="preserve"> for GSEA</w:t>
      </w:r>
      <w:r>
        <w:rPr>
          <w:rFonts w:ascii="Arial" w:hAnsi="Arial" w:cs="Arial"/>
          <w:sz w:val="24"/>
        </w:rPr>
        <w:t xml:space="preserve">. Gene sets were considered significantly enriched if their false discovery rate (FDR) was less than 0.25 and their adjusted P-value was below 0.05, as calculated using the GMT method. Multiple genome alignments were performed to support the analysis. Phenotype-associated pathways were prioritized according to normalized enrichment scores (NES) and adjusted P-values. The top 10 pathways with the highest enrichment scores were visualized as mountain plots. Data visualizations, including </w:t>
      </w:r>
      <w:r>
        <w:rPr>
          <w:rFonts w:ascii="Arial" w:hAnsi="Arial" w:cs="Arial" w:hint="eastAsia"/>
          <w:sz w:val="24"/>
        </w:rPr>
        <w:t>p</w:t>
      </w:r>
      <w:r>
        <w:rPr>
          <w:rFonts w:ascii="Arial" w:hAnsi="Arial" w:cs="Arial"/>
          <w:sz w:val="24"/>
        </w:rPr>
        <w:t>henotype-associated pathways, were generated using the "ggplot2" package, effectively presenting the findings and highlighting key biological insights.</w:t>
      </w:r>
    </w:p>
    <w:p w14:paraId="62049C4E" w14:textId="77777777" w:rsidR="00243308" w:rsidRDefault="006F2843">
      <w:pPr>
        <w:rPr>
          <w:rFonts w:ascii="Arial" w:hAnsi="Arial" w:cs="Arial"/>
          <w:sz w:val="24"/>
        </w:rPr>
      </w:pPr>
      <w:r>
        <w:rPr>
          <w:rFonts w:ascii="Arial" w:hAnsi="Arial" w:cs="Arial"/>
          <w:sz w:val="24"/>
        </w:rPr>
        <w:lastRenderedPageBreak/>
        <w:t>GSCALite is a genomic cancer analysis platform that integrates genomic data from TCGA, GDSC</w:t>
      </w:r>
      <w:r>
        <w:rPr>
          <w:rFonts w:ascii="Arial" w:hAnsi="Arial" w:cs="Arial" w:hint="eastAsia"/>
          <w:sz w:val="24"/>
        </w:rPr>
        <w:t xml:space="preserve">, </w:t>
      </w:r>
      <w:r>
        <w:rPr>
          <w:rFonts w:ascii="Arial" w:hAnsi="Arial" w:cs="Arial"/>
          <w:sz w:val="24"/>
        </w:rPr>
        <w:t>CTRP, and GTEx, providing a comprehensive framework for unified gene set analysis. Using this platform, we investigated the canonical pathways influenced by ADSL activity across 33 different cancer types. These pathways include TSC/mTOR signaling, receptor tyrosine kinase (RTK) pathways, RAS/MAPK signaling, PI3K/AKT signaling, hormone pathways such as estrogen receptor (ER) and androgen receptor (AR), epithelial-mesenchymal transition (EMT), DNA damage response (DDR), cell cycle regulation, and apoptosis. This analysis provides insights into the pathways either activated or inhibited by ADSL in diverse cancer contexts.</w:t>
      </w:r>
    </w:p>
    <w:p w14:paraId="65ED4A67" w14:textId="77777777" w:rsidR="00243308" w:rsidRDefault="006F2843">
      <w:pPr>
        <w:rPr>
          <w:rFonts w:ascii="Arial" w:hAnsi="Arial" w:cs="Arial"/>
          <w:b/>
          <w:sz w:val="24"/>
        </w:rPr>
      </w:pPr>
      <w:r>
        <w:rPr>
          <w:rFonts w:ascii="Arial" w:hAnsi="Arial" w:cs="Arial"/>
          <w:sz w:val="24"/>
        </w:rPr>
        <w:t>We utilized CancerSEA, a specialized database designed for examining the functional states of cancer cells at the single-cell level, to explore the role of ADSL across multiple cancer types. This analysis focused on the association between ADSL expression and functional characteristics in 18 cancer types, including invasion, metastasis, proliferation, epithelial-mesenchymal transition (EMT), angiogenesis, apoptosis, cell cycle progression, differentiation, DNA damage, DNA repair, hypoxia, inflammation, quiescence, and stemness. A correlation threshold of 0.3 was set, with statistical significance defined as P &lt; 0.05, to identify meaningful relationships between ADSL expression and these functional states in cancer.</w:t>
      </w:r>
    </w:p>
    <w:p w14:paraId="5B4C4B1A" w14:textId="77777777" w:rsidR="00243308" w:rsidRDefault="006F2843">
      <w:pPr>
        <w:pStyle w:val="Z"/>
        <w:jc w:val="left"/>
        <w:rPr>
          <w:szCs w:val="24"/>
        </w:rPr>
      </w:pPr>
      <w:r>
        <w:rPr>
          <w:szCs w:val="24"/>
        </w:rPr>
        <w:t xml:space="preserve">Immunogenomic Analyses of </w:t>
      </w:r>
      <w:r>
        <w:rPr>
          <w:rFonts w:eastAsiaTheme="minorEastAsia"/>
          <w:szCs w:val="24"/>
        </w:rPr>
        <w:t>ADSL</w:t>
      </w:r>
      <w:r>
        <w:rPr>
          <w:szCs w:val="24"/>
        </w:rPr>
        <w:t xml:space="preserve"> in Pan-cancers</w:t>
      </w:r>
    </w:p>
    <w:p w14:paraId="18E9FDB0" w14:textId="77777777" w:rsidR="00243308" w:rsidRDefault="006F2843">
      <w:pPr>
        <w:rPr>
          <w:rFonts w:ascii="Arial" w:hAnsi="Arial" w:cs="Arial"/>
          <w:sz w:val="24"/>
        </w:rPr>
      </w:pPr>
      <w:r>
        <w:rPr>
          <w:rFonts w:ascii="Arial" w:hAnsi="Arial" w:cs="Arial"/>
          <w:sz w:val="24"/>
        </w:rPr>
        <w:t xml:space="preserve">The literature review identified 24 immune cell marker genes encompassing innate and adaptive immune cells. Innate immune cells included dendritic cells (DCs), immature DCs (iDCs), activated DCs (aDCs), eosinophils, mast cells, macrophages, natural killer cells (NKs), NK CD56dim cells, NK CD56bright cells, and neutrophils. Adaptive immune cells consist of B cells, T helper 1 (Th1), Th2, T gamma delta (Tgd), CD8+ T cells, T central memory (Tcm), T effector memory (Tem), and T follicular helper (Tfh) cells. We conducted a single-sample gene set enrichment analysis (ssGSEA) to assess immune cell infiltration in glioma. The relationship between ADSL expression and immune cell infiltration was examined using Spearman's correlation method, while the Wilcoxon rank-sum test compared immune cell infiltration levels in samples with high and low ADSL expression. Associations between ADSL expression and microsatellite instability (MSI), tumor mutational burden (TMB), and neoantigens (NEO) were evaluated using SangerBox3.0. The "GSVA" (v1.46.0) package investigated correlations between ADSL expression and various </w:t>
      </w:r>
      <w:r>
        <w:rPr>
          <w:rFonts w:ascii="Arial" w:hAnsi="Arial" w:cs="Arial"/>
          <w:sz w:val="24"/>
        </w:rPr>
        <w:lastRenderedPageBreak/>
        <w:t>immune components across 33 cancer types. These components included tumor-infiltrating lymphocytes, immunostimulators, immune inhibitors, MHC molecules, chemokines, and chemokine receptors. Spearman's correlation analysis was performed, with a significance threshold of P &lt; 0.05. Results were visualized as heatmaps using the "ggplot2" package, providing a comprehensive overview of the relationships between ADSL and immune components.</w:t>
      </w:r>
    </w:p>
    <w:p w14:paraId="63B60939" w14:textId="77777777" w:rsidR="00243308" w:rsidRDefault="006F2843">
      <w:pPr>
        <w:pStyle w:val="Z"/>
      </w:pPr>
      <w:r>
        <w:t>DNA Methylation and mRNA Modification</w:t>
      </w:r>
    </w:p>
    <w:p w14:paraId="598CCA10" w14:textId="77777777" w:rsidR="00243308" w:rsidRDefault="006F2843">
      <w:pPr>
        <w:rPr>
          <w:rFonts w:ascii="Arial" w:hAnsi="Arial" w:cs="Arial"/>
          <w:b/>
          <w:sz w:val="24"/>
        </w:rPr>
      </w:pPr>
      <w:r>
        <w:rPr>
          <w:rFonts w:ascii="Arial" w:hAnsi="Arial" w:cs="Arial"/>
          <w:sz w:val="24"/>
        </w:rPr>
        <w:t>The UALCAN online platform (</w:t>
      </w:r>
      <w:r>
        <w:rPr>
          <w:rFonts w:ascii="Arial" w:hAnsi="Arial" w:cs="Arial" w:hint="eastAsia"/>
          <w:sz w:val="24"/>
        </w:rPr>
        <w:t xml:space="preserve"> </w:t>
      </w:r>
      <w:r>
        <w:rPr>
          <w:rFonts w:ascii="Arial" w:hAnsi="Arial" w:cs="Arial"/>
          <w:sz w:val="24"/>
        </w:rPr>
        <w:t>http://ualcan.path.uab.edu/analysis.html</w:t>
      </w:r>
      <w:r>
        <w:rPr>
          <w:rFonts w:ascii="Arial" w:hAnsi="Arial" w:cs="Arial" w:hint="eastAsia"/>
          <w:sz w:val="24"/>
        </w:rPr>
        <w:t xml:space="preserve"> </w:t>
      </w:r>
      <w:r>
        <w:rPr>
          <w:rFonts w:ascii="Arial" w:hAnsi="Arial" w:cs="Arial"/>
          <w:sz w:val="24"/>
        </w:rPr>
        <w:t>) was used to analyze ADSL promoter DNA methylation levels in normal tissues and pan-cancer samples. For GBM, the DNA methylation profile of ADSL was obtained from the MethSurv database (</w:t>
      </w:r>
      <w:r>
        <w:rPr>
          <w:rFonts w:ascii="Arial" w:hAnsi="Arial" w:cs="Arial" w:hint="eastAsia"/>
          <w:sz w:val="24"/>
        </w:rPr>
        <w:t xml:space="preserve"> </w:t>
      </w:r>
      <w:r>
        <w:rPr>
          <w:rFonts w:ascii="Arial" w:hAnsi="Arial" w:cs="Arial"/>
          <w:sz w:val="24"/>
        </w:rPr>
        <w:t>https://biit.cs.ut.ee/methsurv/</w:t>
      </w:r>
      <w:r>
        <w:rPr>
          <w:rFonts w:ascii="Arial" w:hAnsi="Arial" w:cs="Arial" w:hint="eastAsia"/>
          <w:sz w:val="24"/>
        </w:rPr>
        <w:t xml:space="preserve"> </w:t>
      </w:r>
      <w:r>
        <w:rPr>
          <w:rFonts w:ascii="Arial" w:hAnsi="Arial" w:cs="Arial"/>
          <w:sz w:val="24"/>
        </w:rPr>
        <w:t>), providing detailed insights into methylation patterns specific to this cancer type. Additionally, SangerBox3.0, a comprehensive bioinformatics tool, investigated mRNA modifications involving 45 methylation regulators. These regulators are associated with N1-methyladenosine (m1A), 5-methylcytosine (m5C), and N6-methyladenosine (m6A) across pan-cancer tissues using data from TCGA. This analysis provided a broader understanding of epigenetic and transcriptomic modifications related to ADSL in various cancer types.</w:t>
      </w:r>
    </w:p>
    <w:p w14:paraId="0930B968" w14:textId="77777777" w:rsidR="00243308" w:rsidRDefault="006F2843">
      <w:pPr>
        <w:pStyle w:val="Z"/>
      </w:pPr>
      <w:r>
        <w:t xml:space="preserve">Development of </w:t>
      </w:r>
      <w:r>
        <w:rPr>
          <w:rFonts w:eastAsiaTheme="minorEastAsia"/>
        </w:rPr>
        <w:t>the</w:t>
      </w:r>
      <w:r>
        <w:rPr>
          <w:rFonts w:eastAsiaTheme="minorEastAsia" w:hint="eastAsia"/>
        </w:rPr>
        <w:t xml:space="preserve"> l</w:t>
      </w:r>
      <w:r>
        <w:t>ncRNA-miRNA-ADSL Regulatory Network</w:t>
      </w:r>
    </w:p>
    <w:p w14:paraId="2D458C58" w14:textId="77777777" w:rsidR="00243308" w:rsidRDefault="006F2843">
      <w:pPr>
        <w:rPr>
          <w:rFonts w:ascii="Arial" w:hAnsi="Arial" w:cs="Arial"/>
          <w:sz w:val="24"/>
        </w:rPr>
      </w:pPr>
      <w:r>
        <w:rPr>
          <w:rFonts w:ascii="Arial" w:hAnsi="Arial" w:cs="Arial"/>
          <w:sz w:val="24"/>
        </w:rPr>
        <w:t>To predict miRNAs targeting ADSL, four online databases were employed: DIANA-microT (http://diana.imis.athena-innovation.gr), miRDB (</w:t>
      </w:r>
      <w:r>
        <w:rPr>
          <w:rFonts w:ascii="Arial" w:hAnsi="Arial" w:cs="Arial" w:hint="eastAsia"/>
          <w:sz w:val="24"/>
        </w:rPr>
        <w:t xml:space="preserve"> </w:t>
      </w:r>
      <w:r>
        <w:rPr>
          <w:rFonts w:ascii="Arial" w:hAnsi="Arial" w:cs="Arial"/>
          <w:sz w:val="24"/>
        </w:rPr>
        <w:t>https://mirdb.org/</w:t>
      </w:r>
      <w:r>
        <w:rPr>
          <w:rFonts w:ascii="Arial" w:hAnsi="Arial" w:cs="Arial" w:hint="eastAsia"/>
          <w:sz w:val="24"/>
        </w:rPr>
        <w:t xml:space="preserve"> </w:t>
      </w:r>
      <w:r>
        <w:rPr>
          <w:rFonts w:ascii="Arial" w:hAnsi="Arial" w:cs="Arial"/>
          <w:sz w:val="24"/>
        </w:rPr>
        <w:t>), miRWalk (</w:t>
      </w:r>
      <w:r>
        <w:rPr>
          <w:rFonts w:ascii="Arial" w:hAnsi="Arial" w:cs="Arial" w:hint="eastAsia"/>
          <w:sz w:val="24"/>
        </w:rPr>
        <w:t xml:space="preserve"> </w:t>
      </w:r>
      <w:r>
        <w:rPr>
          <w:rFonts w:ascii="Arial" w:hAnsi="Arial" w:cs="Arial"/>
          <w:sz w:val="24"/>
        </w:rPr>
        <w:t>http://mirwalk.umm.uni-heidelberg.de/</w:t>
      </w:r>
      <w:r>
        <w:rPr>
          <w:rFonts w:ascii="Arial" w:hAnsi="Arial" w:cs="Arial" w:hint="eastAsia"/>
          <w:sz w:val="24"/>
        </w:rPr>
        <w:t xml:space="preserve"> </w:t>
      </w:r>
      <w:r>
        <w:rPr>
          <w:rFonts w:ascii="Arial" w:hAnsi="Arial" w:cs="Arial"/>
          <w:sz w:val="24"/>
        </w:rPr>
        <w:t>), and TargetScan (</w:t>
      </w:r>
      <w:r>
        <w:rPr>
          <w:rFonts w:ascii="Arial" w:hAnsi="Arial" w:cs="Arial" w:hint="eastAsia"/>
          <w:sz w:val="24"/>
        </w:rPr>
        <w:t xml:space="preserve"> </w:t>
      </w:r>
      <w:r>
        <w:rPr>
          <w:rFonts w:ascii="Arial" w:hAnsi="Arial" w:cs="Arial"/>
          <w:sz w:val="24"/>
        </w:rPr>
        <w:t>https://www.targetscan.org/vert_72/</w:t>
      </w:r>
      <w:r>
        <w:rPr>
          <w:rFonts w:ascii="Arial" w:hAnsi="Arial" w:cs="Arial" w:hint="eastAsia"/>
          <w:sz w:val="24"/>
        </w:rPr>
        <w:t xml:space="preserve"> </w:t>
      </w:r>
      <w:r>
        <w:rPr>
          <w:rFonts w:ascii="Arial" w:hAnsi="Arial" w:cs="Arial"/>
          <w:sz w:val="24"/>
        </w:rPr>
        <w:t>). miRNAs identified in at least three databases were considered target miRNAs. The ENCORI database</w:t>
      </w:r>
      <w:r>
        <w:rPr>
          <w:rFonts w:ascii="Arial" w:hAnsi="Arial" w:cs="Arial" w:hint="eastAsia"/>
          <w:sz w:val="24"/>
        </w:rPr>
        <w:t xml:space="preserve"> </w:t>
      </w:r>
      <w:r>
        <w:rPr>
          <w:rFonts w:ascii="Arial" w:hAnsi="Arial" w:cs="Arial"/>
          <w:sz w:val="24"/>
        </w:rPr>
        <w:t>was then used to analyze the lncRNA-miRNA interactome and investigate the association between miRNAs and ADSL. These interactions were visualized using the "ggalluvial" (v0.12.5) package and Cytoscape software. A Sankey diagram was created to represent the connections within the lncRNA-miRNA-ADSL network, providing a comprehensive view of the regulatory interactions involved. This integrative approach allowed for identifying key miRNAs and their potential regulatory roles in the ADSL-centered network.</w:t>
      </w:r>
    </w:p>
    <w:p w14:paraId="6025E355" w14:textId="77777777" w:rsidR="00243308" w:rsidRDefault="006F2843">
      <w:pPr>
        <w:pStyle w:val="Z"/>
        <w:rPr>
          <w:rFonts w:eastAsiaTheme="minorEastAsia"/>
          <w:szCs w:val="24"/>
        </w:rPr>
      </w:pPr>
      <w:r>
        <w:rPr>
          <w:szCs w:val="24"/>
        </w:rPr>
        <w:lastRenderedPageBreak/>
        <w:t>Drug Sensitivity Analysis</w:t>
      </w:r>
    </w:p>
    <w:p w14:paraId="288F2C24" w14:textId="77777777" w:rsidR="00243308" w:rsidRDefault="006F2843">
      <w:pPr>
        <w:rPr>
          <w:rFonts w:ascii="Arial" w:hAnsi="Arial" w:cs="Arial"/>
          <w:sz w:val="24"/>
        </w:rPr>
      </w:pPr>
      <w:r>
        <w:rPr>
          <w:rFonts w:ascii="Arial" w:hAnsi="Arial" w:cs="Arial"/>
          <w:sz w:val="24"/>
        </w:rPr>
        <w:t>We utilized the GSCALite online platform to evaluate the drug sensitivity of ADSL and its hub genes using datasets from GDSC and CRTP. We identified FDA-approved chemotherapeutic drugs associated with ADSL expression from these datasets by cross-referencing entries in the DrugBank library (</w:t>
      </w:r>
      <w:r>
        <w:rPr>
          <w:rFonts w:ascii="Arial" w:hAnsi="Arial" w:cs="Arial" w:hint="eastAsia"/>
          <w:sz w:val="24"/>
        </w:rPr>
        <w:t xml:space="preserve"> </w:t>
      </w:r>
      <w:r>
        <w:rPr>
          <w:rFonts w:ascii="Arial" w:hAnsi="Arial" w:cs="Arial"/>
          <w:sz w:val="24"/>
        </w:rPr>
        <w:t>https://go.drugbank.com/drugs</w:t>
      </w:r>
      <w:r>
        <w:rPr>
          <w:rFonts w:ascii="Arial" w:hAnsi="Arial" w:cs="Arial" w:hint="eastAsia"/>
          <w:sz w:val="24"/>
        </w:rPr>
        <w:t xml:space="preserve"> </w:t>
      </w:r>
      <w:r>
        <w:rPr>
          <w:rFonts w:ascii="Arial" w:hAnsi="Arial" w:cs="Arial"/>
          <w:sz w:val="24"/>
        </w:rPr>
        <w:t>). The findings were visualized using the "ggraph" (v2.1.0) R package for clear representation. To explore differentially expressed genes (DEGs), we used the "DESeq2" (v1.36.0) R package to analyze data from TCGA-GBMLGG and GTEx, identifying the top 100 upregulated and downregulated genes. These DEGs were subsequently imported into the Connectivity Map (cMap) platform (</w:t>
      </w:r>
      <w:r>
        <w:rPr>
          <w:rFonts w:ascii="Arial" w:hAnsi="Arial" w:cs="Arial" w:hint="eastAsia"/>
          <w:sz w:val="24"/>
        </w:rPr>
        <w:t xml:space="preserve"> </w:t>
      </w:r>
      <w:r>
        <w:rPr>
          <w:rFonts w:ascii="Arial" w:hAnsi="Arial" w:cs="Arial"/>
          <w:sz w:val="24"/>
        </w:rPr>
        <w:t>https://clue.io/</w:t>
      </w:r>
      <w:r>
        <w:rPr>
          <w:rFonts w:ascii="Arial" w:hAnsi="Arial" w:cs="Arial" w:hint="eastAsia"/>
          <w:sz w:val="24"/>
        </w:rPr>
        <w:t xml:space="preserve"> </w:t>
      </w:r>
      <w:r>
        <w:rPr>
          <w:rFonts w:ascii="Arial" w:hAnsi="Arial" w:cs="Arial"/>
          <w:sz w:val="24"/>
        </w:rPr>
        <w:t>) to predict potential small-molecule drugs for cancer treatment. Compounds with positive connectivity scores were identified as likely to mimic the input gene signature. In contrast, those with negative connectivity scores were predicted to counteract the input signature in human cell lines. This integrative approach provided insights into potential therapeutic strategies targeting ADSL-related pathways in cancer.</w:t>
      </w:r>
    </w:p>
    <w:p w14:paraId="179D2903" w14:textId="77777777" w:rsidR="00243308" w:rsidRDefault="006F2843">
      <w:pPr>
        <w:pStyle w:val="Z"/>
      </w:pPr>
      <w:r>
        <w:t xml:space="preserve">Molecular </w:t>
      </w:r>
      <w:r>
        <w:rPr>
          <w:rFonts w:eastAsiaTheme="minorEastAsia" w:hint="eastAsia"/>
        </w:rPr>
        <w:t>D</w:t>
      </w:r>
      <w:r>
        <w:t>ocking and Molecular</w:t>
      </w:r>
      <w:r>
        <w:rPr>
          <w:rFonts w:eastAsiaTheme="minorEastAsia" w:hint="eastAsia"/>
        </w:rPr>
        <w:t xml:space="preserve"> D</w:t>
      </w:r>
      <w:r>
        <w:t xml:space="preserve">ynamics </w:t>
      </w:r>
      <w:r>
        <w:rPr>
          <w:rFonts w:eastAsiaTheme="minorEastAsia" w:hint="eastAsia"/>
        </w:rPr>
        <w:t>S</w:t>
      </w:r>
      <w:r>
        <w:t>imulation</w:t>
      </w:r>
    </w:p>
    <w:p w14:paraId="033B19F5" w14:textId="77777777" w:rsidR="00243308" w:rsidRDefault="006F2843">
      <w:pPr>
        <w:rPr>
          <w:rFonts w:ascii="Arial" w:hAnsi="Arial" w:cs="Arial"/>
          <w:sz w:val="24"/>
        </w:rPr>
      </w:pPr>
      <w:r>
        <w:rPr>
          <w:rFonts w:ascii="Arial" w:hAnsi="Arial" w:cs="Arial"/>
          <w:sz w:val="24"/>
        </w:rPr>
        <w:t xml:space="preserve">The </w:t>
      </w:r>
      <w:r>
        <w:rPr>
          <w:rFonts w:ascii="Arial" w:hAnsi="Arial" w:cs="Arial" w:hint="eastAsia"/>
          <w:sz w:val="24"/>
        </w:rPr>
        <w:t xml:space="preserve">3D </w:t>
      </w:r>
      <w:r>
        <w:rPr>
          <w:rFonts w:ascii="Arial" w:hAnsi="Arial" w:cs="Arial"/>
          <w:sz w:val="24"/>
        </w:rPr>
        <w:t>structure of ADSL</w:t>
      </w:r>
      <w:r>
        <w:rPr>
          <w:rFonts w:ascii="Arial" w:hAnsi="Arial" w:cs="Arial" w:hint="eastAsia"/>
          <w:sz w:val="24"/>
        </w:rPr>
        <w:t xml:space="preserve"> </w:t>
      </w:r>
      <w:r>
        <w:rPr>
          <w:rFonts w:ascii="Arial" w:hAnsi="Arial" w:cs="Arial"/>
          <w:sz w:val="24"/>
        </w:rPr>
        <w:t>was downloaded from the Protein Data Bank (</w:t>
      </w:r>
      <w:r>
        <w:rPr>
          <w:rFonts w:ascii="Arial" w:hAnsi="Arial" w:cs="Arial" w:hint="eastAsia"/>
          <w:sz w:val="24"/>
        </w:rPr>
        <w:t xml:space="preserve"> </w:t>
      </w:r>
      <w:r>
        <w:rPr>
          <w:rFonts w:ascii="Arial" w:hAnsi="Arial" w:cs="Arial"/>
          <w:sz w:val="24"/>
        </w:rPr>
        <w:t>https://www.rcsb.org/</w:t>
      </w:r>
      <w:r>
        <w:rPr>
          <w:rFonts w:ascii="Arial" w:hAnsi="Arial" w:cs="Arial" w:hint="eastAsia"/>
          <w:sz w:val="24"/>
        </w:rPr>
        <w:t xml:space="preserve"> </w:t>
      </w:r>
      <w:r>
        <w:rPr>
          <w:rFonts w:ascii="Arial" w:hAnsi="Arial" w:cs="Arial"/>
          <w:sz w:val="24"/>
        </w:rPr>
        <w:t>) for further analysis. The two-dimensional chemical structures of the molecular ligands GANT-58 and MK-1775 were converted into three-dimensional forms using Chem3D software. Before molecular docking, the protein structure was preprocessed using AutoDock Tools, which involved dehydration, hydrogen addition, and charge assignment. Docking simulations between ADSL and the ligands were then conducted, and PyMOL software was used to visualize the docking results.</w:t>
      </w:r>
    </w:p>
    <w:p w14:paraId="0D5F7285" w14:textId="77777777" w:rsidR="00243308" w:rsidRDefault="006F2843">
      <w:pPr>
        <w:rPr>
          <w:rFonts w:ascii="Arial" w:hAnsi="Arial" w:cs="Arial"/>
          <w:sz w:val="24"/>
        </w:rPr>
      </w:pPr>
      <w:r>
        <w:rPr>
          <w:rFonts w:ascii="Arial" w:hAnsi="Arial" w:cs="Arial"/>
          <w:sz w:val="24"/>
        </w:rPr>
        <w:t xml:space="preserve">The thermodynamic stability of the ADSL-GANT58 and ADSL-MK1775 complexes was evaluated using molecular dynamics simulations performed with GROMACS-2022GPU software. Protein topology files were generated using the AMBER14SB force field, while ligand parameters and charges were calculated based on the Generalized Amber Force Field (GAFF). The TIP3P water model was selected, and sodium and chloride ions were added to neutralize the system's net charge. The molecular dynamics workflow consisted of four steps: energy minimization, heating, equilibration, and production dynamics simulation. The LINCS algorithm was applied to constrain hydrogen </w:t>
      </w:r>
      <w:r>
        <w:rPr>
          <w:rFonts w:ascii="Arial" w:hAnsi="Arial" w:cs="Arial"/>
          <w:sz w:val="24"/>
        </w:rPr>
        <w:lastRenderedPageBreak/>
        <w:t xml:space="preserve">bonds to ensure simulation accuracy, with an integration time step of 2 fs. Electrostatic interactions were calculated using the particle-mesh Ewald (PME) method with a cutoff distance of 1.2 nm. Non-bonded interactions were subjected to a 10 Å cutoff and were updated every 10 steps. The simulation temperature was maintained at 298 K using the V-rescale temperature coupling method, while the Berendsen method controlled pressure at 1 bar. The system underwent 100 ps of NVT (constant volume and temperature) and NPT (continuous pressure and temperature) equilibration, followed by a 100 ns production run, with snapshots recorded every 10 ps. Post-simulation analyses included evaluating root mean square deviation (RMSD), root mean square fluctuation (RMSF), radius of gyration (Rg), </w:t>
      </w:r>
      <w:r>
        <w:rPr>
          <w:rFonts w:ascii="Arial" w:hAnsi="Arial" w:cs="Arial" w:hint="eastAsia"/>
          <w:sz w:val="24"/>
        </w:rPr>
        <w:t>buried  solvent-accessible surface area (Buried SASA)</w:t>
      </w:r>
      <w:r>
        <w:rPr>
          <w:rFonts w:ascii="Arial" w:hAnsi="Arial" w:cs="Arial"/>
          <w:sz w:val="24"/>
        </w:rPr>
        <w:t>, centroid evolution, hydrogen bonding, and electrostatic and van der Waals interactions. These metrics provided insights into the stability and dynamic behavior of the protein-ligand complexes. Data visualization was performed using GraphPad Prism (v9.0.2), enabling precise and detailed presentation of the results..</w:t>
      </w:r>
    </w:p>
    <w:p w14:paraId="21B919BC" w14:textId="77777777" w:rsidR="00243308" w:rsidRDefault="006F2843">
      <w:pPr>
        <w:pStyle w:val="Z"/>
      </w:pPr>
      <w:r>
        <w:t xml:space="preserve">Cell </w:t>
      </w:r>
      <w:r>
        <w:rPr>
          <w:rFonts w:hint="eastAsia"/>
        </w:rPr>
        <w:t>L</w:t>
      </w:r>
      <w:r>
        <w:t xml:space="preserve">ines, </w:t>
      </w:r>
      <w:r>
        <w:rPr>
          <w:rFonts w:hint="eastAsia"/>
        </w:rPr>
        <w:t>C</w:t>
      </w:r>
      <w:r>
        <w:t xml:space="preserve">ulture, and </w:t>
      </w:r>
      <w:r>
        <w:rPr>
          <w:rFonts w:hint="eastAsia"/>
        </w:rPr>
        <w:t>T</w:t>
      </w:r>
      <w:r>
        <w:t>ransfection</w:t>
      </w:r>
    </w:p>
    <w:p w14:paraId="551CFB5E" w14:textId="77777777" w:rsidR="00243308" w:rsidRDefault="006F2843">
      <w:pPr>
        <w:jc w:val="left"/>
        <w:rPr>
          <w:rFonts w:ascii="Arial" w:hAnsi="Arial" w:cs="Arial"/>
          <w:sz w:val="24"/>
        </w:rPr>
      </w:pPr>
      <w:r>
        <w:rPr>
          <w:rFonts w:ascii="Arial" w:hAnsi="Arial" w:cs="Arial"/>
          <w:sz w:val="24"/>
        </w:rPr>
        <w:t>Human glioma cell lines U251 and T98G were obtained from the Shanghai Cell Bank, Chinese Academy of Sciences, and cultured in DMEM/F12 medium with 10% fetal bovine serum and 1% penicillin-streptomycin at 37°C in a 5% CO</w:t>
      </w:r>
      <w:r>
        <w:rPr>
          <w:rFonts w:ascii="Arial" w:hAnsi="Arial" w:cs="Arial"/>
          <w:sz w:val="24"/>
          <w:vertAlign w:val="subscript"/>
        </w:rPr>
        <w:t>2</w:t>
      </w:r>
      <w:r>
        <w:rPr>
          <w:rFonts w:ascii="Arial" w:hAnsi="Arial" w:cs="Arial"/>
          <w:sz w:val="24"/>
        </w:rPr>
        <w:t>  atmosphere. GeneChem Co., Ltd. designed and packaged recombinant lentiviral vectors (LV-ADSL) for ADSL RNAi dual-target tandem and lentiviral vectors (LV-Scr) for negative control in 293T cells. The sequences of ADSL siRNA are 5’-GCAGAACAUUUCUGAAGGAUU-3’ and 5’-CCACAUUAGGUUUCACACAUU-3’.</w:t>
      </w:r>
      <w:r>
        <w:rPr>
          <w:rFonts w:ascii="Arial" w:hAnsi="Arial" w:cs="Arial" w:hint="eastAsia"/>
          <w:sz w:val="24"/>
        </w:rPr>
        <w:t xml:space="preserve"> </w:t>
      </w:r>
      <w:r>
        <w:rPr>
          <w:rFonts w:ascii="Arial" w:hAnsi="Arial" w:cs="Arial"/>
          <w:sz w:val="24"/>
        </w:rPr>
        <w:t>U251/T98G cells (5×10</w:t>
      </w:r>
      <w:r>
        <w:rPr>
          <w:rFonts w:ascii="Arial" w:hAnsi="Arial" w:cs="Arial"/>
          <w:sz w:val="24"/>
          <w:vertAlign w:val="superscript"/>
        </w:rPr>
        <w:t>3</w:t>
      </w:r>
      <w:r>
        <w:rPr>
          <w:rFonts w:ascii="Arial" w:hAnsi="Arial" w:cs="Arial" w:hint="eastAsia"/>
          <w:sz w:val="24"/>
        </w:rPr>
        <w:t>/</w:t>
      </w:r>
      <w:r>
        <w:rPr>
          <w:rFonts w:ascii="Arial" w:hAnsi="Arial" w:cs="Arial"/>
          <w:sz w:val="24"/>
        </w:rPr>
        <w:t xml:space="preserve">well) in the shADSL/Scr cohorts were subcultured in </w:t>
      </w:r>
      <w:r>
        <w:rPr>
          <w:rFonts w:ascii="Arial" w:hAnsi="Arial" w:cs="Arial" w:hint="eastAsia"/>
          <w:sz w:val="24"/>
        </w:rPr>
        <w:t>6</w:t>
      </w:r>
      <w:r>
        <w:rPr>
          <w:rFonts w:ascii="Arial" w:hAnsi="Arial" w:cs="Arial"/>
          <w:sz w:val="24"/>
        </w:rPr>
        <w:t>-well plates and infected with LV-ADSL/LV-Scr. Infected cells were incubated with 2 µg/mL puromycin for 72 hours to select for successful infection,  and ADSL knockdown efficiency was assessed via western blotting.</w:t>
      </w:r>
    </w:p>
    <w:p w14:paraId="53E41638" w14:textId="77777777" w:rsidR="00243308" w:rsidRDefault="006F2843">
      <w:pPr>
        <w:pStyle w:val="Z"/>
      </w:pPr>
      <w:r>
        <w:t xml:space="preserve">Western </w:t>
      </w:r>
      <w:r>
        <w:rPr>
          <w:rFonts w:eastAsiaTheme="minorEastAsia" w:hint="eastAsia"/>
        </w:rPr>
        <w:t>B</w:t>
      </w:r>
      <w:r>
        <w:t xml:space="preserve">lotting </w:t>
      </w:r>
      <w:r>
        <w:rPr>
          <w:rFonts w:eastAsiaTheme="minorEastAsia" w:hint="eastAsia"/>
        </w:rPr>
        <w:t>A</w:t>
      </w:r>
      <w:r>
        <w:t>nalysis</w:t>
      </w:r>
    </w:p>
    <w:p w14:paraId="703550B6" w14:textId="77777777" w:rsidR="00243308" w:rsidRDefault="006F2843">
      <w:pPr>
        <w:rPr>
          <w:rFonts w:ascii="Arial" w:hAnsi="Arial" w:cs="Arial"/>
          <w:sz w:val="24"/>
        </w:rPr>
      </w:pPr>
      <w:r>
        <w:rPr>
          <w:rFonts w:ascii="Arial" w:hAnsi="Arial" w:cs="Arial"/>
          <w:sz w:val="24"/>
        </w:rPr>
        <w:t xml:space="preserve">After digestion with protein lysates, total proteins were extracted from U251 and T98G cells. The protein concentration was quantified using a BCA protein assay kit (Beyotime, P0012). Proteins were separated via 10% SDS-PAGE, with 50 μg of protein loaded into each lane. Following separation, the proteins were transferred onto nitrocellulose membranes and subsequently blocked with 5% </w:t>
      </w:r>
      <w:r>
        <w:rPr>
          <w:rFonts w:ascii="Arial" w:hAnsi="Arial" w:cs="Arial"/>
          <w:sz w:val="24"/>
        </w:rPr>
        <w:lastRenderedPageBreak/>
        <w:t>milk to prevent nonspecific binding. For detection, rabbit primary antibodies targeting ADSL (15264-1-AP; 1:1000; Proteintech) and GAPDH (10494-1-AP; 1:3000; Proteintech) were applied. HRP-conjugated secondary antibodies, including goat anti-rabbit IgG (SA00001-2; 1:5000) and anti-mouse IgG (SA00001-1; 1:5000), both from Proteintech, were used for further processing. The protein bands were visualized using an enhanced chemiluminescence system (Pierce; Thermo Fisher Scientific, Inc.) and imaged with the ChemiDoc system (BioRad Laboratories, Inc.), ensuring clear and accurate detection of protein expression levels.</w:t>
      </w:r>
    </w:p>
    <w:p w14:paraId="48664550" w14:textId="77777777" w:rsidR="00243308" w:rsidRDefault="006F2843">
      <w:pPr>
        <w:pStyle w:val="Z"/>
      </w:pPr>
      <w:r>
        <w:t xml:space="preserve">Wound </w:t>
      </w:r>
      <w:r>
        <w:rPr>
          <w:rFonts w:eastAsiaTheme="minorEastAsia" w:hint="eastAsia"/>
        </w:rPr>
        <w:t>H</w:t>
      </w:r>
      <w:r>
        <w:t xml:space="preserve">ealing </w:t>
      </w:r>
      <w:r>
        <w:rPr>
          <w:rFonts w:eastAsiaTheme="minorEastAsia" w:hint="eastAsia"/>
        </w:rPr>
        <w:t>A</w:t>
      </w:r>
      <w:r>
        <w:t>ssay</w:t>
      </w:r>
    </w:p>
    <w:p w14:paraId="167DD6D2" w14:textId="77777777" w:rsidR="00243308" w:rsidRDefault="006F2843">
      <w:pPr>
        <w:rPr>
          <w:rFonts w:ascii="Arial" w:hAnsi="Arial" w:cs="Arial"/>
          <w:sz w:val="24"/>
        </w:rPr>
      </w:pPr>
      <w:r>
        <w:rPr>
          <w:rFonts w:ascii="Arial" w:hAnsi="Arial" w:cs="Arial"/>
          <w:sz w:val="24"/>
        </w:rPr>
        <w:t>U251 and T98G cells, at a density of 2×10</w:t>
      </w:r>
      <w:r>
        <w:rPr>
          <w:rFonts w:ascii="Arial" w:hAnsi="Arial" w:cs="Arial"/>
          <w:sz w:val="24"/>
          <w:vertAlign w:val="superscript"/>
        </w:rPr>
        <w:t>5</w:t>
      </w:r>
      <w:r>
        <w:rPr>
          <w:rFonts w:ascii="Arial" w:hAnsi="Arial" w:cs="Arial"/>
          <w:sz w:val="24"/>
        </w:rPr>
        <w:t xml:space="preserve"> cells per well, were transfected with LV-ADSL or LV-Scr and subsequently subcultured in 6-well plates containing </w:t>
      </w:r>
      <w:r>
        <w:rPr>
          <w:rFonts w:ascii="Arial" w:hAnsi="Arial" w:cs="Arial" w:hint="eastAsia"/>
          <w:sz w:val="24"/>
        </w:rPr>
        <w:t>2</w:t>
      </w:r>
      <w:r>
        <w:rPr>
          <w:rFonts w:ascii="Arial" w:hAnsi="Arial" w:cs="Arial"/>
          <w:sz w:val="24"/>
        </w:rPr>
        <w:t xml:space="preserve"> </w:t>
      </w:r>
      <w:r>
        <w:rPr>
          <w:rFonts w:ascii="Arial" w:hAnsi="Arial" w:cs="Arial" w:hint="eastAsia"/>
          <w:sz w:val="24"/>
        </w:rPr>
        <w:t>m</w:t>
      </w:r>
      <w:r>
        <w:rPr>
          <w:rFonts w:ascii="Arial" w:hAnsi="Arial" w:cs="Arial"/>
          <w:sz w:val="24"/>
        </w:rPr>
        <w:t>L per well. The incubation was conducted at 37°C with 5% CO</w:t>
      </w:r>
      <w:r>
        <w:rPr>
          <w:rFonts w:ascii="Arial" w:hAnsi="Arial" w:cs="Arial"/>
          <w:sz w:val="24"/>
          <w:vertAlign w:val="subscript"/>
        </w:rPr>
        <w:t>2</w:t>
      </w:r>
      <w:r>
        <w:rPr>
          <w:rFonts w:ascii="Arial" w:hAnsi="Arial" w:cs="Arial"/>
          <w:sz w:val="24"/>
        </w:rPr>
        <w:t xml:space="preserve"> for 24 hours. A scratch tool was used to create scratches in the cells on the plate. The medium without serum was replaced, and images were captured using a microscope (Olympus Corporation, Japan) at intervals of 0, 24, and 48 hours.</w:t>
      </w:r>
    </w:p>
    <w:p w14:paraId="74A6F813" w14:textId="77777777" w:rsidR="00243308" w:rsidRDefault="006F2843">
      <w:pPr>
        <w:pStyle w:val="Z"/>
        <w:jc w:val="left"/>
        <w:rPr>
          <w:szCs w:val="24"/>
        </w:rPr>
      </w:pPr>
      <w:r>
        <w:rPr>
          <w:szCs w:val="24"/>
        </w:rPr>
        <w:t>Matrigel</w:t>
      </w:r>
      <w:r>
        <w:rPr>
          <w:rFonts w:eastAsiaTheme="minorEastAsia"/>
          <w:szCs w:val="24"/>
        </w:rPr>
        <w:t xml:space="preserve"> t</w:t>
      </w:r>
      <w:r>
        <w:rPr>
          <w:szCs w:val="24"/>
        </w:rPr>
        <w:t>ranswell assays</w:t>
      </w:r>
    </w:p>
    <w:p w14:paraId="4487DD2C" w14:textId="77777777" w:rsidR="00243308" w:rsidRDefault="006F2843">
      <w:pPr>
        <w:rPr>
          <w:rFonts w:ascii="Arial" w:hAnsi="Arial" w:cs="Arial"/>
          <w:sz w:val="24"/>
        </w:rPr>
      </w:pPr>
      <w:r>
        <w:rPr>
          <w:rFonts w:ascii="Arial" w:hAnsi="Arial" w:cs="Arial"/>
          <w:sz w:val="24"/>
        </w:rPr>
        <w:t>Transwell migration and invasion assays were performed using Transwell kits (Corning, USA). U251 and T98G cells, transfected with shADSL or scrambled control (Scr), were seeded into the upper chambers (8 µm pore size) at a density of 1×10</w:t>
      </w:r>
      <w:r>
        <w:rPr>
          <w:rFonts w:ascii="Arial" w:hAnsi="Arial" w:cs="Arial" w:hint="eastAsia"/>
          <w:sz w:val="24"/>
          <w:vertAlign w:val="superscript"/>
        </w:rPr>
        <w:t>4</w:t>
      </w:r>
      <w:r>
        <w:rPr>
          <w:rFonts w:ascii="Arial" w:hAnsi="Arial" w:cs="Arial"/>
          <w:sz w:val="24"/>
        </w:rPr>
        <w:t xml:space="preserve"> cells per well in a serum-free medium. The lower chambers were coated with a Matrigel matrix and filled with a medium containing chemoattractants. The cells were incubated at 37°C for 36 hours for migration and invasion. After incubation, non-invading cells on the upper surface of the membrane were carefully removed. The membranes were then fixed with 4% paraformaldehyde for 30 minutes and stained with 0.1% crystal violet for 15 minutes to visualize the invaded cells on the lower surface of the membrane. The stained cells were enumerated under a microscope (Olympus, Japan), and images were captured for analysis. This assay provided quantitative and visual data on the effects of ADSL knockdown on cell migration and invasion.</w:t>
      </w:r>
    </w:p>
    <w:p w14:paraId="2B3CCCF5" w14:textId="77777777" w:rsidR="00243308" w:rsidRDefault="006F2843">
      <w:pPr>
        <w:pStyle w:val="Z"/>
        <w:jc w:val="left"/>
        <w:rPr>
          <w:szCs w:val="24"/>
        </w:rPr>
      </w:pPr>
      <w:r>
        <w:rPr>
          <w:szCs w:val="24"/>
        </w:rPr>
        <w:t>Immunohistochemistry (IHC)</w:t>
      </w:r>
    </w:p>
    <w:p w14:paraId="568FA307" w14:textId="77777777" w:rsidR="00243308" w:rsidRDefault="006F2843">
      <w:pPr>
        <w:rPr>
          <w:rFonts w:ascii="Arial" w:hAnsi="Arial" w:cs="Arial"/>
          <w:sz w:val="24"/>
        </w:rPr>
      </w:pPr>
      <w:r>
        <w:rPr>
          <w:rFonts w:ascii="Arial" w:hAnsi="Arial" w:cs="Arial"/>
          <w:sz w:val="24"/>
        </w:rPr>
        <w:t>The immunoreactivity of ADSL and Ki67 was evaluated using standard immunohistochemical techniques. Primary antibodies against ADSL (15264-1-</w:t>
      </w:r>
      <w:r>
        <w:rPr>
          <w:rFonts w:ascii="Arial" w:hAnsi="Arial" w:cs="Arial"/>
          <w:sz w:val="24"/>
        </w:rPr>
        <w:lastRenderedPageBreak/>
        <w:t>AP; 1:200; Proteintech) and Ki67 (27309-1-AP; 1:200; Proteintech) were applied to the tissue sections. The GTVision III Detection System/Mo&amp;Rb, which includes a DAB chromogen-based secondary antibody kit (Genetech, Shanghai, China), was used for detection.  Following the immunostaining procedure, the sections were counterstained with hematoxylin (G1004-100ML, Servicebio) to enhance tissue visualization. Images of the stained sections were captured using a Nikon ECLIPSE Ti2 microscope (Japan), ensuring high-resolution imaging to analyze ADSL and Ki67 expression levels.</w:t>
      </w:r>
    </w:p>
    <w:p w14:paraId="5F6E1D15" w14:textId="77777777" w:rsidR="00243308" w:rsidRDefault="006F2843">
      <w:pPr>
        <w:pStyle w:val="Z"/>
        <w:jc w:val="left"/>
        <w:rPr>
          <w:szCs w:val="24"/>
        </w:rPr>
      </w:pPr>
      <w:r>
        <w:rPr>
          <w:szCs w:val="24"/>
        </w:rPr>
        <w:t>In Vivo Experiments</w:t>
      </w:r>
    </w:p>
    <w:p w14:paraId="1E5E8ACB" w14:textId="77777777" w:rsidR="00243308" w:rsidRDefault="006F2843">
      <w:pPr>
        <w:rPr>
          <w:rFonts w:ascii="Arial" w:hAnsi="Arial" w:cs="Arial"/>
          <w:sz w:val="24"/>
        </w:rPr>
      </w:pPr>
      <w:r>
        <w:rPr>
          <w:rFonts w:ascii="Arial" w:hAnsi="Arial" w:cs="Arial"/>
          <w:sz w:val="24"/>
        </w:rPr>
        <w:t>The Soochow University Animal Care and Welfare Committee reviewed and approved all animal procedures. Twelve 5-week-old female BALB/c nude mice were randomly assigned to four groups and subcutaneously injected with 2×10</w:t>
      </w:r>
      <w:r>
        <w:rPr>
          <w:rFonts w:ascii="Arial" w:hAnsi="Arial" w:cs="Arial" w:hint="eastAsia"/>
          <w:sz w:val="24"/>
          <w:vertAlign w:val="superscript"/>
        </w:rPr>
        <w:t>6</w:t>
      </w:r>
      <w:r>
        <w:rPr>
          <w:rFonts w:ascii="Arial" w:hAnsi="Arial" w:cs="Arial"/>
          <w:sz w:val="24"/>
        </w:rPr>
        <w:t xml:space="preserve"> U251 cells expressing either inducible scrambled shRNA or shRNA targeting ADSL. After tumor inoculation, all mice were provided with water supplemented with 2 mg/mL doxycycline (D111943, Aladdin) to induce shRNA expression. The sizes of the xenograft tumors were measured every three days over three weeks to monitor tumor growth. At the end of the experiment, the mice were euthanized, and the xenograft tumors were carefully harvested for further analysis. This in vivo study provided critical insights into the effects of ADSL knockdown on glioblastoma tumor growth.</w:t>
      </w:r>
    </w:p>
    <w:p w14:paraId="2BFF5142" w14:textId="77777777" w:rsidR="00243308" w:rsidRDefault="006F2843">
      <w:pPr>
        <w:pStyle w:val="Z3"/>
        <w:spacing w:line="360" w:lineRule="auto"/>
        <w:rPr>
          <w:rFonts w:ascii="Arial" w:eastAsiaTheme="minorEastAsia" w:hAnsi="Arial" w:cs="Arial"/>
          <w:sz w:val="24"/>
          <w:szCs w:val="24"/>
        </w:rPr>
      </w:pPr>
      <w:r>
        <w:rPr>
          <w:rFonts w:ascii="Arial" w:hAnsi="Arial" w:cs="Arial"/>
          <w:sz w:val="24"/>
          <w:szCs w:val="24"/>
        </w:rPr>
        <w:lastRenderedPageBreak/>
        <w:t>Supplementary FIGURE</w:t>
      </w:r>
      <w:r>
        <w:rPr>
          <w:rFonts w:ascii="Arial" w:eastAsiaTheme="minorEastAsia" w:hAnsi="Arial" w:cs="Arial" w:hint="eastAsia"/>
          <w:sz w:val="24"/>
          <w:szCs w:val="24"/>
        </w:rPr>
        <w:t>s</w:t>
      </w:r>
    </w:p>
    <w:p w14:paraId="7CDD1DB3" w14:textId="77777777" w:rsidR="00243308" w:rsidRDefault="006F2843">
      <w:pPr>
        <w:pStyle w:val="Z1"/>
        <w:spacing w:line="276" w:lineRule="auto"/>
        <w:ind w:firstLineChars="0" w:firstLine="0"/>
        <w:rPr>
          <w:rFonts w:eastAsia="微软雅黑"/>
          <w:b/>
          <w:bCs/>
        </w:rPr>
      </w:pPr>
      <w:r>
        <w:rPr>
          <w:rFonts w:eastAsia="微软雅黑"/>
          <w:b/>
          <w:bCs/>
          <w:noProof/>
          <w14:ligatures w14:val="standardContextual"/>
        </w:rPr>
        <w:drawing>
          <wp:inline distT="0" distB="0" distL="0" distR="0" wp14:anchorId="3246B2C7" wp14:editId="5D453E87">
            <wp:extent cx="5271135" cy="6943725"/>
            <wp:effectExtent l="0" t="0" r="5715" b="0"/>
            <wp:docPr id="4339986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98613" name="图片 1"/>
                    <pic:cNvPicPr>
                      <a:picLocks noChangeAspect="1"/>
                    </pic:cNvPicPr>
                  </pic:nvPicPr>
                  <pic:blipFill>
                    <a:blip r:embed="rId5" cstate="hqprint"/>
                    <a:stretch>
                      <a:fillRect/>
                    </a:stretch>
                  </pic:blipFill>
                  <pic:spPr>
                    <a:xfrm>
                      <a:off x="0" y="0"/>
                      <a:ext cx="5277984" cy="6952374"/>
                    </a:xfrm>
                    <a:prstGeom prst="rect">
                      <a:avLst/>
                    </a:prstGeom>
                  </pic:spPr>
                </pic:pic>
              </a:graphicData>
            </a:graphic>
          </wp:inline>
        </w:drawing>
      </w:r>
    </w:p>
    <w:p w14:paraId="49C95C3B" w14:textId="77777777" w:rsidR="00243308" w:rsidRDefault="006F2843">
      <w:pPr>
        <w:pStyle w:val="Z1"/>
        <w:spacing w:line="276" w:lineRule="auto"/>
        <w:ind w:firstLineChars="0" w:firstLine="0"/>
        <w:rPr>
          <w:rFonts w:eastAsia="微软雅黑"/>
          <w:b/>
          <w:bCs/>
        </w:rPr>
      </w:pPr>
      <w:r>
        <w:rPr>
          <w:rFonts w:eastAsia="微软雅黑"/>
          <w:b/>
          <w:bCs/>
        </w:rPr>
        <w:t xml:space="preserve">Supplementary Figure </w:t>
      </w:r>
      <w:r>
        <w:rPr>
          <w:rFonts w:eastAsia="微软雅黑" w:hint="eastAsia"/>
          <w:b/>
          <w:bCs/>
        </w:rPr>
        <w:t xml:space="preserve">1. </w:t>
      </w:r>
      <w:r>
        <w:rPr>
          <w:rFonts w:eastAsia="微软雅黑"/>
          <w:b/>
          <w:bCs/>
        </w:rPr>
        <w:t xml:space="preserve">Receiver </w:t>
      </w:r>
      <w:r>
        <w:rPr>
          <w:rFonts w:eastAsia="微软雅黑" w:hint="eastAsia"/>
          <w:b/>
          <w:bCs/>
        </w:rPr>
        <w:t>o</w:t>
      </w:r>
      <w:r>
        <w:rPr>
          <w:rFonts w:eastAsia="微软雅黑"/>
          <w:b/>
          <w:bCs/>
        </w:rPr>
        <w:t xml:space="preserve">perator </w:t>
      </w:r>
      <w:r>
        <w:rPr>
          <w:rFonts w:eastAsia="微软雅黑" w:hint="eastAsia"/>
          <w:b/>
          <w:bCs/>
        </w:rPr>
        <w:t>c</w:t>
      </w:r>
      <w:r>
        <w:rPr>
          <w:rFonts w:eastAsia="微软雅黑"/>
          <w:b/>
          <w:bCs/>
        </w:rPr>
        <w:t xml:space="preserve">haracteristic (ROC) curve of </w:t>
      </w:r>
      <w:r>
        <w:rPr>
          <w:rFonts w:eastAsia="微软雅黑" w:hint="eastAsia"/>
          <w:b/>
          <w:bCs/>
        </w:rPr>
        <w:t>ADSL</w:t>
      </w:r>
      <w:r>
        <w:rPr>
          <w:rFonts w:eastAsia="微软雅黑"/>
          <w:b/>
          <w:bCs/>
        </w:rPr>
        <w:t xml:space="preserve"> in </w:t>
      </w:r>
      <w:r>
        <w:rPr>
          <w:rFonts w:eastAsia="微软雅黑" w:hint="eastAsia"/>
          <w:b/>
          <w:bCs/>
        </w:rPr>
        <w:t>17</w:t>
      </w:r>
      <w:r>
        <w:rPr>
          <w:rFonts w:eastAsia="微软雅黑"/>
          <w:b/>
          <w:bCs/>
        </w:rPr>
        <w:t xml:space="preserve"> Cancers</w:t>
      </w:r>
    </w:p>
    <w:p w14:paraId="4CE4152E" w14:textId="77777777" w:rsidR="00243308" w:rsidRDefault="006F2843">
      <w:pPr>
        <w:pStyle w:val="Z1"/>
        <w:spacing w:line="276" w:lineRule="auto"/>
        <w:ind w:firstLineChars="0" w:firstLine="0"/>
        <w:rPr>
          <w:rFonts w:eastAsia="微软雅黑"/>
        </w:rPr>
      </w:pPr>
      <w:r>
        <w:rPr>
          <w:rFonts w:eastAsia="微软雅黑"/>
        </w:rPr>
        <w:t>Cancers with AUC &gt; 0.</w:t>
      </w:r>
      <w:r>
        <w:rPr>
          <w:rFonts w:eastAsia="微软雅黑" w:hint="eastAsia"/>
        </w:rPr>
        <w:t>7</w:t>
      </w:r>
      <w:r>
        <w:rPr>
          <w:rFonts w:eastAsia="微软雅黑"/>
        </w:rPr>
        <w:t xml:space="preserve"> for </w:t>
      </w:r>
      <w:r>
        <w:rPr>
          <w:rFonts w:eastAsia="微软雅黑" w:hint="eastAsia"/>
        </w:rPr>
        <w:t>ADSL</w:t>
      </w:r>
      <w:r>
        <w:rPr>
          <w:rFonts w:eastAsia="微软雅黑"/>
        </w:rPr>
        <w:t xml:space="preserve">: (A) </w:t>
      </w:r>
      <w:r>
        <w:rPr>
          <w:rFonts w:eastAsia="微软雅黑" w:hint="eastAsia"/>
        </w:rPr>
        <w:t>ACC</w:t>
      </w:r>
      <w:r>
        <w:rPr>
          <w:rFonts w:eastAsia="微软雅黑"/>
        </w:rPr>
        <w:t xml:space="preserve">, (B) </w:t>
      </w:r>
      <w:r>
        <w:rPr>
          <w:rFonts w:eastAsia="微软雅黑" w:hint="eastAsia"/>
        </w:rPr>
        <w:t>COAD</w:t>
      </w:r>
      <w:r>
        <w:rPr>
          <w:rFonts w:eastAsia="微软雅黑"/>
        </w:rPr>
        <w:t xml:space="preserve">, (C) </w:t>
      </w:r>
      <w:r>
        <w:rPr>
          <w:rFonts w:eastAsia="微软雅黑" w:hint="eastAsia"/>
        </w:rPr>
        <w:t>DLBC</w:t>
      </w:r>
      <w:r>
        <w:rPr>
          <w:rFonts w:eastAsia="微软雅黑"/>
        </w:rPr>
        <w:t>,</w:t>
      </w:r>
      <w:r>
        <w:rPr>
          <w:rFonts w:eastAsia="微软雅黑" w:hint="eastAsia"/>
        </w:rPr>
        <w:t xml:space="preserve"> </w:t>
      </w:r>
      <w:r>
        <w:rPr>
          <w:rFonts w:eastAsia="微软雅黑"/>
        </w:rPr>
        <w:t xml:space="preserve">(D) </w:t>
      </w:r>
      <w:r>
        <w:rPr>
          <w:rFonts w:eastAsia="微软雅黑" w:hint="eastAsia"/>
        </w:rPr>
        <w:t>GBM</w:t>
      </w:r>
      <w:r>
        <w:rPr>
          <w:rFonts w:eastAsia="微软雅黑"/>
        </w:rPr>
        <w:t xml:space="preserve">, (E) </w:t>
      </w:r>
      <w:r>
        <w:rPr>
          <w:rFonts w:eastAsia="微软雅黑" w:hint="eastAsia"/>
        </w:rPr>
        <w:t>KIRC</w:t>
      </w:r>
      <w:r>
        <w:rPr>
          <w:rFonts w:eastAsia="微软雅黑"/>
        </w:rPr>
        <w:t xml:space="preserve">, (F) </w:t>
      </w:r>
      <w:r>
        <w:rPr>
          <w:rFonts w:eastAsia="微软雅黑" w:hint="eastAsia"/>
        </w:rPr>
        <w:t>LGG</w:t>
      </w:r>
      <w:r>
        <w:rPr>
          <w:rFonts w:eastAsia="微软雅黑"/>
        </w:rPr>
        <w:t>, (G)</w:t>
      </w:r>
      <w:r>
        <w:rPr>
          <w:rFonts w:eastAsia="微软雅黑" w:hint="eastAsia"/>
        </w:rPr>
        <w:t>LIHC</w:t>
      </w:r>
      <w:r>
        <w:rPr>
          <w:rFonts w:eastAsia="微软雅黑"/>
        </w:rPr>
        <w:t xml:space="preserve">, (H) </w:t>
      </w:r>
      <w:r>
        <w:rPr>
          <w:rFonts w:eastAsia="微软雅黑" w:hint="eastAsia"/>
        </w:rPr>
        <w:t>LUAD</w:t>
      </w:r>
      <w:r>
        <w:rPr>
          <w:rFonts w:eastAsia="微软雅黑"/>
        </w:rPr>
        <w:t xml:space="preserve"> (I) </w:t>
      </w:r>
      <w:r>
        <w:rPr>
          <w:rFonts w:eastAsia="微软雅黑" w:hint="eastAsia"/>
        </w:rPr>
        <w:t>LUSC</w:t>
      </w:r>
      <w:r>
        <w:rPr>
          <w:rFonts w:eastAsia="微软雅黑"/>
        </w:rPr>
        <w:t>, (J)</w:t>
      </w:r>
      <w:r>
        <w:rPr>
          <w:rFonts w:eastAsia="微软雅黑" w:hint="eastAsia"/>
        </w:rPr>
        <w:t>PAAD</w:t>
      </w:r>
      <w:r>
        <w:rPr>
          <w:rFonts w:eastAsia="微软雅黑"/>
        </w:rPr>
        <w:t xml:space="preserve">, (K) </w:t>
      </w:r>
      <w:r>
        <w:rPr>
          <w:rFonts w:eastAsia="微软雅黑" w:hint="eastAsia"/>
        </w:rPr>
        <w:t>PRAD</w:t>
      </w:r>
      <w:r>
        <w:rPr>
          <w:rFonts w:eastAsia="微软雅黑"/>
        </w:rPr>
        <w:t xml:space="preserve">, (L) </w:t>
      </w:r>
      <w:r>
        <w:rPr>
          <w:rFonts w:eastAsia="微软雅黑" w:hint="eastAsia"/>
        </w:rPr>
        <w:lastRenderedPageBreak/>
        <w:t>READ</w:t>
      </w:r>
      <w:r>
        <w:rPr>
          <w:rFonts w:eastAsia="微软雅黑"/>
        </w:rPr>
        <w:t xml:space="preserve">, (M) </w:t>
      </w:r>
      <w:r>
        <w:rPr>
          <w:rFonts w:eastAsia="微软雅黑" w:hint="eastAsia"/>
        </w:rPr>
        <w:t>SKCM</w:t>
      </w:r>
      <w:r>
        <w:rPr>
          <w:rFonts w:eastAsia="微软雅黑"/>
        </w:rPr>
        <w:t xml:space="preserve">, (N) </w:t>
      </w:r>
      <w:r>
        <w:rPr>
          <w:rFonts w:eastAsia="微软雅黑" w:hint="eastAsia"/>
        </w:rPr>
        <w:t>STAD, (O) TGCT, (P) THYM and (Q) USC.</w:t>
      </w:r>
    </w:p>
    <w:p w14:paraId="650D6611" w14:textId="77777777" w:rsidR="00243308" w:rsidRDefault="006F2843">
      <w:pPr>
        <w:pStyle w:val="Z1"/>
        <w:spacing w:line="276" w:lineRule="auto"/>
        <w:ind w:firstLineChars="0" w:firstLine="0"/>
        <w:rPr>
          <w:rFonts w:eastAsia="微软雅黑"/>
        </w:rPr>
      </w:pPr>
      <w:r>
        <w:rPr>
          <w:rFonts w:eastAsia="微软雅黑"/>
          <w:noProof/>
          <w14:ligatures w14:val="standardContextual"/>
        </w:rPr>
        <w:drawing>
          <wp:inline distT="0" distB="0" distL="0" distR="0" wp14:anchorId="447CB0C3" wp14:editId="7E95FC02">
            <wp:extent cx="5274310" cy="4871085"/>
            <wp:effectExtent l="0" t="0" r="2540" b="5715"/>
            <wp:docPr id="9932330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33014" name="图片 2"/>
                    <pic:cNvPicPr>
                      <a:picLocks noChangeAspect="1"/>
                    </pic:cNvPicPr>
                  </pic:nvPicPr>
                  <pic:blipFill>
                    <a:blip r:embed="rId6" cstate="hqprint"/>
                    <a:stretch>
                      <a:fillRect/>
                    </a:stretch>
                  </pic:blipFill>
                  <pic:spPr>
                    <a:xfrm>
                      <a:off x="0" y="0"/>
                      <a:ext cx="5274310" cy="4871085"/>
                    </a:xfrm>
                    <a:prstGeom prst="rect">
                      <a:avLst/>
                    </a:prstGeom>
                  </pic:spPr>
                </pic:pic>
              </a:graphicData>
            </a:graphic>
          </wp:inline>
        </w:drawing>
      </w:r>
    </w:p>
    <w:p w14:paraId="4E118AA5" w14:textId="77777777" w:rsidR="00243308" w:rsidRDefault="006F2843">
      <w:pPr>
        <w:pStyle w:val="Z1"/>
        <w:spacing w:line="276" w:lineRule="auto"/>
        <w:ind w:firstLineChars="0" w:firstLine="0"/>
        <w:rPr>
          <w:rFonts w:eastAsia="微软雅黑"/>
          <w:b/>
          <w:bCs/>
        </w:rPr>
      </w:pPr>
      <w:r>
        <w:rPr>
          <w:rFonts w:eastAsia="微软雅黑"/>
          <w:b/>
          <w:bCs/>
        </w:rPr>
        <w:t xml:space="preserve">Supplementary Figure </w:t>
      </w:r>
      <w:r>
        <w:rPr>
          <w:rFonts w:eastAsia="微软雅黑" w:hint="eastAsia"/>
          <w:b/>
          <w:bCs/>
        </w:rPr>
        <w:t xml:space="preserve">2. </w:t>
      </w:r>
      <w:r>
        <w:rPr>
          <w:rFonts w:eastAsia="微软雅黑"/>
          <w:b/>
          <w:bCs/>
        </w:rPr>
        <w:t xml:space="preserve">Kaplan-Meier analysis for </w:t>
      </w:r>
      <w:r>
        <w:rPr>
          <w:rFonts w:eastAsia="微软雅黑" w:hint="eastAsia"/>
          <w:b/>
          <w:bCs/>
        </w:rPr>
        <w:t>ADSL</w:t>
      </w:r>
      <w:r>
        <w:rPr>
          <w:rFonts w:eastAsia="微软雅黑"/>
          <w:b/>
          <w:bCs/>
        </w:rPr>
        <w:t xml:space="preserve"> expression in </w:t>
      </w:r>
      <w:r>
        <w:rPr>
          <w:rFonts w:eastAsia="微软雅黑" w:hint="eastAsia"/>
          <w:b/>
          <w:bCs/>
        </w:rPr>
        <w:t>pan-</w:t>
      </w:r>
      <w:r>
        <w:rPr>
          <w:rFonts w:eastAsia="微软雅黑"/>
          <w:b/>
          <w:bCs/>
        </w:rPr>
        <w:t>cancer</w:t>
      </w:r>
    </w:p>
    <w:p w14:paraId="1200A812" w14:textId="77777777" w:rsidR="00243308" w:rsidRDefault="006F2843">
      <w:pPr>
        <w:pStyle w:val="Z1"/>
        <w:spacing w:line="276" w:lineRule="auto"/>
        <w:ind w:firstLineChars="0" w:firstLine="0"/>
        <w:rPr>
          <w:rFonts w:eastAsia="微软雅黑"/>
        </w:rPr>
      </w:pPr>
      <w:r>
        <w:rPr>
          <w:rFonts w:eastAsia="微软雅黑"/>
        </w:rPr>
        <w:t xml:space="preserve">Forest plot of </w:t>
      </w:r>
      <w:r>
        <w:rPr>
          <w:rFonts w:eastAsia="微软雅黑" w:hint="eastAsia"/>
        </w:rPr>
        <w:t>ADSL</w:t>
      </w:r>
      <w:r>
        <w:rPr>
          <w:rFonts w:eastAsia="微软雅黑"/>
        </w:rPr>
        <w:t xml:space="preserve"> </w:t>
      </w:r>
      <w:r>
        <w:rPr>
          <w:rFonts w:eastAsia="微软雅黑" w:hint="eastAsia"/>
        </w:rPr>
        <w:t xml:space="preserve">(A) </w:t>
      </w:r>
      <w:r>
        <w:rPr>
          <w:rFonts w:eastAsia="微软雅黑"/>
        </w:rPr>
        <w:t xml:space="preserve">overall survival (OS), </w:t>
      </w:r>
      <w:r>
        <w:rPr>
          <w:rFonts w:eastAsia="微软雅黑" w:hint="eastAsia"/>
        </w:rPr>
        <w:t>(B) d</w:t>
      </w:r>
      <w:r>
        <w:rPr>
          <w:rFonts w:eastAsia="微软雅黑"/>
        </w:rPr>
        <w:t xml:space="preserve">isease-specific survival (DSS), and </w:t>
      </w:r>
      <w:r>
        <w:rPr>
          <w:rFonts w:eastAsia="微软雅黑" w:hint="eastAsia"/>
        </w:rPr>
        <w:t xml:space="preserve">(C) </w:t>
      </w:r>
      <w:r>
        <w:rPr>
          <w:rFonts w:eastAsia="微软雅黑"/>
        </w:rPr>
        <w:t>progression-free survival (PFS)</w:t>
      </w:r>
      <w:r>
        <w:rPr>
          <w:rFonts w:eastAsia="微软雅黑" w:hint="eastAsia"/>
        </w:rPr>
        <w:t xml:space="preserve"> </w:t>
      </w:r>
      <w:r>
        <w:rPr>
          <w:rFonts w:eastAsia="微软雅黑"/>
        </w:rPr>
        <w:t xml:space="preserve">in </w:t>
      </w:r>
      <w:r>
        <w:rPr>
          <w:rFonts w:eastAsia="微软雅黑" w:hint="eastAsia"/>
        </w:rPr>
        <w:t>pan-</w:t>
      </w:r>
      <w:r>
        <w:rPr>
          <w:rFonts w:eastAsia="微软雅黑"/>
        </w:rPr>
        <w:t>cancer.</w:t>
      </w:r>
    </w:p>
    <w:p w14:paraId="3E3C82FF" w14:textId="77777777" w:rsidR="00243308" w:rsidRDefault="00243308">
      <w:pPr>
        <w:pStyle w:val="Z1"/>
        <w:spacing w:line="276" w:lineRule="auto"/>
        <w:ind w:firstLineChars="0" w:firstLine="0"/>
        <w:rPr>
          <w:rFonts w:eastAsia="微软雅黑"/>
        </w:rPr>
      </w:pPr>
    </w:p>
    <w:p w14:paraId="327A3CEA" w14:textId="77777777" w:rsidR="00243308" w:rsidRDefault="00243308">
      <w:pPr>
        <w:pStyle w:val="Z1"/>
        <w:spacing w:line="276" w:lineRule="auto"/>
        <w:ind w:firstLineChars="0" w:firstLine="0"/>
        <w:rPr>
          <w:rFonts w:eastAsia="微软雅黑"/>
        </w:rPr>
      </w:pPr>
    </w:p>
    <w:p w14:paraId="167FB367" w14:textId="77777777" w:rsidR="00243308" w:rsidRDefault="00243308">
      <w:pPr>
        <w:pStyle w:val="Z1"/>
        <w:spacing w:line="276" w:lineRule="auto"/>
        <w:ind w:firstLineChars="0" w:firstLine="0"/>
        <w:rPr>
          <w:rFonts w:eastAsia="微软雅黑"/>
        </w:rPr>
      </w:pPr>
    </w:p>
    <w:p w14:paraId="3C123A74" w14:textId="77777777" w:rsidR="00243308" w:rsidRDefault="00243308">
      <w:pPr>
        <w:pStyle w:val="Z1"/>
        <w:spacing w:line="276" w:lineRule="auto"/>
        <w:ind w:firstLineChars="0" w:firstLine="0"/>
        <w:rPr>
          <w:rFonts w:eastAsia="微软雅黑"/>
        </w:rPr>
      </w:pPr>
    </w:p>
    <w:p w14:paraId="22594B49" w14:textId="77777777" w:rsidR="00243308" w:rsidRDefault="00243308">
      <w:pPr>
        <w:pStyle w:val="Z1"/>
        <w:spacing w:line="276" w:lineRule="auto"/>
        <w:ind w:firstLineChars="0" w:firstLine="0"/>
        <w:rPr>
          <w:rFonts w:eastAsia="微软雅黑"/>
        </w:rPr>
      </w:pPr>
    </w:p>
    <w:p w14:paraId="56A9EC83" w14:textId="77777777" w:rsidR="00243308" w:rsidRDefault="00243308">
      <w:pPr>
        <w:pStyle w:val="Z1"/>
        <w:spacing w:line="276" w:lineRule="auto"/>
        <w:ind w:firstLineChars="0" w:firstLine="0"/>
        <w:rPr>
          <w:rFonts w:eastAsia="微软雅黑"/>
        </w:rPr>
      </w:pPr>
    </w:p>
    <w:p w14:paraId="4FE331E2" w14:textId="77777777" w:rsidR="00243308" w:rsidRDefault="00243308">
      <w:pPr>
        <w:pStyle w:val="Z1"/>
        <w:spacing w:line="276" w:lineRule="auto"/>
        <w:ind w:firstLineChars="0" w:firstLine="0"/>
        <w:rPr>
          <w:rFonts w:eastAsia="微软雅黑"/>
        </w:rPr>
      </w:pPr>
    </w:p>
    <w:p w14:paraId="59FD9234" w14:textId="77777777" w:rsidR="00243308" w:rsidRDefault="006F2843">
      <w:pPr>
        <w:pStyle w:val="Z1"/>
        <w:spacing w:line="276" w:lineRule="auto"/>
        <w:ind w:firstLineChars="0" w:firstLine="0"/>
        <w:rPr>
          <w:rFonts w:eastAsia="微软雅黑"/>
        </w:rPr>
      </w:pPr>
      <w:r>
        <w:rPr>
          <w:rFonts w:eastAsia="微软雅黑" w:hint="eastAsia"/>
          <w:noProof/>
          <w14:ligatures w14:val="standardContextual"/>
        </w:rPr>
        <w:drawing>
          <wp:inline distT="0" distB="0" distL="0" distR="0" wp14:anchorId="5AF1CA64" wp14:editId="08EE4D4D">
            <wp:extent cx="5274310" cy="3160395"/>
            <wp:effectExtent l="0" t="0" r="2540" b="1905"/>
            <wp:docPr id="1815670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7039" name="图片 3"/>
                    <pic:cNvPicPr>
                      <a:picLocks noChangeAspect="1"/>
                    </pic:cNvPicPr>
                  </pic:nvPicPr>
                  <pic:blipFill>
                    <a:blip r:embed="rId7" cstate="hqprint"/>
                    <a:stretch>
                      <a:fillRect/>
                    </a:stretch>
                  </pic:blipFill>
                  <pic:spPr>
                    <a:xfrm>
                      <a:off x="0" y="0"/>
                      <a:ext cx="5274310" cy="3160395"/>
                    </a:xfrm>
                    <a:prstGeom prst="rect">
                      <a:avLst/>
                    </a:prstGeom>
                  </pic:spPr>
                </pic:pic>
              </a:graphicData>
            </a:graphic>
          </wp:inline>
        </w:drawing>
      </w:r>
    </w:p>
    <w:p w14:paraId="6FDEAC54" w14:textId="77777777" w:rsidR="00243308" w:rsidRDefault="006F2843">
      <w:pPr>
        <w:pStyle w:val="Z1"/>
        <w:spacing w:line="276" w:lineRule="auto"/>
        <w:ind w:firstLineChars="0" w:firstLine="0"/>
        <w:rPr>
          <w:rFonts w:eastAsia="微软雅黑"/>
          <w:b/>
          <w:bCs/>
        </w:rPr>
      </w:pPr>
      <w:r>
        <w:rPr>
          <w:rFonts w:eastAsia="微软雅黑"/>
          <w:b/>
          <w:bCs/>
        </w:rPr>
        <w:t>Supplementary Figure</w:t>
      </w:r>
      <w:r>
        <w:rPr>
          <w:rFonts w:eastAsia="微软雅黑" w:hint="eastAsia"/>
          <w:b/>
          <w:bCs/>
        </w:rPr>
        <w:t xml:space="preserve"> 3.</w:t>
      </w:r>
      <w:r>
        <w:rPr>
          <w:rFonts w:eastAsia="微软雅黑"/>
          <w:b/>
          <w:bCs/>
        </w:rPr>
        <w:t xml:space="preserve"> </w:t>
      </w:r>
      <w:r>
        <w:rPr>
          <w:rFonts w:eastAsia="微软雅黑" w:hint="eastAsia"/>
          <w:b/>
          <w:bCs/>
        </w:rPr>
        <w:t>T</w:t>
      </w:r>
      <w:r>
        <w:rPr>
          <w:rFonts w:eastAsia="微软雅黑"/>
          <w:b/>
          <w:bCs/>
        </w:rPr>
        <w:t xml:space="preserve">ime-dependent ROC curve of </w:t>
      </w:r>
      <w:r>
        <w:rPr>
          <w:rFonts w:eastAsia="微软雅黑" w:hint="eastAsia"/>
          <w:b/>
          <w:bCs/>
        </w:rPr>
        <w:t>ADSL</w:t>
      </w:r>
      <w:r>
        <w:rPr>
          <w:rFonts w:eastAsia="微软雅黑"/>
          <w:b/>
          <w:bCs/>
        </w:rPr>
        <w:t xml:space="preserve"> in </w:t>
      </w:r>
      <w:r>
        <w:rPr>
          <w:rFonts w:eastAsia="微软雅黑" w:hint="eastAsia"/>
          <w:b/>
          <w:bCs/>
        </w:rPr>
        <w:t>7</w:t>
      </w:r>
      <w:r>
        <w:rPr>
          <w:rFonts w:eastAsia="微软雅黑"/>
          <w:b/>
          <w:bCs/>
        </w:rPr>
        <w:t xml:space="preserve"> Cancers</w:t>
      </w:r>
    </w:p>
    <w:p w14:paraId="4C8611BE" w14:textId="77777777" w:rsidR="00243308" w:rsidRDefault="006F2843">
      <w:pPr>
        <w:pStyle w:val="Z1"/>
        <w:spacing w:line="276" w:lineRule="auto"/>
        <w:ind w:firstLineChars="0" w:firstLine="0"/>
        <w:rPr>
          <w:rFonts w:eastAsia="微软雅黑"/>
        </w:rPr>
      </w:pPr>
      <w:r>
        <w:rPr>
          <w:rFonts w:eastAsia="微软雅黑"/>
        </w:rPr>
        <w:t>Cancers with AUC &gt; 0.</w:t>
      </w:r>
      <w:r>
        <w:rPr>
          <w:rFonts w:eastAsia="微软雅黑" w:hint="eastAsia"/>
        </w:rPr>
        <w:t>7</w:t>
      </w:r>
      <w:r>
        <w:rPr>
          <w:rFonts w:eastAsia="微软雅黑"/>
        </w:rPr>
        <w:t xml:space="preserve"> for </w:t>
      </w:r>
      <w:r>
        <w:rPr>
          <w:rFonts w:eastAsia="微软雅黑" w:hint="eastAsia"/>
        </w:rPr>
        <w:t>ADSL</w:t>
      </w:r>
      <w:r>
        <w:rPr>
          <w:rFonts w:eastAsia="微软雅黑"/>
        </w:rPr>
        <w:t xml:space="preserve">: (A) </w:t>
      </w:r>
      <w:r>
        <w:rPr>
          <w:rFonts w:eastAsia="微软雅黑" w:hint="eastAsia"/>
        </w:rPr>
        <w:t>ACC</w:t>
      </w:r>
      <w:r>
        <w:rPr>
          <w:rFonts w:eastAsia="微软雅黑"/>
        </w:rPr>
        <w:t xml:space="preserve">, (B) </w:t>
      </w:r>
      <w:r>
        <w:rPr>
          <w:rFonts w:eastAsia="微软雅黑" w:hint="eastAsia"/>
        </w:rPr>
        <w:t>CHOL</w:t>
      </w:r>
      <w:r>
        <w:rPr>
          <w:rFonts w:eastAsia="微软雅黑"/>
        </w:rPr>
        <w:t xml:space="preserve">, (C) </w:t>
      </w:r>
      <w:r>
        <w:rPr>
          <w:rFonts w:eastAsia="微软雅黑" w:hint="eastAsia"/>
        </w:rPr>
        <w:t>DLBC</w:t>
      </w:r>
      <w:r>
        <w:rPr>
          <w:rFonts w:eastAsia="微软雅黑"/>
        </w:rPr>
        <w:t>,</w:t>
      </w:r>
      <w:r>
        <w:rPr>
          <w:rFonts w:eastAsia="微软雅黑" w:hint="eastAsia"/>
        </w:rPr>
        <w:t xml:space="preserve"> </w:t>
      </w:r>
      <w:r>
        <w:rPr>
          <w:rFonts w:eastAsia="微软雅黑"/>
        </w:rPr>
        <w:t xml:space="preserve">(D) </w:t>
      </w:r>
      <w:r>
        <w:rPr>
          <w:rFonts w:eastAsia="微软雅黑" w:hint="eastAsia"/>
        </w:rPr>
        <w:t>KICH</w:t>
      </w:r>
      <w:r>
        <w:rPr>
          <w:rFonts w:eastAsia="微软雅黑"/>
        </w:rPr>
        <w:t xml:space="preserve">, (E) </w:t>
      </w:r>
      <w:r>
        <w:rPr>
          <w:rFonts w:eastAsia="微软雅黑" w:hint="eastAsia"/>
        </w:rPr>
        <w:t>MESO</w:t>
      </w:r>
      <w:r>
        <w:rPr>
          <w:rFonts w:eastAsia="微软雅黑"/>
        </w:rPr>
        <w:t xml:space="preserve">, (F) </w:t>
      </w:r>
      <w:r>
        <w:rPr>
          <w:rFonts w:eastAsia="微软雅黑" w:hint="eastAsia"/>
        </w:rPr>
        <w:t>PRAD and (G) THCA.</w:t>
      </w:r>
    </w:p>
    <w:p w14:paraId="4E639059" w14:textId="77777777" w:rsidR="00243308" w:rsidRDefault="006F2843">
      <w:pPr>
        <w:pStyle w:val="Z1"/>
        <w:spacing w:line="276" w:lineRule="auto"/>
        <w:ind w:firstLineChars="0" w:firstLine="0"/>
        <w:rPr>
          <w:rFonts w:eastAsia="微软雅黑"/>
        </w:rPr>
      </w:pPr>
      <w:r>
        <w:rPr>
          <w:rFonts w:eastAsia="微软雅黑" w:hint="eastAsia"/>
          <w:noProof/>
          <w14:ligatures w14:val="standardContextual"/>
        </w:rPr>
        <w:lastRenderedPageBreak/>
        <w:drawing>
          <wp:inline distT="0" distB="0" distL="0" distR="0" wp14:anchorId="391836D3" wp14:editId="70FC0ACD">
            <wp:extent cx="5274310" cy="5358765"/>
            <wp:effectExtent l="0" t="0" r="2540" b="0"/>
            <wp:docPr id="13685258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25800" name="图片 4"/>
                    <pic:cNvPicPr>
                      <a:picLocks noChangeAspect="1"/>
                    </pic:cNvPicPr>
                  </pic:nvPicPr>
                  <pic:blipFill>
                    <a:blip r:embed="rId8" cstate="hqprint"/>
                    <a:stretch>
                      <a:fillRect/>
                    </a:stretch>
                  </pic:blipFill>
                  <pic:spPr>
                    <a:xfrm>
                      <a:off x="0" y="0"/>
                      <a:ext cx="5274310" cy="5358765"/>
                    </a:xfrm>
                    <a:prstGeom prst="rect">
                      <a:avLst/>
                    </a:prstGeom>
                  </pic:spPr>
                </pic:pic>
              </a:graphicData>
            </a:graphic>
          </wp:inline>
        </w:drawing>
      </w:r>
    </w:p>
    <w:p w14:paraId="5CA57681" w14:textId="77777777" w:rsidR="00243308" w:rsidRDefault="006F2843">
      <w:pPr>
        <w:pStyle w:val="Z1"/>
        <w:spacing w:line="276" w:lineRule="auto"/>
        <w:ind w:firstLineChars="0" w:firstLine="0"/>
        <w:rPr>
          <w:rFonts w:eastAsia="宋体"/>
          <w:b/>
          <w:bCs/>
        </w:rPr>
      </w:pPr>
      <w:r>
        <w:rPr>
          <w:rFonts w:eastAsia="微软雅黑"/>
          <w:b/>
          <w:bCs/>
        </w:rPr>
        <w:t>Supplementary Figure</w:t>
      </w:r>
      <w:r>
        <w:rPr>
          <w:rFonts w:eastAsia="微软雅黑" w:hint="eastAsia"/>
          <w:b/>
          <w:bCs/>
        </w:rPr>
        <w:t xml:space="preserve"> 4. </w:t>
      </w:r>
      <w:r>
        <w:rPr>
          <w:rFonts w:eastAsia="宋体"/>
          <w:b/>
          <w:bCs/>
        </w:rPr>
        <w:t xml:space="preserve">Correlations between </w:t>
      </w:r>
      <w:r>
        <w:rPr>
          <w:rFonts w:eastAsia="宋体" w:hint="eastAsia"/>
          <w:b/>
          <w:bCs/>
        </w:rPr>
        <w:t>ADSL</w:t>
      </w:r>
      <w:r>
        <w:rPr>
          <w:rFonts w:eastAsia="宋体"/>
          <w:b/>
          <w:bCs/>
        </w:rPr>
        <w:t xml:space="preserve"> expression and molecular subtypes in </w:t>
      </w:r>
      <w:r>
        <w:rPr>
          <w:rFonts w:eastAsia="宋体" w:hint="eastAsia"/>
          <w:b/>
          <w:bCs/>
        </w:rPr>
        <w:t>12</w:t>
      </w:r>
      <w:r>
        <w:rPr>
          <w:rFonts w:eastAsia="宋体"/>
          <w:b/>
          <w:bCs/>
        </w:rPr>
        <w:t xml:space="preserve"> cancers</w:t>
      </w:r>
    </w:p>
    <w:p w14:paraId="52C01A57" w14:textId="77777777" w:rsidR="00243308" w:rsidRDefault="006F2843">
      <w:pPr>
        <w:pStyle w:val="Z1"/>
        <w:spacing w:line="276" w:lineRule="auto"/>
        <w:ind w:firstLineChars="0" w:firstLine="0"/>
        <w:rPr>
          <w:rFonts w:eastAsia="宋体"/>
        </w:rPr>
      </w:pPr>
      <w:r>
        <w:rPr>
          <w:rFonts w:eastAsia="宋体"/>
        </w:rPr>
        <w:t xml:space="preserve">(A) ACC, (B) </w:t>
      </w:r>
      <w:r>
        <w:rPr>
          <w:rFonts w:eastAsia="宋体" w:hint="eastAsia"/>
        </w:rPr>
        <w:t>BRCA</w:t>
      </w:r>
      <w:r>
        <w:rPr>
          <w:rFonts w:eastAsia="宋体"/>
        </w:rPr>
        <w:t xml:space="preserve">, (C) </w:t>
      </w:r>
      <w:r>
        <w:rPr>
          <w:rFonts w:eastAsia="宋体" w:hint="eastAsia"/>
        </w:rPr>
        <w:t>HNSC</w:t>
      </w:r>
      <w:r>
        <w:rPr>
          <w:rFonts w:eastAsia="宋体"/>
        </w:rPr>
        <w:t xml:space="preserve">, (D) </w:t>
      </w:r>
      <w:r>
        <w:rPr>
          <w:rFonts w:eastAsia="宋体" w:hint="eastAsia"/>
        </w:rPr>
        <w:t>KIRP</w:t>
      </w:r>
      <w:r>
        <w:rPr>
          <w:rFonts w:eastAsia="宋体"/>
        </w:rPr>
        <w:t xml:space="preserve">, (E) </w:t>
      </w:r>
      <w:r>
        <w:rPr>
          <w:rFonts w:eastAsia="宋体" w:hint="eastAsia"/>
        </w:rPr>
        <w:t>OV, (F) PRAD, (G) ESCA, (H) LGG, (I) PCPG, (J) LUSC, (K) STAD and (L) UCEC</w:t>
      </w:r>
      <w:r>
        <w:rPr>
          <w:rFonts w:eastAsia="宋体"/>
        </w:rPr>
        <w:t>.</w:t>
      </w:r>
    </w:p>
    <w:p w14:paraId="2EBF4F87" w14:textId="77777777" w:rsidR="00243308" w:rsidRDefault="006F2843">
      <w:pPr>
        <w:pStyle w:val="Z1"/>
        <w:spacing w:line="276" w:lineRule="auto"/>
        <w:ind w:firstLineChars="0" w:firstLine="0"/>
        <w:rPr>
          <w:rFonts w:eastAsia="宋体"/>
        </w:rPr>
      </w:pPr>
      <w:r>
        <w:rPr>
          <w:rFonts w:eastAsia="宋体" w:hint="eastAsia"/>
          <w:noProof/>
          <w14:ligatures w14:val="standardContextual"/>
        </w:rPr>
        <w:lastRenderedPageBreak/>
        <w:drawing>
          <wp:inline distT="0" distB="0" distL="0" distR="0" wp14:anchorId="103745A0" wp14:editId="3376B503">
            <wp:extent cx="5247640" cy="8735695"/>
            <wp:effectExtent l="0" t="0" r="0" b="8255"/>
            <wp:docPr id="17786478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4786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5085" cy="8748141"/>
                    </a:xfrm>
                    <a:prstGeom prst="rect">
                      <a:avLst/>
                    </a:prstGeom>
                  </pic:spPr>
                </pic:pic>
              </a:graphicData>
            </a:graphic>
          </wp:inline>
        </w:drawing>
      </w:r>
    </w:p>
    <w:p w14:paraId="7C5AB24D" w14:textId="77777777" w:rsidR="00243308" w:rsidRDefault="006F2843">
      <w:pPr>
        <w:pStyle w:val="Z1"/>
        <w:spacing w:line="276" w:lineRule="auto"/>
        <w:ind w:firstLineChars="0" w:firstLine="0"/>
        <w:rPr>
          <w:rFonts w:eastAsia="宋体"/>
          <w:b/>
          <w:bCs/>
        </w:rPr>
      </w:pPr>
      <w:r>
        <w:rPr>
          <w:rFonts w:eastAsia="微软雅黑"/>
          <w:b/>
          <w:bCs/>
        </w:rPr>
        <w:lastRenderedPageBreak/>
        <w:t>Supplementary Figure</w:t>
      </w:r>
      <w:r>
        <w:rPr>
          <w:rFonts w:eastAsia="微软雅黑" w:hint="eastAsia"/>
          <w:b/>
          <w:bCs/>
        </w:rPr>
        <w:t xml:space="preserve"> 5.</w:t>
      </w:r>
      <w:r>
        <w:rPr>
          <w:rFonts w:eastAsia="宋体" w:hint="eastAsia"/>
          <w:b/>
          <w:bCs/>
        </w:rPr>
        <w:t xml:space="preserve"> </w:t>
      </w:r>
      <w:r>
        <w:rPr>
          <w:rFonts w:eastAsia="宋体"/>
          <w:b/>
          <w:bCs/>
        </w:rPr>
        <w:t xml:space="preserve">GSEA functional enrichment analysis of </w:t>
      </w:r>
      <w:r>
        <w:rPr>
          <w:rFonts w:eastAsia="宋体" w:hint="eastAsia"/>
          <w:b/>
          <w:bCs/>
        </w:rPr>
        <w:t>ADSL</w:t>
      </w:r>
      <w:r>
        <w:rPr>
          <w:rFonts w:eastAsia="宋体"/>
          <w:b/>
          <w:bCs/>
        </w:rPr>
        <w:t xml:space="preserve"> expression in 1</w:t>
      </w:r>
      <w:r>
        <w:rPr>
          <w:rFonts w:eastAsia="宋体" w:hint="eastAsia"/>
          <w:b/>
          <w:bCs/>
        </w:rPr>
        <w:t>4</w:t>
      </w:r>
      <w:r>
        <w:rPr>
          <w:rFonts w:eastAsia="宋体"/>
          <w:b/>
          <w:bCs/>
        </w:rPr>
        <w:t xml:space="preserve"> cancers</w:t>
      </w:r>
    </w:p>
    <w:p w14:paraId="3E772005" w14:textId="77777777" w:rsidR="00243308" w:rsidRDefault="006F2843">
      <w:pPr>
        <w:pStyle w:val="Z1"/>
        <w:spacing w:line="276" w:lineRule="auto"/>
        <w:ind w:firstLineChars="0" w:firstLine="0"/>
        <w:rPr>
          <w:rFonts w:eastAsia="宋体"/>
        </w:rPr>
      </w:pPr>
      <w:r>
        <w:rPr>
          <w:rFonts w:eastAsia="宋体"/>
        </w:rPr>
        <w:t>The top 1</w:t>
      </w:r>
      <w:r>
        <w:rPr>
          <w:rFonts w:eastAsia="宋体" w:hint="eastAsia"/>
        </w:rPr>
        <w:t>0</w:t>
      </w:r>
      <w:r>
        <w:rPr>
          <w:rFonts w:eastAsia="宋体"/>
        </w:rPr>
        <w:t xml:space="preserve"> GSEA functional enrichment pathways of</w:t>
      </w:r>
      <w:r>
        <w:rPr>
          <w:rFonts w:eastAsia="宋体" w:hint="eastAsia"/>
        </w:rPr>
        <w:t xml:space="preserve"> ADSL</w:t>
      </w:r>
      <w:r>
        <w:rPr>
          <w:rFonts w:eastAsia="宋体"/>
        </w:rPr>
        <w:t xml:space="preserve"> in (A) ACC, (B)</w:t>
      </w:r>
      <w:r>
        <w:rPr>
          <w:rFonts w:eastAsia="宋体" w:hint="eastAsia"/>
        </w:rPr>
        <w:t>BLCA</w:t>
      </w:r>
      <w:r>
        <w:rPr>
          <w:rFonts w:eastAsia="宋体"/>
        </w:rPr>
        <w:t>,</w:t>
      </w:r>
      <w:r>
        <w:rPr>
          <w:rFonts w:eastAsia="宋体" w:hint="eastAsia"/>
        </w:rPr>
        <w:t xml:space="preserve"> </w:t>
      </w:r>
      <w:r>
        <w:rPr>
          <w:rFonts w:eastAsia="宋体"/>
        </w:rPr>
        <w:t xml:space="preserve">(C) </w:t>
      </w:r>
      <w:r>
        <w:rPr>
          <w:rFonts w:eastAsia="宋体" w:hint="eastAsia"/>
        </w:rPr>
        <w:t>BRCA</w:t>
      </w:r>
      <w:r>
        <w:rPr>
          <w:rFonts w:eastAsia="宋体"/>
        </w:rPr>
        <w:t xml:space="preserve">, (D) </w:t>
      </w:r>
      <w:r>
        <w:rPr>
          <w:rFonts w:eastAsia="宋体" w:hint="eastAsia"/>
        </w:rPr>
        <w:t>HNSC</w:t>
      </w:r>
      <w:r>
        <w:rPr>
          <w:rFonts w:eastAsia="宋体"/>
        </w:rPr>
        <w:t xml:space="preserve">, (E) </w:t>
      </w:r>
      <w:r>
        <w:rPr>
          <w:rFonts w:eastAsia="宋体" w:hint="eastAsia"/>
        </w:rPr>
        <w:t>KICH</w:t>
      </w:r>
      <w:r>
        <w:rPr>
          <w:rFonts w:eastAsia="宋体"/>
        </w:rPr>
        <w:t>, (F)</w:t>
      </w:r>
      <w:r>
        <w:rPr>
          <w:rFonts w:eastAsia="宋体" w:hint="eastAsia"/>
        </w:rPr>
        <w:t xml:space="preserve"> KIRP</w:t>
      </w:r>
      <w:r>
        <w:rPr>
          <w:rFonts w:eastAsia="宋体"/>
        </w:rPr>
        <w:t xml:space="preserve">, (G) </w:t>
      </w:r>
      <w:r>
        <w:rPr>
          <w:rFonts w:eastAsia="宋体" w:hint="eastAsia"/>
        </w:rPr>
        <w:t>LIHC</w:t>
      </w:r>
      <w:r>
        <w:rPr>
          <w:rFonts w:eastAsia="宋体"/>
        </w:rPr>
        <w:t>, (H) MESO, (I)</w:t>
      </w:r>
      <w:r>
        <w:rPr>
          <w:rFonts w:eastAsia="宋体" w:hint="eastAsia"/>
        </w:rPr>
        <w:t>SARC</w:t>
      </w:r>
      <w:r>
        <w:rPr>
          <w:rFonts w:eastAsia="宋体"/>
        </w:rPr>
        <w:t xml:space="preserve">, (J) </w:t>
      </w:r>
      <w:r>
        <w:rPr>
          <w:rFonts w:eastAsia="宋体" w:hint="eastAsia"/>
        </w:rPr>
        <w:t>OV</w:t>
      </w:r>
      <w:r>
        <w:rPr>
          <w:rFonts w:eastAsia="宋体"/>
        </w:rPr>
        <w:t xml:space="preserve">, (K) </w:t>
      </w:r>
      <w:r>
        <w:rPr>
          <w:rFonts w:eastAsia="宋体" w:hint="eastAsia"/>
        </w:rPr>
        <w:t>PRAD</w:t>
      </w:r>
      <w:r>
        <w:rPr>
          <w:rFonts w:eastAsia="宋体"/>
        </w:rPr>
        <w:t xml:space="preserve">, (L) </w:t>
      </w:r>
      <w:r>
        <w:rPr>
          <w:rFonts w:eastAsia="宋体" w:hint="eastAsia"/>
        </w:rPr>
        <w:t>THCA, (M) GBM and (N) LGG</w:t>
      </w:r>
      <w:r>
        <w:rPr>
          <w:rFonts w:eastAsia="宋体"/>
        </w:rPr>
        <w:t>.</w:t>
      </w:r>
    </w:p>
    <w:p w14:paraId="7B1436F4" w14:textId="77777777" w:rsidR="00243308" w:rsidRDefault="006F2843">
      <w:pPr>
        <w:pStyle w:val="Z1"/>
        <w:spacing w:line="276" w:lineRule="auto"/>
        <w:ind w:firstLineChars="0" w:firstLine="0"/>
        <w:rPr>
          <w:rFonts w:eastAsia="宋体"/>
        </w:rPr>
      </w:pPr>
      <w:r>
        <w:rPr>
          <w:rFonts w:eastAsia="宋体"/>
          <w:noProof/>
          <w14:ligatures w14:val="standardContextual"/>
        </w:rPr>
        <w:drawing>
          <wp:inline distT="0" distB="0" distL="0" distR="0" wp14:anchorId="6C0AFC2B" wp14:editId="7C78F3C8">
            <wp:extent cx="5274310" cy="5848985"/>
            <wp:effectExtent l="0" t="0" r="2540" b="0"/>
            <wp:docPr id="9780486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48640" name="图片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848985"/>
                    </a:xfrm>
                    <a:prstGeom prst="rect">
                      <a:avLst/>
                    </a:prstGeom>
                  </pic:spPr>
                </pic:pic>
              </a:graphicData>
            </a:graphic>
          </wp:inline>
        </w:drawing>
      </w:r>
    </w:p>
    <w:p w14:paraId="518D385C" w14:textId="77777777" w:rsidR="00243308" w:rsidRDefault="006F2843">
      <w:pPr>
        <w:pStyle w:val="Z1"/>
        <w:spacing w:line="276" w:lineRule="auto"/>
        <w:ind w:firstLineChars="0" w:firstLine="0"/>
        <w:rPr>
          <w:rFonts w:eastAsia="宋体"/>
          <w:b/>
          <w:bCs/>
        </w:rPr>
      </w:pPr>
      <w:r>
        <w:rPr>
          <w:rFonts w:eastAsia="微软雅黑"/>
          <w:b/>
          <w:bCs/>
        </w:rPr>
        <w:t>Supplementary Figure</w:t>
      </w:r>
      <w:r>
        <w:rPr>
          <w:rFonts w:eastAsia="微软雅黑" w:hint="eastAsia"/>
          <w:b/>
          <w:bCs/>
        </w:rPr>
        <w:t xml:space="preserve"> 6.</w:t>
      </w:r>
      <w:r>
        <w:rPr>
          <w:rFonts w:eastAsia="宋体" w:hint="eastAsia"/>
          <w:b/>
          <w:bCs/>
        </w:rPr>
        <w:t xml:space="preserve"> </w:t>
      </w:r>
      <w:r>
        <w:rPr>
          <w:rFonts w:eastAsia="宋体"/>
          <w:b/>
          <w:bCs/>
        </w:rPr>
        <w:t xml:space="preserve">The correlation of </w:t>
      </w:r>
      <w:r>
        <w:rPr>
          <w:rFonts w:eastAsia="宋体" w:hint="eastAsia"/>
          <w:b/>
          <w:bCs/>
        </w:rPr>
        <w:t>ADSL</w:t>
      </w:r>
      <w:r>
        <w:rPr>
          <w:rFonts w:eastAsia="宋体"/>
          <w:b/>
          <w:bCs/>
        </w:rPr>
        <w:t xml:space="preserve"> with functional state in </w:t>
      </w:r>
      <w:r>
        <w:rPr>
          <w:rFonts w:eastAsia="宋体" w:hint="eastAsia"/>
          <w:b/>
          <w:bCs/>
        </w:rPr>
        <w:t>pan-</w:t>
      </w:r>
      <w:r>
        <w:rPr>
          <w:rFonts w:eastAsia="宋体"/>
          <w:b/>
          <w:bCs/>
        </w:rPr>
        <w:t>cancer</w:t>
      </w:r>
    </w:p>
    <w:p w14:paraId="31B7F5DE" w14:textId="77777777" w:rsidR="00243308" w:rsidRDefault="006F2843">
      <w:pPr>
        <w:pStyle w:val="Z1"/>
        <w:spacing w:line="276" w:lineRule="auto"/>
        <w:ind w:firstLineChars="0" w:firstLine="0"/>
        <w:rPr>
          <w:rFonts w:eastAsia="宋体"/>
        </w:rPr>
      </w:pPr>
      <w:r>
        <w:rPr>
          <w:rFonts w:eastAsia="宋体"/>
        </w:rPr>
        <w:t xml:space="preserve">(A) The interactive bubble chart present correlation of </w:t>
      </w:r>
      <w:r>
        <w:rPr>
          <w:rFonts w:eastAsia="宋体" w:hint="eastAsia"/>
        </w:rPr>
        <w:t>ADSL</w:t>
      </w:r>
      <w:r>
        <w:rPr>
          <w:rFonts w:eastAsia="宋体"/>
        </w:rPr>
        <w:t xml:space="preserve"> with functional state in 1</w:t>
      </w:r>
      <w:r>
        <w:rPr>
          <w:rFonts w:eastAsia="宋体" w:hint="eastAsia"/>
        </w:rPr>
        <w:t xml:space="preserve">8 </w:t>
      </w:r>
      <w:r>
        <w:rPr>
          <w:rFonts w:eastAsia="宋体"/>
        </w:rPr>
        <w:t>cancers</w:t>
      </w:r>
      <w:r>
        <w:rPr>
          <w:rFonts w:eastAsia="宋体" w:hint="eastAsia"/>
        </w:rPr>
        <w:t>;</w:t>
      </w:r>
      <w:r>
        <w:rPr>
          <w:rFonts w:eastAsia="宋体"/>
        </w:rPr>
        <w:t xml:space="preserve"> The correlation of </w:t>
      </w:r>
      <w:r>
        <w:rPr>
          <w:rFonts w:eastAsia="宋体" w:hint="eastAsia"/>
        </w:rPr>
        <w:t>ADSL</w:t>
      </w:r>
      <w:r>
        <w:rPr>
          <w:rFonts w:eastAsia="宋体"/>
        </w:rPr>
        <w:t xml:space="preserve"> with functional state in (B) acute myelogenous leukemia</w:t>
      </w:r>
      <w:r>
        <w:rPr>
          <w:rFonts w:eastAsia="宋体" w:hint="eastAsia"/>
        </w:rPr>
        <w:t xml:space="preserve"> (</w:t>
      </w:r>
      <w:r>
        <w:rPr>
          <w:rFonts w:eastAsia="宋体"/>
        </w:rPr>
        <w:t>AML</w:t>
      </w:r>
      <w:r>
        <w:rPr>
          <w:rFonts w:eastAsia="宋体" w:hint="eastAsia"/>
        </w:rPr>
        <w:t>)</w:t>
      </w:r>
      <w:r>
        <w:rPr>
          <w:rFonts w:eastAsia="宋体"/>
        </w:rPr>
        <w:t xml:space="preserve">, (C) </w:t>
      </w:r>
      <w:r>
        <w:rPr>
          <w:rFonts w:eastAsia="宋体" w:hint="eastAsia"/>
        </w:rPr>
        <w:t>LUAD</w:t>
      </w:r>
      <w:r>
        <w:rPr>
          <w:rFonts w:eastAsia="宋体"/>
        </w:rPr>
        <w:t xml:space="preserve">, (D) </w:t>
      </w:r>
      <w:r>
        <w:rPr>
          <w:rFonts w:eastAsia="宋体" w:hint="eastAsia"/>
        </w:rPr>
        <w:t>OV</w:t>
      </w:r>
      <w:r>
        <w:rPr>
          <w:rFonts w:eastAsia="宋体"/>
        </w:rPr>
        <w:t xml:space="preserve">, (E) </w:t>
      </w:r>
      <w:r>
        <w:rPr>
          <w:rFonts w:eastAsia="宋体" w:hint="eastAsia"/>
        </w:rPr>
        <w:t>r</w:t>
      </w:r>
      <w:r>
        <w:rPr>
          <w:rFonts w:eastAsia="宋体"/>
        </w:rPr>
        <w:t>enal cell carcinoma</w:t>
      </w:r>
      <w:r>
        <w:rPr>
          <w:rFonts w:eastAsia="宋体" w:hint="eastAsia"/>
        </w:rPr>
        <w:t xml:space="preserve"> </w:t>
      </w:r>
      <w:r>
        <w:rPr>
          <w:rFonts w:eastAsia="宋体" w:hint="eastAsia"/>
        </w:rPr>
        <w:lastRenderedPageBreak/>
        <w:t>(RCC)</w:t>
      </w:r>
      <w:r>
        <w:rPr>
          <w:rFonts w:eastAsia="宋体"/>
        </w:rPr>
        <w:t xml:space="preserve">, (F) </w:t>
      </w:r>
      <w:r>
        <w:rPr>
          <w:rFonts w:eastAsia="宋体" w:hint="eastAsia"/>
        </w:rPr>
        <w:t>r</w:t>
      </w:r>
      <w:r>
        <w:rPr>
          <w:rFonts w:eastAsia="宋体"/>
        </w:rPr>
        <w:t>etinoblastoma</w:t>
      </w:r>
      <w:r>
        <w:rPr>
          <w:rFonts w:eastAsia="宋体" w:hint="eastAsia"/>
        </w:rPr>
        <w:t xml:space="preserve"> (RB) and </w:t>
      </w:r>
      <w:r>
        <w:rPr>
          <w:rFonts w:eastAsia="宋体"/>
        </w:rPr>
        <w:t xml:space="preserve">(G) </w:t>
      </w:r>
      <w:r>
        <w:rPr>
          <w:rFonts w:eastAsia="宋体" w:hint="eastAsia"/>
        </w:rPr>
        <w:t>u</w:t>
      </w:r>
      <w:r>
        <w:rPr>
          <w:rFonts w:eastAsia="宋体"/>
        </w:rPr>
        <w:t>veal melanoma</w:t>
      </w:r>
      <w:r>
        <w:rPr>
          <w:rFonts w:eastAsia="宋体" w:hint="eastAsia"/>
        </w:rPr>
        <w:t xml:space="preserve"> (UM).</w:t>
      </w:r>
    </w:p>
    <w:p w14:paraId="79601452" w14:textId="77777777" w:rsidR="00243308" w:rsidRDefault="006F2843">
      <w:pPr>
        <w:pStyle w:val="Z1"/>
        <w:spacing w:line="276" w:lineRule="auto"/>
        <w:ind w:firstLineChars="0" w:firstLine="0"/>
        <w:rPr>
          <w:rFonts w:eastAsia="宋体"/>
        </w:rPr>
      </w:pPr>
      <w:r>
        <w:rPr>
          <w:rFonts w:eastAsia="宋体" w:hint="eastAsia"/>
          <w:noProof/>
          <w14:ligatures w14:val="standardContextual"/>
        </w:rPr>
        <w:drawing>
          <wp:inline distT="0" distB="0" distL="0" distR="0" wp14:anchorId="472D2ABB" wp14:editId="2ACD1124">
            <wp:extent cx="5263515" cy="6811645"/>
            <wp:effectExtent l="0" t="0" r="0" b="8255"/>
            <wp:docPr id="14002897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9786" name="图片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6874" cy="6815954"/>
                    </a:xfrm>
                    <a:prstGeom prst="rect">
                      <a:avLst/>
                    </a:prstGeom>
                  </pic:spPr>
                </pic:pic>
              </a:graphicData>
            </a:graphic>
          </wp:inline>
        </w:drawing>
      </w:r>
    </w:p>
    <w:p w14:paraId="75F88359" w14:textId="77777777" w:rsidR="00243308" w:rsidRDefault="006F2843">
      <w:pPr>
        <w:pStyle w:val="Z1"/>
        <w:spacing w:line="276" w:lineRule="auto"/>
        <w:ind w:firstLineChars="0" w:firstLine="0"/>
        <w:rPr>
          <w:rFonts w:eastAsia="微软雅黑"/>
          <w:b/>
          <w:bCs/>
        </w:rPr>
      </w:pPr>
      <w:r>
        <w:rPr>
          <w:rFonts w:eastAsia="微软雅黑"/>
          <w:b/>
          <w:bCs/>
        </w:rPr>
        <w:t>Supplementary Figure</w:t>
      </w:r>
      <w:r>
        <w:rPr>
          <w:rFonts w:eastAsia="微软雅黑" w:hint="eastAsia"/>
          <w:b/>
          <w:bCs/>
        </w:rPr>
        <w:t xml:space="preserve"> 7. </w:t>
      </w:r>
      <w:r>
        <w:rPr>
          <w:rFonts w:eastAsia="微软雅黑"/>
          <w:b/>
          <w:bCs/>
        </w:rPr>
        <w:t xml:space="preserve">Drug sensitivity of </w:t>
      </w:r>
      <w:r>
        <w:rPr>
          <w:rFonts w:eastAsia="微软雅黑" w:hint="eastAsia"/>
          <w:b/>
          <w:bCs/>
        </w:rPr>
        <w:t>ADSL</w:t>
      </w:r>
      <w:r>
        <w:rPr>
          <w:rFonts w:eastAsia="微软雅黑"/>
          <w:b/>
          <w:bCs/>
        </w:rPr>
        <w:t>-related drugs in pan-cancer</w:t>
      </w:r>
    </w:p>
    <w:p w14:paraId="59D3ED62" w14:textId="77777777" w:rsidR="00243308" w:rsidRDefault="006F2843">
      <w:pPr>
        <w:pStyle w:val="Z1"/>
        <w:spacing w:line="276" w:lineRule="auto"/>
        <w:ind w:firstLineChars="0" w:firstLine="0"/>
        <w:rPr>
          <w:rFonts w:eastAsia="宋体"/>
        </w:rPr>
      </w:pPr>
      <w:r>
        <w:rPr>
          <w:rFonts w:eastAsia="宋体" w:hint="eastAsia"/>
        </w:rPr>
        <w:t xml:space="preserve">(A) </w:t>
      </w:r>
      <w:r>
        <w:rPr>
          <w:rFonts w:eastAsia="宋体"/>
        </w:rPr>
        <w:t>Molecular docking model</w:t>
      </w:r>
      <w:r>
        <w:rPr>
          <w:rFonts w:eastAsia="宋体" w:hint="eastAsia"/>
        </w:rPr>
        <w:t xml:space="preserve"> of MK-1775 and ADSL; (B and C) </w:t>
      </w:r>
      <w:r>
        <w:rPr>
          <w:rFonts w:eastAsia="宋体"/>
        </w:rPr>
        <w:t>Statistical graph of the binding stability of GANT-58 and ADSL at different temperatures (</w:t>
      </w:r>
      <w:r>
        <w:rPr>
          <w:rFonts w:eastAsia="宋体" w:hint="eastAsia"/>
        </w:rPr>
        <w:t>B</w:t>
      </w:r>
      <w:r>
        <w:rPr>
          <w:rFonts w:eastAsia="宋体"/>
        </w:rPr>
        <w:t>) and different concentrations (</w:t>
      </w:r>
      <w:r>
        <w:rPr>
          <w:rFonts w:eastAsia="宋体" w:hint="eastAsia"/>
        </w:rPr>
        <w:t>C</w:t>
      </w:r>
      <w:r>
        <w:rPr>
          <w:rFonts w:eastAsia="宋体"/>
        </w:rPr>
        <w:t>) detected by Western blot</w:t>
      </w:r>
      <w:r>
        <w:rPr>
          <w:rFonts w:eastAsia="宋体" w:hint="eastAsia"/>
        </w:rPr>
        <w:t xml:space="preserve">. (D) </w:t>
      </w:r>
      <w:r>
        <w:rPr>
          <w:rFonts w:eastAsia="宋体"/>
        </w:rPr>
        <w:t xml:space="preserve">Western </w:t>
      </w:r>
      <w:r>
        <w:rPr>
          <w:rFonts w:eastAsia="宋体"/>
        </w:rPr>
        <w:lastRenderedPageBreak/>
        <w:t>blot statistical graph comparing the differences in ADSL protein expression levels after adding GANT-58 and knocking down ADSL in the culture medium of U251 and T98G cells.</w:t>
      </w:r>
      <w:r>
        <w:rPr>
          <w:rFonts w:eastAsia="宋体" w:hint="eastAsia"/>
        </w:rPr>
        <w:t xml:space="preserve"> </w:t>
      </w:r>
      <w:r>
        <w:rPr>
          <w:rFonts w:eastAsia="微软雅黑"/>
        </w:rPr>
        <w:t>(</w:t>
      </w:r>
      <w:r>
        <w:rPr>
          <w:rFonts w:eastAsia="微软雅黑" w:hint="eastAsia"/>
        </w:rPr>
        <w:t>E</w:t>
      </w:r>
      <w:r>
        <w:rPr>
          <w:rFonts w:eastAsia="微软雅黑"/>
        </w:rPr>
        <w:t>)</w:t>
      </w:r>
      <w:r>
        <w:rPr>
          <w:rFonts w:eastAsia="微软雅黑" w:hint="eastAsia"/>
        </w:rPr>
        <w:t xml:space="preserve"> </w:t>
      </w:r>
      <w:r>
        <w:rPr>
          <w:rFonts w:eastAsia="微软雅黑"/>
        </w:rPr>
        <w:t>Relationship between CTRP drug sensitivity and mRNA expression of</w:t>
      </w:r>
      <w:r>
        <w:rPr>
          <w:rFonts w:eastAsia="微软雅黑" w:hint="eastAsia"/>
        </w:rPr>
        <w:t xml:space="preserve"> ADSL, HPRT1, NT5C1A, NT5C1B, NT5M, ADSS2, APRT, NT5C and NT5E; </w:t>
      </w:r>
      <w:r>
        <w:rPr>
          <w:rFonts w:eastAsia="微软雅黑"/>
        </w:rPr>
        <w:t>(</w:t>
      </w:r>
      <w:r>
        <w:rPr>
          <w:rFonts w:eastAsia="微软雅黑" w:hint="eastAsia"/>
        </w:rPr>
        <w:t>F</w:t>
      </w:r>
      <w:r>
        <w:rPr>
          <w:rFonts w:eastAsia="微软雅黑"/>
        </w:rPr>
        <w:t xml:space="preserve">) FDA-approved </w:t>
      </w:r>
      <w:r>
        <w:rPr>
          <w:rFonts w:eastAsia="微软雅黑" w:hint="eastAsia"/>
        </w:rPr>
        <w:t>ADSL</w:t>
      </w:r>
      <w:r>
        <w:rPr>
          <w:rFonts w:eastAsia="微软雅黑"/>
        </w:rPr>
        <w:t>-related chemotherapeutic drugs from CTRP drug sensitivity</w:t>
      </w:r>
      <w:r>
        <w:rPr>
          <w:rFonts w:eastAsia="微软雅黑" w:hint="eastAsia"/>
        </w:rPr>
        <w:t xml:space="preserve">; </w:t>
      </w:r>
      <w:r>
        <w:rPr>
          <w:rFonts w:eastAsia="微软雅黑"/>
        </w:rPr>
        <w:t>(</w:t>
      </w:r>
      <w:r>
        <w:rPr>
          <w:rFonts w:eastAsia="微软雅黑" w:hint="eastAsia"/>
        </w:rPr>
        <w:t>G</w:t>
      </w:r>
      <w:r>
        <w:rPr>
          <w:rFonts w:eastAsia="微软雅黑"/>
        </w:rPr>
        <w:t>)</w:t>
      </w:r>
      <w:r>
        <w:rPr>
          <w:rFonts w:eastAsia="微软雅黑" w:hint="eastAsia"/>
        </w:rPr>
        <w:t xml:space="preserve"> </w:t>
      </w:r>
      <w:r>
        <w:rPr>
          <w:rFonts w:eastAsia="微软雅黑"/>
        </w:rPr>
        <w:t>Correlation between GDSC drug</w:t>
      </w:r>
      <w:r>
        <w:rPr>
          <w:rFonts w:eastAsia="微软雅黑" w:hint="eastAsia"/>
        </w:rPr>
        <w:t xml:space="preserve"> </w:t>
      </w:r>
      <w:r>
        <w:rPr>
          <w:rFonts w:eastAsia="微软雅黑"/>
        </w:rPr>
        <w:t xml:space="preserve">sensitivity and mRNA expression of </w:t>
      </w:r>
      <w:r>
        <w:rPr>
          <w:rFonts w:eastAsia="微软雅黑" w:hint="eastAsia"/>
        </w:rPr>
        <w:t>ADSL, HPRT1, NT5C1A, NT5C1B, NT5M, ADSS2, APRT, NT5C and NT5E</w:t>
      </w:r>
      <w:r>
        <w:rPr>
          <w:rFonts w:eastAsia="微软雅黑"/>
        </w:rPr>
        <w:t>. (</w:t>
      </w:r>
      <w:r>
        <w:rPr>
          <w:rFonts w:eastAsia="微软雅黑" w:hint="eastAsia"/>
        </w:rPr>
        <w:t>H</w:t>
      </w:r>
      <w:r>
        <w:rPr>
          <w:rFonts w:eastAsia="微软雅黑"/>
        </w:rPr>
        <w:t xml:space="preserve">) FDA-approved </w:t>
      </w:r>
      <w:r>
        <w:rPr>
          <w:rFonts w:eastAsia="微软雅黑" w:hint="eastAsia"/>
        </w:rPr>
        <w:t>ADSL</w:t>
      </w:r>
      <w:r>
        <w:rPr>
          <w:rFonts w:eastAsia="微软雅黑"/>
        </w:rPr>
        <w:t>-related drugs from GDSC drug sensitivity.</w:t>
      </w:r>
      <w:r>
        <w:rPr>
          <w:rFonts w:ascii="MS Gothic" w:eastAsia="MS Gothic" w:hAnsi="MS Gothic" w:cs="MS Gothic" w:hint="eastAsia"/>
        </w:rPr>
        <w:t xml:space="preserve"> ∗</w:t>
      </w:r>
      <w:r>
        <w:rPr>
          <w:rFonts w:eastAsia="宋体"/>
        </w:rPr>
        <w:t xml:space="preserve">,P&lt;0.05; </w:t>
      </w:r>
      <w:r>
        <w:rPr>
          <w:rFonts w:ascii="MS Gothic" w:eastAsia="MS Gothic" w:hAnsi="MS Gothic" w:cs="MS Gothic" w:hint="eastAsia"/>
        </w:rPr>
        <w:t>∗∗</w:t>
      </w:r>
      <w:r>
        <w:rPr>
          <w:rFonts w:eastAsia="宋体"/>
        </w:rPr>
        <w:t xml:space="preserve">, P&lt;0.01; </w:t>
      </w:r>
      <w:r>
        <w:rPr>
          <w:rFonts w:ascii="MS Gothic" w:eastAsia="MS Gothic" w:hAnsi="MS Gothic" w:cs="MS Gothic" w:hint="eastAsia"/>
        </w:rPr>
        <w:t>∗∗∗</w:t>
      </w:r>
      <w:r>
        <w:rPr>
          <w:rFonts w:eastAsia="宋体"/>
        </w:rPr>
        <w:t xml:space="preserve">, P&lt;0.001; </w:t>
      </w:r>
    </w:p>
    <w:sectPr w:rsidR="002433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E"/>
    <w:rsid w:val="00057BBD"/>
    <w:rsid w:val="000B5422"/>
    <w:rsid w:val="00141ECB"/>
    <w:rsid w:val="001B0108"/>
    <w:rsid w:val="00243308"/>
    <w:rsid w:val="00250DF5"/>
    <w:rsid w:val="002939FE"/>
    <w:rsid w:val="00313495"/>
    <w:rsid w:val="0038796C"/>
    <w:rsid w:val="004608F8"/>
    <w:rsid w:val="0051120F"/>
    <w:rsid w:val="00657045"/>
    <w:rsid w:val="006F2843"/>
    <w:rsid w:val="007C4C45"/>
    <w:rsid w:val="008842F0"/>
    <w:rsid w:val="008E1873"/>
    <w:rsid w:val="00BD4D16"/>
    <w:rsid w:val="00C873BB"/>
    <w:rsid w:val="00DD0CE4"/>
    <w:rsid w:val="00F074B0"/>
    <w:rsid w:val="00F4127B"/>
    <w:rsid w:val="00F533F2"/>
    <w:rsid w:val="00FB71B2"/>
    <w:rsid w:val="00FD7FC2"/>
    <w:rsid w:val="00FE5D4D"/>
    <w:rsid w:val="08594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27D6B9B"/>
  <w15:docId w15:val="{D19DDFF5-80A6-C040-8E78-037D3B28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after="0" w:line="240" w:lineRule="auto"/>
      <w:jc w:val="left"/>
    </w:pPr>
    <w:rPr>
      <w:sz w:val="18"/>
      <w:szCs w:val="18"/>
      <w14:ligatures w14:val="standardContextual"/>
    </w:rPr>
  </w:style>
  <w:style w:type="paragraph" w:styleId="a5">
    <w:name w:val="header"/>
    <w:basedOn w:val="a"/>
    <w:link w:val="a6"/>
    <w:uiPriority w:val="99"/>
    <w:unhideWhenUsed/>
    <w:qFormat/>
    <w:pPr>
      <w:tabs>
        <w:tab w:val="center" w:pos="4153"/>
        <w:tab w:val="right" w:pos="8306"/>
      </w:tabs>
      <w:snapToGrid w:val="0"/>
      <w:spacing w:after="0" w:line="240" w:lineRule="auto"/>
      <w:jc w:val="center"/>
    </w:pPr>
    <w:rPr>
      <w:sz w:val="18"/>
      <w:szCs w:val="18"/>
      <w14:ligatures w14:val="standardContextual"/>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customStyle="1" w:styleId="Z">
    <w:name w:val="Z.二级标题"/>
    <w:basedOn w:val="2"/>
    <w:link w:val="Z0"/>
    <w:qFormat/>
    <w:pPr>
      <w:spacing w:line="360" w:lineRule="auto"/>
    </w:pPr>
    <w:rPr>
      <w:rFonts w:ascii="Arial" w:eastAsia="Arial" w:hAnsi="Arial" w:cs="Arial"/>
      <w:bCs w:val="0"/>
      <w:sz w:val="24"/>
    </w:rPr>
  </w:style>
  <w:style w:type="character" w:customStyle="1" w:styleId="Z0">
    <w:name w:val="Z.二级标题 字符"/>
    <w:basedOn w:val="a0"/>
    <w:link w:val="Z"/>
    <w:rPr>
      <w:rFonts w:ascii="Arial" w:eastAsia="Arial" w:hAnsi="Arial" w:cs="Arial"/>
      <w:b/>
      <w:sz w:val="24"/>
      <w:szCs w:val="32"/>
      <w14:ligatures w14:val="none"/>
    </w:rPr>
  </w:style>
  <w:style w:type="paragraph" w:customStyle="1" w:styleId="Z1">
    <w:name w:val="Z.正文"/>
    <w:basedOn w:val="a"/>
    <w:link w:val="Z2"/>
    <w:qFormat/>
    <w:pPr>
      <w:spacing w:before="240" w:after="240"/>
      <w:ind w:firstLineChars="100" w:firstLine="240"/>
      <w:jc w:val="left"/>
    </w:pPr>
    <w:rPr>
      <w:rFonts w:ascii="Arial" w:eastAsia="Arial" w:hAnsi="Arial" w:cs="Arial"/>
      <w:sz w:val="24"/>
    </w:rPr>
  </w:style>
  <w:style w:type="character" w:customStyle="1" w:styleId="Z2">
    <w:name w:val="Z.正文 字符"/>
    <w:basedOn w:val="Z0"/>
    <w:link w:val="Z1"/>
    <w:qFormat/>
    <w:rPr>
      <w:rFonts w:ascii="Arial" w:eastAsia="Arial" w:hAnsi="Arial" w:cs="Arial"/>
      <w:b w:val="0"/>
      <w:sz w:val="24"/>
      <w:szCs w:val="24"/>
      <w14:ligatures w14:val="none"/>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14:ligatures w14:val="none"/>
    </w:rPr>
  </w:style>
  <w:style w:type="paragraph" w:customStyle="1" w:styleId="Z3">
    <w:name w:val="Z.一级标题"/>
    <w:basedOn w:val="1"/>
    <w:link w:val="Z4"/>
    <w:qFormat/>
    <w:rPr>
      <w:rFonts w:eastAsia="Arial"/>
      <w:caps/>
      <w:sz w:val="28"/>
    </w:rPr>
  </w:style>
  <w:style w:type="character" w:customStyle="1" w:styleId="Z4">
    <w:name w:val="Z.一级标题 字符"/>
    <w:basedOn w:val="10"/>
    <w:link w:val="Z3"/>
    <w:qFormat/>
    <w:rPr>
      <w:rFonts w:eastAsia="Arial"/>
      <w:b/>
      <w:bCs/>
      <w:caps/>
      <w:kern w:val="44"/>
      <w:sz w:val="28"/>
      <w:szCs w:val="44"/>
      <w14:ligatures w14:val="none"/>
    </w:rPr>
  </w:style>
  <w:style w:type="character" w:customStyle="1" w:styleId="10">
    <w:name w:val="标题 1 字符"/>
    <w:basedOn w:val="a0"/>
    <w:link w:val="1"/>
    <w:uiPriority w:val="9"/>
    <w:rPr>
      <w:b/>
      <w:bCs/>
      <w:kern w:val="44"/>
      <w:sz w:val="44"/>
      <w:szCs w:val="4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17</Pages>
  <Words>3102</Words>
  <Characters>17682</Characters>
  <Application>Microsoft Office Word</Application>
  <DocSecurity>0</DocSecurity>
  <Lines>147</Lines>
  <Paragraphs>41</Paragraphs>
  <ScaleCrop>false</ScaleCrop>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Chanton Zhu</dc:creator>
  <cp:lastModifiedBy>Microsoft Office User</cp:lastModifiedBy>
  <cp:revision>17</cp:revision>
  <dcterms:created xsi:type="dcterms:W3CDTF">2025-01-04T11:50:00Z</dcterms:created>
  <dcterms:modified xsi:type="dcterms:W3CDTF">2026-03-16T04:57:00Z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