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CE7" w14:textId="77777777" w:rsidR="00ED76C4" w:rsidRDefault="00ED76C4" w:rsidP="00ED76C4">
      <w:pPr>
        <w:rPr>
          <w:rFonts w:ascii="Times New Roman" w:eastAsia="Times New Roman" w:hAnsi="Times New Roman" w:cs="Times New Roman"/>
          <w:lang w:val="en-GB"/>
        </w:rPr>
      </w:pPr>
      <w:r w:rsidRPr="4FDF0B00">
        <w:rPr>
          <w:rFonts w:ascii="Times New Roman" w:eastAsia="Times New Roman" w:hAnsi="Times New Roman" w:cs="Times New Roman"/>
          <w:lang w:val="en-GB"/>
        </w:rPr>
        <w:t>Supplementary material</w:t>
      </w:r>
    </w:p>
    <w:p w14:paraId="769401E4" w14:textId="77777777" w:rsidR="00ED76C4" w:rsidRDefault="00ED76C4" w:rsidP="00ED76C4">
      <w:pPr>
        <w:rPr>
          <w:b/>
          <w:bCs/>
          <w:lang w:val="en-US"/>
        </w:rPr>
      </w:pPr>
    </w:p>
    <w:p w14:paraId="17BADE49" w14:textId="27D58226" w:rsidR="00ED76C4" w:rsidRPr="004B29BD" w:rsidRDefault="00ED76C4" w:rsidP="00ED76C4">
      <w:pPr>
        <w:rPr>
          <w:lang w:val="en-US"/>
        </w:rPr>
      </w:pPr>
      <w:r w:rsidRPr="4FDF0B00">
        <w:rPr>
          <w:rFonts w:ascii="Times New Roman" w:eastAsia="Times New Roman" w:hAnsi="Times New Roman" w:cs="Times New Roman"/>
          <w:lang w:val="en-GB"/>
        </w:rPr>
        <w:t>Supplementary</w:t>
      </w:r>
      <w:r w:rsidRPr="0330D6A2">
        <w:rPr>
          <w:b/>
          <w:bCs/>
          <w:lang w:val="en-US"/>
        </w:rPr>
        <w:t xml:space="preserve"> Table 1</w:t>
      </w:r>
      <w:r w:rsidR="007A6ECF">
        <w:rPr>
          <w:b/>
          <w:bCs/>
          <w:lang w:val="en-US"/>
        </w:rPr>
        <w:t xml:space="preserve">. </w:t>
      </w:r>
      <w:r w:rsidRPr="0330D6A2">
        <w:rPr>
          <w:lang w:val="en-US"/>
        </w:rPr>
        <w:t xml:space="preserve"> Characteristics of hedgero</w:t>
      </w:r>
      <w:r>
        <w:rPr>
          <w:lang w:val="en-US"/>
        </w:rPr>
        <w:t>w o</w:t>
      </w:r>
      <w:r w:rsidRPr="0330D6A2">
        <w:rPr>
          <w:lang w:val="en-US"/>
        </w:rPr>
        <w:t xml:space="preserve">f the sampled rows of paddocks. The height of Hazel, Aronia, and Sitka spruce were </w:t>
      </w:r>
      <w:r w:rsidR="007A6ECF" w:rsidRPr="0330D6A2">
        <w:rPr>
          <w:lang w:val="en-US"/>
        </w:rPr>
        <w:t>at</w:t>
      </w:r>
      <w:r w:rsidRPr="0330D6A2">
        <w:rPr>
          <w:lang w:val="en-US"/>
        </w:rPr>
        <w:t xml:space="preserve"> </w:t>
      </w:r>
      <w:r w:rsidR="00DF4391" w:rsidRPr="0330D6A2">
        <w:rPr>
          <w:lang w:val="en-US"/>
        </w:rPr>
        <w:t>around</w:t>
      </w:r>
      <w:r w:rsidRPr="0330D6A2">
        <w:rPr>
          <w:lang w:val="en-US"/>
        </w:rPr>
        <w:t xml:space="preserve"> 1.5 m, 1.0 m, and 1.75 m on average r</w:t>
      </w:r>
      <w:r>
        <w:rPr>
          <w:lang w:val="en-US"/>
        </w:rPr>
        <w:t>e</w:t>
      </w:r>
      <w:r w:rsidRPr="0330D6A2">
        <w:rPr>
          <w:lang w:val="en-US"/>
        </w:rPr>
        <w:t xml:space="preserve">spectively.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52"/>
        <w:gridCol w:w="392"/>
        <w:gridCol w:w="376"/>
        <w:gridCol w:w="1354"/>
        <w:gridCol w:w="695"/>
        <w:gridCol w:w="696"/>
        <w:gridCol w:w="352"/>
        <w:gridCol w:w="352"/>
        <w:gridCol w:w="376"/>
        <w:gridCol w:w="145"/>
        <w:gridCol w:w="352"/>
        <w:gridCol w:w="1218"/>
        <w:gridCol w:w="352"/>
        <w:gridCol w:w="352"/>
        <w:gridCol w:w="352"/>
        <w:gridCol w:w="352"/>
        <w:gridCol w:w="352"/>
      </w:tblGrid>
      <w:tr w:rsidR="00ED76C4" w:rsidRPr="000E6B23" w14:paraId="38C38FA1" w14:textId="77777777" w:rsidTr="00207341">
        <w:trPr>
          <w:trHeight w:val="2244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535C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Site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000DD2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Hedgerow no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C309D7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Length (m)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016EEC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Pigs access to trees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AD3E3E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Place in rotation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DDAB59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Grass cover june 2024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A751CD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Hedge age (Poplar trees)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9DFA29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Tree rows (Poplar)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36E6AA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Poplar height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DFF628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Oak (</w:t>
            </w:r>
            <w:r w:rsidRPr="000E6B2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Quercus robu</w:t>
            </w: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r)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40CFE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423436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Oak height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7DE1CD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Species in diverse row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F061E9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Hazel %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8CFFAD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Aronia %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DD7EE1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Mirabel %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FD5C13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Sitka spruce %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6626B8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Species richness (trees)</w:t>
            </w:r>
          </w:p>
        </w:tc>
      </w:tr>
      <w:tr w:rsidR="00ED76C4" w:rsidRPr="000E6B23" w14:paraId="24D83D17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E3E3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517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C99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04B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DBC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Spring barley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6D8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E1F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74F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CBB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72C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Yes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68F84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968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1E7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C2D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D01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38C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1C1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7AD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</w:t>
            </w:r>
          </w:p>
        </w:tc>
      </w:tr>
      <w:tr w:rsidR="00ED76C4" w:rsidRPr="000E6B23" w14:paraId="206C5669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C55CD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670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2AF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444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50C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5AA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Spring barley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7E4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39D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E07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116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133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27E9F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4D3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EED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3AC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65C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E87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6.7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427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233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</w:t>
            </w:r>
          </w:p>
        </w:tc>
      </w:tr>
      <w:tr w:rsidR="00ED76C4" w:rsidRPr="000E6B23" w14:paraId="33D86580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CFC9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437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E00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444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73E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7A8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Spring barley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42F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21F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074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D17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5FB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67E8B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618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595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8FD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0E8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790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0AE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7E4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</w:t>
            </w:r>
          </w:p>
        </w:tc>
      </w:tr>
      <w:tr w:rsidR="00ED76C4" w:rsidRPr="000E6B23" w14:paraId="7DD7C982" w14:textId="77777777" w:rsidTr="00207341">
        <w:trPr>
          <w:trHeight w:val="612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B512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37A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B96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506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F6B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ABC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Spring barley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68B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72D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0A3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48E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A1D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Yes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1239B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AB0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019F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Crataegus laevigata , Physocarpus opulifolius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A89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7C5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896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D05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BCB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</w:tr>
      <w:tr w:rsidR="00ED76C4" w:rsidRPr="000E6B23" w14:paraId="0D41E387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8021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4E3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D18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534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D6D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5D3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Sows with piglets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6E9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75-100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354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B4E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6F5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0E4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8CA7B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A0D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D90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024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B5E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5EE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806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45F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</w:tr>
      <w:tr w:rsidR="00ED76C4" w:rsidRPr="000E6B23" w14:paraId="5A1150DE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275A1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752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61C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598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7AC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93B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Sows with piglets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ADE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75-100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CD5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16F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AAF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DBB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8ADDC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C6B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FC4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E03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C50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F98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BBA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1EE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</w:tr>
      <w:tr w:rsidR="00ED76C4" w:rsidRPr="000E6B23" w14:paraId="3DFBBA2B" w14:textId="77777777" w:rsidTr="00207341">
        <w:trPr>
          <w:trHeight w:val="66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84364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3F0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BD8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598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349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45B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Sows with piglets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B5C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75-100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4D4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D9F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8B0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C71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Yes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989B5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C21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7B8D1" w14:textId="77777777" w:rsidR="00ED76C4" w:rsidRPr="004528CE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da-DK"/>
                <w14:ligatures w14:val="none"/>
              </w:rPr>
            </w:pPr>
            <w:r w:rsidRPr="004528CE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da-DK"/>
                <w14:ligatures w14:val="none"/>
              </w:rPr>
              <w:t>Crataegus laevigata, Ulmus glabra, Physocarpus opulifolius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DB2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4DF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050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A08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43B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6</w:t>
            </w:r>
          </w:p>
        </w:tc>
      </w:tr>
      <w:tr w:rsidR="00ED76C4" w:rsidRPr="000E6B23" w14:paraId="4D114924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D2AB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DC2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FC6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638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617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44A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Sows with piglets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A13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75-100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012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6CD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294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B43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1DF99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A69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60B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7FE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CEC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F97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360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BF7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</w:tr>
      <w:tr w:rsidR="00ED76C4" w:rsidRPr="000E6B23" w14:paraId="45B6BDDA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CF28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0CA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EAF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A59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FFE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Spring barley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1D9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914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60E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A2F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7D4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7F86D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0DF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A88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28A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4D9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698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10B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91F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</w:tr>
      <w:tr w:rsidR="00ED76C4" w:rsidRPr="000E6B23" w14:paraId="19190019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E2259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751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CFF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309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4A2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457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Spring barley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69F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BF0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5B2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479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8CE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47A91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082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CD8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B77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671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C32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B62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7BA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</w:tr>
      <w:tr w:rsidR="00ED76C4" w:rsidRPr="000E6B23" w14:paraId="5EC1DA01" w14:textId="77777777" w:rsidTr="00207341">
        <w:trPr>
          <w:trHeight w:val="112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5776D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813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F52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309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6D7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775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Spring barley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548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099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DF0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915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C45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Yes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B83B0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C11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86EF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  <w:t xml:space="preserve">Symphoricarpos albus,Crataegus laevigata, Malus sp, Acer campestre, </w:t>
            </w:r>
            <w:r w:rsidRPr="000E6B2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  <w:lastRenderedPageBreak/>
              <w:t>Prunus serotina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F0F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lastRenderedPageBreak/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4D1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FE1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A1A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A54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11</w:t>
            </w:r>
          </w:p>
        </w:tc>
      </w:tr>
      <w:tr w:rsidR="00ED76C4" w:rsidRPr="000E6B23" w14:paraId="55E45476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53533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C16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E75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5EB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DDE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Spring barley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136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358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5C9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1F0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AB1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22669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658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E98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C96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A3C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FE2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125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4F1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</w:tr>
      <w:tr w:rsidR="00ED76C4" w:rsidRPr="000E6B23" w14:paraId="629C1F18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91FAA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8CB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CE5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309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267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59E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Clover grass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A3C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A6E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490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6CA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17F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1DA91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B31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091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BCD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17A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97E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FC7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433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</w:tr>
      <w:tr w:rsidR="00ED76C4" w:rsidRPr="000E6B23" w14:paraId="4CB3CF29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1C991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7E1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1DF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234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258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B10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Clover grass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B65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A63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47B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6EF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40B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E5731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BAC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600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DBA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CA8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22C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A51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9F8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</w:tr>
      <w:tr w:rsidR="00ED76C4" w:rsidRPr="000E6B23" w14:paraId="2D18BB59" w14:textId="77777777" w:rsidTr="00207341">
        <w:trPr>
          <w:trHeight w:val="1176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33AF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879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26A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234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398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6CC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Sows with piglets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DB9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279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D5D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026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01E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Yes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E0EFA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63A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383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  <w:t>Symphoricarpos albus, Crataegus laevigata, Malus sp, Acer campestre, Prunus serotina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60F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BCC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76E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A73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589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11</w:t>
            </w:r>
          </w:p>
        </w:tc>
      </w:tr>
      <w:tr w:rsidR="00ED76C4" w:rsidRPr="000E6B23" w14:paraId="68FB5FFE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804CC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DA2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E8E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309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F01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6AC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Sows with piglets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79D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75-100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03A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C94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77D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652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A27F6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FB4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D19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DAD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029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239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D9B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A32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</w:tr>
      <w:tr w:rsidR="00ED76C4" w:rsidRPr="000E6B23" w14:paraId="002E52A9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E7608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D3D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DAA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4D4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2B4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Sows with piglets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75B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75-100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0AC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722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BBB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909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57EF1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C31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ED2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841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DDF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196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978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B29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</w:p>
        </w:tc>
      </w:tr>
      <w:tr w:rsidR="00ED76C4" w:rsidRPr="000E6B23" w14:paraId="7E58A23C" w14:textId="77777777" w:rsidTr="00207341">
        <w:trPr>
          <w:trHeight w:val="112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5C93B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1F4C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99E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0C7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1E7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B7E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Sows with piglets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D92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75-100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742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F01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2F6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008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Yes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7BFF1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6C8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F20B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  <w:t>Symphoricarpos albus, Crataegus laevigata, Malus sp, Acer campestre, Prunus serotina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72E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F0B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CD8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BCD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11A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11</w:t>
            </w:r>
          </w:p>
        </w:tc>
      </w:tr>
      <w:tr w:rsidR="00ED76C4" w:rsidRPr="000E6B23" w14:paraId="10D3C1DF" w14:textId="77777777" w:rsidTr="00207341">
        <w:trPr>
          <w:trHeight w:val="86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E530" w14:textId="77777777" w:rsidR="00ED76C4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2</w:t>
            </w:r>
          </w:p>
          <w:p w14:paraId="38E932FC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D18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012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07D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C3E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Spring barley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7E5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8808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45C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462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F76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FC47F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F7B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89DB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  <w:t>na</w:t>
            </w:r>
            <w:r w:rsidRPr="000E6B2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  <w:t xml:space="preserve"> 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447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274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C88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EFA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BDF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</w:tr>
      <w:tr w:rsidR="00ED76C4" w:rsidRPr="000E6B23" w14:paraId="45EBD3AF" w14:textId="77777777" w:rsidTr="00207341">
        <w:trPr>
          <w:trHeight w:val="82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14082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202B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936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41B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0AA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887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Spring barley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567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B1C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E38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CA7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1C9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4A385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EBA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B14D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  <w:t>na</w:t>
            </w:r>
            <w:r w:rsidRPr="000E6B2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fr-FR" w:eastAsia="da-DK"/>
                <w14:ligatures w14:val="none"/>
              </w:rPr>
              <w:t xml:space="preserve"> 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DFB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02A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FA6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995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4AF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4</w:t>
            </w:r>
          </w:p>
        </w:tc>
      </w:tr>
      <w:tr w:rsidR="00ED76C4" w:rsidRPr="000E6B23" w14:paraId="7B022573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4B027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202B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77E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811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DAE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5BF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Grass without pigs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8F7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25-50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958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 trees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53C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034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241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E5EC5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924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223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38B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F98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C412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CA3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AA1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</w:tr>
      <w:tr w:rsidR="00ED76C4" w:rsidRPr="000E6B23" w14:paraId="145AABC6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3A3D7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202B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3AB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162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E5A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31CD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Sows with piglets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624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75-100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4C8F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 trees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FE5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205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D5A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5D037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AD7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8B43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60A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F1C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51B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749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2EB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</w:tr>
      <w:tr w:rsidR="00ED76C4" w:rsidRPr="000E6B23" w14:paraId="5F215A56" w14:textId="77777777" w:rsidTr="00207341">
        <w:trPr>
          <w:trHeight w:val="288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C927C" w14:textId="77777777" w:rsidR="00ED76C4" w:rsidRPr="000E6B23" w:rsidRDefault="00ED76C4" w:rsidP="00177D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202B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Farm 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8AC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6F61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A9B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A447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Grass without pigs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069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100-125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B889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 trees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3124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15F5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36B6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AD4BC" w14:textId="77777777" w:rsidR="00ED76C4" w:rsidRDefault="00ED76C4" w:rsidP="00177D1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da-DK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0A70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31D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00EA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072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E79E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80EC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C67B" w14:textId="77777777" w:rsidR="00ED76C4" w:rsidRPr="000E6B23" w:rsidRDefault="00ED76C4" w:rsidP="00177D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E6B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0</w:t>
            </w:r>
          </w:p>
        </w:tc>
      </w:tr>
    </w:tbl>
    <w:p w14:paraId="1D93869C" w14:textId="77777777" w:rsidR="00ED76C4" w:rsidRPr="00241842" w:rsidRDefault="00ED76C4" w:rsidP="00ED76C4">
      <w:pPr>
        <w:rPr>
          <w:sz w:val="22"/>
          <w:lang w:val="en-US"/>
        </w:rPr>
      </w:pPr>
      <w:r w:rsidRPr="00241842">
        <w:rPr>
          <w:sz w:val="22"/>
          <w:lang w:val="en-US"/>
        </w:rPr>
        <w:t xml:space="preserve"> </w:t>
      </w:r>
    </w:p>
    <w:p w14:paraId="3F9FE1B1" w14:textId="77777777" w:rsidR="00ED76C4" w:rsidRPr="00214B1D" w:rsidRDefault="00ED76C4" w:rsidP="00ED76C4">
      <w:pPr>
        <w:shd w:val="clear" w:color="auto" w:fill="FFFFFF" w:themeFill="background1"/>
        <w:spacing w:after="0"/>
        <w:rPr>
          <w:lang w:val="en-US"/>
        </w:rPr>
      </w:pPr>
      <w:r w:rsidRPr="0F9E7312">
        <w:rPr>
          <w:rFonts w:ascii="Merriweather" w:eastAsia="Merriweather" w:hAnsi="Merriweather" w:cs="Merriweather"/>
          <w:color w:val="222222"/>
          <w:sz w:val="27"/>
          <w:szCs w:val="27"/>
          <w:lang w:val="en-US"/>
        </w:rPr>
        <w:t xml:space="preserve"> </w:t>
      </w:r>
    </w:p>
    <w:p w14:paraId="73A22707" w14:textId="77777777" w:rsidR="00ED76C4" w:rsidRDefault="00ED76C4" w:rsidP="00ED76C4">
      <w:pPr>
        <w:rPr>
          <w:rFonts w:ascii="Times New Roman" w:eastAsia="Times New Roman" w:hAnsi="Times New Roman" w:cs="Times New Roman"/>
          <w:lang w:val="en-GB"/>
        </w:rPr>
      </w:pPr>
    </w:p>
    <w:p w14:paraId="1DCB9BDC" w14:textId="77777777" w:rsidR="00ED76C4" w:rsidRDefault="00ED76C4" w:rsidP="00ED76C4">
      <w:pPr>
        <w:rPr>
          <w:rFonts w:ascii="Times New Roman" w:eastAsia="Times New Roman" w:hAnsi="Times New Roman" w:cs="Times New Roman"/>
          <w:lang w:val="en-GB"/>
        </w:rPr>
      </w:pPr>
    </w:p>
    <w:p w14:paraId="272707D0" w14:textId="77777777" w:rsidR="00ED76C4" w:rsidRDefault="00ED76C4" w:rsidP="00ED76C4">
      <w:r>
        <w:rPr>
          <w:noProof/>
        </w:rPr>
        <w:lastRenderedPageBreak/>
        <w:drawing>
          <wp:inline distT="0" distB="0" distL="0" distR="0" wp14:anchorId="1C60FAF5" wp14:editId="4F884625">
            <wp:extent cx="3514725" cy="5724525"/>
            <wp:effectExtent l="0" t="0" r="0" b="0"/>
            <wp:docPr id="1589904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0415" name="Picture 1589904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7594" w14:textId="77777777" w:rsidR="00ED76C4" w:rsidRDefault="00ED76C4" w:rsidP="00ED76C4">
      <w:pPr>
        <w:spacing w:before="240" w:after="240" w:line="360" w:lineRule="auto"/>
        <w:rPr>
          <w:rFonts w:ascii="Times New Roman" w:eastAsia="Times New Roman" w:hAnsi="Times New Roman" w:cs="Times New Roman"/>
          <w:lang w:val="en-US"/>
        </w:rPr>
      </w:pPr>
      <w:r w:rsidRPr="4FDF0B00">
        <w:rPr>
          <w:rFonts w:ascii="Times New Roman" w:eastAsia="Times New Roman" w:hAnsi="Times New Roman" w:cs="Times New Roman"/>
          <w:lang w:val="en-US"/>
        </w:rPr>
        <w:t>Supplementary</w:t>
      </w:r>
      <w:r w:rsidRPr="4FDF0B00">
        <w:rPr>
          <w:rFonts w:ascii="Times New Roman" w:eastAsia="Times New Roman" w:hAnsi="Times New Roman" w:cs="Times New Roman"/>
          <w:b/>
          <w:bCs/>
          <w:lang w:val="en-US"/>
        </w:rPr>
        <w:t xml:space="preserve"> Fig. 1:</w:t>
      </w:r>
      <w:r w:rsidRPr="4FDF0B00">
        <w:rPr>
          <w:rFonts w:ascii="Times New Roman" w:eastAsia="Times New Roman" w:hAnsi="Times New Roman" w:cs="Times New Roman"/>
          <w:lang w:val="en-US"/>
        </w:rPr>
        <w:t xml:space="preserve"> Rarefaction curves of the soil prokaryotic, fungal and invertebrate communities using ASV richness as a function of sequencing depth, showing that most samples approach an asymptote, indicating sufficient sequencing depth to capture most of the diversity.</w:t>
      </w:r>
    </w:p>
    <w:p w14:paraId="45A27F63" w14:textId="77777777" w:rsidR="00ED76C4" w:rsidRDefault="00ED76C4" w:rsidP="00ED76C4">
      <w:pPr>
        <w:rPr>
          <w:rFonts w:ascii="Times New Roman" w:eastAsia="Times New Roman" w:hAnsi="Times New Roman" w:cs="Times New Roman"/>
          <w:lang w:val="en-GB"/>
        </w:rPr>
      </w:pPr>
    </w:p>
    <w:p w14:paraId="05FDE3E4" w14:textId="77777777" w:rsidR="00ED76C4" w:rsidRDefault="00ED76C4" w:rsidP="00ED76C4">
      <w:pPr>
        <w:spacing w:before="240" w:after="24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noProof/>
        </w:rPr>
        <w:lastRenderedPageBreak/>
        <w:drawing>
          <wp:inline distT="0" distB="0" distL="0" distR="0" wp14:anchorId="39F7DBAC" wp14:editId="750AC331">
            <wp:extent cx="5315578" cy="2591455"/>
            <wp:effectExtent l="0" t="0" r="0" b="0"/>
            <wp:docPr id="11370113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11399" name="Picture 11370113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072" cy="259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FDF0B00">
        <w:rPr>
          <w:rFonts w:ascii="Times New Roman" w:eastAsia="Times New Roman" w:hAnsi="Times New Roman" w:cs="Times New Roman"/>
          <w:lang w:val="en-US"/>
        </w:rPr>
        <w:t>Supplementary</w:t>
      </w:r>
      <w:r w:rsidRPr="4FDF0B00">
        <w:rPr>
          <w:rFonts w:ascii="Times New Roman" w:eastAsia="Times New Roman" w:hAnsi="Times New Roman" w:cs="Times New Roman"/>
          <w:b/>
          <w:bCs/>
          <w:lang w:val="en-US"/>
        </w:rPr>
        <w:t xml:space="preserve"> Fig. 2:</w:t>
      </w:r>
      <w:r w:rsidRPr="4FDF0B00">
        <w:rPr>
          <w:rFonts w:ascii="Times New Roman" w:eastAsia="Times New Roman" w:hAnsi="Times New Roman" w:cs="Times New Roman"/>
          <w:lang w:val="en-US"/>
        </w:rPr>
        <w:t xml:space="preserve"> Principal coordinate analysis (PCoA) of the soil prokaryotic, fungal and invertebrate communities using Bray-Curtis dissimilarity matrix. Two locations are shown separately. Pig access to paddocks is represented by different shapes and age of trees with colors.</w:t>
      </w:r>
    </w:p>
    <w:p w14:paraId="781C5D05" w14:textId="3567A913" w:rsidR="00ED76C4" w:rsidRDefault="00ED6E0F" w:rsidP="00ED76C4">
      <w:pPr>
        <w:rPr>
          <w:rFonts w:ascii="Times New Roman" w:eastAsia="Times New Roman" w:hAnsi="Times New Roman" w:cs="Times New Roman"/>
          <w:lang w:val="en-US"/>
        </w:rPr>
      </w:pPr>
      <w:r w:rsidRPr="00ED6E0F">
        <w:rPr>
          <w:rFonts w:ascii="Times New Roman" w:eastAsia="Times New Roman" w:hAnsi="Times New Roman" w:cs="Times New Roman"/>
          <w:noProof/>
          <w:lang w:val="en-US"/>
        </w:rPr>
        <w:lastRenderedPageBreak/>
        <w:drawing>
          <wp:inline distT="0" distB="0" distL="0" distR="0" wp14:anchorId="4DF0638E" wp14:editId="7F921ECD">
            <wp:extent cx="2839500" cy="7556479"/>
            <wp:effectExtent l="0" t="0" r="0" b="6985"/>
            <wp:docPr id="5159724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481" cy="756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9B338" w14:textId="7F1F97DE" w:rsidR="0013698B" w:rsidRDefault="0013698B" w:rsidP="00ED76C4">
      <w:pPr>
        <w:rPr>
          <w:rFonts w:ascii="Times New Roman" w:eastAsia="Times New Roman" w:hAnsi="Times New Roman" w:cs="Times New Roman"/>
          <w:lang w:val="en-US"/>
        </w:rPr>
      </w:pPr>
      <w:r w:rsidRPr="4FDF0B00">
        <w:rPr>
          <w:rFonts w:ascii="Times New Roman" w:eastAsia="Times New Roman" w:hAnsi="Times New Roman" w:cs="Times New Roman"/>
          <w:lang w:val="en-US"/>
        </w:rPr>
        <w:t>Supplementary</w:t>
      </w:r>
      <w:r w:rsidRPr="4FDF0B00">
        <w:rPr>
          <w:rFonts w:ascii="Times New Roman" w:eastAsia="Times New Roman" w:hAnsi="Times New Roman" w:cs="Times New Roman"/>
          <w:b/>
          <w:bCs/>
          <w:lang w:val="en-US"/>
        </w:rPr>
        <w:t xml:space="preserve"> Fig. 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3. </w:t>
      </w:r>
      <w:r w:rsidRPr="0013698B">
        <w:rPr>
          <w:rFonts w:ascii="Times New Roman" w:eastAsia="Times New Roman" w:hAnsi="Times New Roman" w:cs="Times New Roman"/>
          <w:lang w:val="en-US"/>
        </w:rPr>
        <w:t xml:space="preserve">Differentially enriched bacterial genera associated with pig access, identified using DESeq2. Bars represent the log2 fold change in relative abundance between conditions, with </w:t>
      </w:r>
      <w:r w:rsidR="005B3698">
        <w:rPr>
          <w:rFonts w:ascii="Times New Roman" w:eastAsia="Times New Roman" w:hAnsi="Times New Roman" w:cs="Times New Roman"/>
          <w:lang w:val="en-US"/>
        </w:rPr>
        <w:t xml:space="preserve">positive </w:t>
      </w:r>
      <w:r w:rsidRPr="0013698B">
        <w:rPr>
          <w:rFonts w:ascii="Times New Roman" w:eastAsia="Times New Roman" w:hAnsi="Times New Roman" w:cs="Times New Roman"/>
          <w:lang w:val="en-US"/>
        </w:rPr>
        <w:t xml:space="preserve">values indicating enrichment in soils with pig access and negative values indicating enrichment in soils without pig access. </w:t>
      </w:r>
    </w:p>
    <w:p w14:paraId="60959A9A" w14:textId="77777777" w:rsidR="005C42C9" w:rsidRDefault="005C42C9" w:rsidP="00ED76C4">
      <w:pPr>
        <w:rPr>
          <w:rFonts w:ascii="Times New Roman" w:eastAsia="Times New Roman" w:hAnsi="Times New Roman" w:cs="Times New Roman"/>
          <w:lang w:val="en-US"/>
        </w:rPr>
      </w:pPr>
    </w:p>
    <w:p w14:paraId="373E0589" w14:textId="3380EAFE" w:rsidR="005C42C9" w:rsidRDefault="00A66B56" w:rsidP="00ED76C4">
      <w:pPr>
        <w:rPr>
          <w:rFonts w:ascii="Times New Roman" w:eastAsia="Times New Roman" w:hAnsi="Times New Roman" w:cs="Times New Roman"/>
          <w:lang w:val="en-US"/>
        </w:rPr>
      </w:pPr>
      <w:r w:rsidRPr="00A66B56">
        <w:rPr>
          <w:rFonts w:ascii="Times New Roman" w:eastAsia="Times New Roman" w:hAnsi="Times New Roman" w:cs="Times New Roman"/>
          <w:noProof/>
          <w:lang w:val="en-US"/>
        </w:rPr>
        <w:lastRenderedPageBreak/>
        <w:drawing>
          <wp:inline distT="0" distB="0" distL="0" distR="0" wp14:anchorId="2E002EC6" wp14:editId="1722F796">
            <wp:extent cx="3056255" cy="8863330"/>
            <wp:effectExtent l="0" t="0" r="0" b="0"/>
            <wp:docPr id="2382946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4DEF7" w14:textId="0659CDEC" w:rsidR="00A66B56" w:rsidRDefault="00A66B56" w:rsidP="00A66B56">
      <w:pPr>
        <w:rPr>
          <w:rFonts w:ascii="Times New Roman" w:eastAsia="Times New Roman" w:hAnsi="Times New Roman" w:cs="Times New Roman"/>
          <w:lang w:val="en-US"/>
        </w:rPr>
      </w:pPr>
      <w:r w:rsidRPr="4FDF0B00">
        <w:rPr>
          <w:rFonts w:ascii="Times New Roman" w:eastAsia="Times New Roman" w:hAnsi="Times New Roman" w:cs="Times New Roman"/>
          <w:lang w:val="en-US"/>
        </w:rPr>
        <w:lastRenderedPageBreak/>
        <w:t>Supplementary</w:t>
      </w:r>
      <w:r w:rsidRPr="4FDF0B00">
        <w:rPr>
          <w:rFonts w:ascii="Times New Roman" w:eastAsia="Times New Roman" w:hAnsi="Times New Roman" w:cs="Times New Roman"/>
          <w:b/>
          <w:bCs/>
          <w:lang w:val="en-US"/>
        </w:rPr>
        <w:t xml:space="preserve"> Fig. </w:t>
      </w:r>
      <w:r>
        <w:rPr>
          <w:rFonts w:ascii="Times New Roman" w:eastAsia="Times New Roman" w:hAnsi="Times New Roman" w:cs="Times New Roman"/>
          <w:b/>
          <w:bCs/>
          <w:lang w:val="en-US"/>
        </w:rPr>
        <w:t>4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. </w:t>
      </w:r>
      <w:r w:rsidRPr="0013698B">
        <w:rPr>
          <w:rFonts w:ascii="Times New Roman" w:eastAsia="Times New Roman" w:hAnsi="Times New Roman" w:cs="Times New Roman"/>
          <w:lang w:val="en-US"/>
        </w:rPr>
        <w:t xml:space="preserve">Differentially enriched bacterial genera associated with </w:t>
      </w:r>
      <w:r>
        <w:rPr>
          <w:rFonts w:ascii="Times New Roman" w:eastAsia="Times New Roman" w:hAnsi="Times New Roman" w:cs="Times New Roman"/>
          <w:lang w:val="en-US"/>
        </w:rPr>
        <w:t>hedgerow age</w:t>
      </w:r>
      <w:r w:rsidRPr="0013698B">
        <w:rPr>
          <w:rFonts w:ascii="Times New Roman" w:eastAsia="Times New Roman" w:hAnsi="Times New Roman" w:cs="Times New Roman"/>
          <w:lang w:val="en-US"/>
        </w:rPr>
        <w:t xml:space="preserve">, identified using DESeq2. Bars represent the log2 fold change in relative abundance between conditions, with </w:t>
      </w:r>
      <w:r>
        <w:rPr>
          <w:rFonts w:ascii="Times New Roman" w:eastAsia="Times New Roman" w:hAnsi="Times New Roman" w:cs="Times New Roman"/>
          <w:lang w:val="en-US"/>
        </w:rPr>
        <w:t xml:space="preserve">positive </w:t>
      </w:r>
      <w:r w:rsidRPr="0013698B">
        <w:rPr>
          <w:rFonts w:ascii="Times New Roman" w:eastAsia="Times New Roman" w:hAnsi="Times New Roman" w:cs="Times New Roman"/>
          <w:lang w:val="en-US"/>
        </w:rPr>
        <w:t xml:space="preserve">values indicating enrichment in soils with </w:t>
      </w:r>
      <w:r w:rsidR="00334D55">
        <w:rPr>
          <w:rFonts w:ascii="Times New Roman" w:eastAsia="Times New Roman" w:hAnsi="Times New Roman" w:cs="Times New Roman"/>
          <w:lang w:val="en-US"/>
        </w:rPr>
        <w:t>hedgerow age</w:t>
      </w:r>
      <w:r w:rsidR="00334D55" w:rsidRPr="0013698B">
        <w:rPr>
          <w:rFonts w:ascii="Times New Roman" w:eastAsia="Times New Roman" w:hAnsi="Times New Roman" w:cs="Times New Roman"/>
          <w:lang w:val="en-US"/>
        </w:rPr>
        <w:t xml:space="preserve"> </w:t>
      </w:r>
      <w:r w:rsidR="00BA43DB">
        <w:rPr>
          <w:rFonts w:ascii="Times New Roman" w:eastAsia="Times New Roman" w:hAnsi="Times New Roman" w:cs="Times New Roman"/>
          <w:lang w:val="en-US"/>
        </w:rPr>
        <w:t xml:space="preserve">of seven years </w:t>
      </w:r>
      <w:r w:rsidRPr="0013698B">
        <w:rPr>
          <w:rFonts w:ascii="Times New Roman" w:eastAsia="Times New Roman" w:hAnsi="Times New Roman" w:cs="Times New Roman"/>
          <w:lang w:val="en-US"/>
        </w:rPr>
        <w:t xml:space="preserve">and negative values indicating enrichment in soils without </w:t>
      </w:r>
      <w:r w:rsidR="00BA43DB">
        <w:rPr>
          <w:rFonts w:ascii="Times New Roman" w:eastAsia="Times New Roman" w:hAnsi="Times New Roman" w:cs="Times New Roman"/>
          <w:lang w:val="en-US"/>
        </w:rPr>
        <w:t>hedgerow age</w:t>
      </w:r>
      <w:r w:rsidR="00BA43DB">
        <w:rPr>
          <w:rFonts w:ascii="Times New Roman" w:eastAsia="Times New Roman" w:hAnsi="Times New Roman" w:cs="Times New Roman"/>
          <w:lang w:val="en-US"/>
        </w:rPr>
        <w:t xml:space="preserve"> of three years</w:t>
      </w:r>
      <w:r w:rsidRPr="0013698B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354BEC03" w14:textId="77777777" w:rsidR="00A66B56" w:rsidRPr="0013698B" w:rsidRDefault="00A66B56" w:rsidP="00ED76C4">
      <w:pPr>
        <w:rPr>
          <w:rFonts w:ascii="Times New Roman" w:eastAsia="Times New Roman" w:hAnsi="Times New Roman" w:cs="Times New Roman"/>
          <w:lang w:val="en-US"/>
        </w:rPr>
      </w:pPr>
    </w:p>
    <w:p w14:paraId="732975AF" w14:textId="77777777" w:rsidR="00ED76C4" w:rsidRPr="007B6CB3" w:rsidRDefault="00ED76C4" w:rsidP="00ED76C4">
      <w:pPr>
        <w:rPr>
          <w:rFonts w:ascii="Times New Roman" w:eastAsia="Times New Roman" w:hAnsi="Times New Roman" w:cs="Times New Roman"/>
          <w:lang w:val="en-US"/>
        </w:rPr>
      </w:pPr>
    </w:p>
    <w:p w14:paraId="1894B7EF" w14:textId="77777777" w:rsidR="00ED76C4" w:rsidRPr="007B6CB3" w:rsidRDefault="00ED76C4" w:rsidP="00ED76C4">
      <w:pPr>
        <w:rPr>
          <w:rFonts w:ascii="Times New Roman" w:eastAsia="Times New Roman" w:hAnsi="Times New Roman" w:cs="Times New Roman"/>
          <w:lang w:val="en-US"/>
        </w:rPr>
      </w:pPr>
    </w:p>
    <w:p w14:paraId="49E08700" w14:textId="77777777" w:rsidR="009D199A" w:rsidRPr="00ED76C4" w:rsidRDefault="009D199A">
      <w:pPr>
        <w:rPr>
          <w:lang w:val="en-US"/>
        </w:rPr>
      </w:pPr>
    </w:p>
    <w:sectPr w:rsidR="009D199A" w:rsidRPr="00ED76C4" w:rsidSect="00ED76C4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ED"/>
    <w:rsid w:val="0013698B"/>
    <w:rsid w:val="00207341"/>
    <w:rsid w:val="00225FCF"/>
    <w:rsid w:val="00334D55"/>
    <w:rsid w:val="005B3698"/>
    <w:rsid w:val="005C42C9"/>
    <w:rsid w:val="007A6ECF"/>
    <w:rsid w:val="008E72F3"/>
    <w:rsid w:val="009D199A"/>
    <w:rsid w:val="00A66B56"/>
    <w:rsid w:val="00A757ED"/>
    <w:rsid w:val="00B621A6"/>
    <w:rsid w:val="00BA43DB"/>
    <w:rsid w:val="00C15E36"/>
    <w:rsid w:val="00DF4391"/>
    <w:rsid w:val="00ED6E0F"/>
    <w:rsid w:val="00E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4EDC"/>
  <w15:chartTrackingRefBased/>
  <w15:docId w15:val="{C4A5069A-10E4-42E0-A7F5-631A2B9F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56"/>
    <w:pPr>
      <w:spacing w:line="278" w:lineRule="auto"/>
    </w:pPr>
    <w:rPr>
      <w:kern w:val="2"/>
      <w:sz w:val="24"/>
      <w:szCs w:val="24"/>
      <w:lang w:val="da-DK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7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36"/>
      <w:lang w:val="en-US" w:bidi="ne-N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7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29"/>
      <w:lang w:val="en-US" w:bidi="ne-N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7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0"/>
      <w:sz w:val="28"/>
      <w:szCs w:val="25"/>
      <w:lang w:val="en-US" w:bidi="ne-NP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7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0"/>
      <w:sz w:val="22"/>
      <w:szCs w:val="20"/>
      <w:lang w:val="en-US" w:bidi="ne-NP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7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0"/>
      <w:sz w:val="22"/>
      <w:szCs w:val="20"/>
      <w:lang w:val="en-US" w:bidi="ne-NP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7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0"/>
      <w:lang w:val="en-US" w:bidi="ne-NP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7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0"/>
      <w:lang w:val="en-US" w:bidi="ne-NP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7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0"/>
      <w:lang w:val="en-US" w:bidi="ne-NP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7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0"/>
      <w:lang w:val="en-US" w:bidi="ne-NP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7ED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7ED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7ED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7E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7E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US" w:bidi="ne-N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757E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7E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5"/>
      <w:lang w:val="en-US" w:bidi="ne-NP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757E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757ED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0"/>
      <w:lang w:val="en-US" w:bidi="ne-NP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75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7ED"/>
    <w:pPr>
      <w:spacing w:line="259" w:lineRule="auto"/>
      <w:ind w:left="720"/>
      <w:contextualSpacing/>
    </w:pPr>
    <w:rPr>
      <w:kern w:val="0"/>
      <w:sz w:val="22"/>
      <w:szCs w:val="20"/>
      <w:lang w:val="en-US" w:bidi="ne-NP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757E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7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0"/>
      <w:sz w:val="22"/>
      <w:szCs w:val="20"/>
      <w:lang w:val="en-US" w:bidi="ne-NP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7E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7ED"/>
    <w:rPr>
      <w:b/>
      <w:bCs/>
      <w:smallCaps/>
      <w:color w:val="2E74B5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ED7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520</Words>
  <Characters>3176</Characters>
  <Application>Microsoft Office Word</Application>
  <DocSecurity>0</DocSecurity>
  <Lines>26</Lines>
  <Paragraphs>7</Paragraphs>
  <ScaleCrop>false</ScaleCrop>
  <Company>Aarhus University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Rumakanta Sapkota</dc:creator>
  <cp:keywords/>
  <dc:description/>
  <cp:lastModifiedBy>Rumakanta Sapkota</cp:lastModifiedBy>
  <cp:revision>15</cp:revision>
  <dcterms:created xsi:type="dcterms:W3CDTF">2026-04-20T07:52:00Z</dcterms:created>
  <dcterms:modified xsi:type="dcterms:W3CDTF">2026-04-20T12:45:00Z</dcterms:modified>
</cp:coreProperties>
</file>