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C62B1" w14:textId="77777777" w:rsidR="002C3E97" w:rsidRPr="00FB4FA8" w:rsidRDefault="002C3E97" w:rsidP="002C3E97">
      <w:pPr>
        <w:jc w:val="both"/>
        <w:rPr>
          <w:rFonts w:ascii="Calibri" w:hAnsi="Calibri" w:cs="Calibri"/>
          <w:b/>
          <w:bCs/>
          <w:lang w:val="en-US"/>
        </w:rPr>
      </w:pPr>
      <w:r w:rsidRPr="00FB4FA8">
        <w:rPr>
          <w:rFonts w:ascii="Calibri" w:hAnsi="Calibri" w:cs="Calibri"/>
          <w:b/>
          <w:bCs/>
          <w:lang w:val="en-US"/>
        </w:rPr>
        <w:t>SUPPLEMENTAL MATERIAL</w:t>
      </w:r>
    </w:p>
    <w:p w14:paraId="5D62FEEF" w14:textId="77777777" w:rsidR="002C3E97" w:rsidRPr="00FB4FA8" w:rsidRDefault="002C3E97" w:rsidP="002C3E97">
      <w:pPr>
        <w:jc w:val="both"/>
        <w:rPr>
          <w:rFonts w:ascii="Calibri" w:hAnsi="Calibri" w:cs="Calibri"/>
          <w:lang w:val="en-US"/>
        </w:rPr>
      </w:pPr>
    </w:p>
    <w:p w14:paraId="39DB0EDC" w14:textId="77777777" w:rsidR="002C3E97" w:rsidRPr="00FB4FA8" w:rsidRDefault="002C3E97" w:rsidP="002C3E97">
      <w:pPr>
        <w:jc w:val="both"/>
        <w:rPr>
          <w:rFonts w:ascii="Calibri" w:hAnsi="Calibri" w:cs="Calibri"/>
          <w:b/>
          <w:bCs/>
          <w:lang w:val="en-US"/>
        </w:rPr>
      </w:pPr>
      <w:r w:rsidRPr="00FB4FA8">
        <w:rPr>
          <w:rFonts w:ascii="Calibri" w:hAnsi="Calibri" w:cs="Calibri"/>
          <w:b/>
          <w:bCs/>
          <w:lang w:val="en-US"/>
        </w:rPr>
        <w:t>Table S1. Operational definitions and measurement protocol for FoCUS assessment</w:t>
      </w:r>
    </w:p>
    <w:p w14:paraId="23D5E750" w14:textId="77777777" w:rsidR="002C3E97" w:rsidRPr="00FB4FA8" w:rsidRDefault="002C3E97" w:rsidP="002C3E97">
      <w:pPr>
        <w:rPr>
          <w:rFonts w:ascii="Calibri" w:hAnsi="Calibri" w:cs="Calibri"/>
          <w:b/>
          <w:bCs/>
          <w:lang w:val="en-US"/>
        </w:rPr>
      </w:pPr>
    </w:p>
    <w:p w14:paraId="6017B649" w14:textId="77777777" w:rsidR="002C3E97" w:rsidRPr="00FB4FA8" w:rsidRDefault="002C3E97" w:rsidP="002C3E97">
      <w:pPr>
        <w:pStyle w:val="Prrafodelista"/>
        <w:numPr>
          <w:ilvl w:val="0"/>
          <w:numId w:val="1"/>
        </w:numPr>
        <w:jc w:val="both"/>
        <w:rPr>
          <w:rFonts w:ascii="Calibri" w:hAnsi="Calibri" w:cs="Calibri"/>
          <w:lang w:val="en-US"/>
        </w:rPr>
      </w:pPr>
      <w:r w:rsidRPr="00FB4FA8">
        <w:rPr>
          <w:rFonts w:ascii="Calibri" w:eastAsiaTheme="majorEastAsia" w:hAnsi="Calibri" w:cs="Calibri"/>
          <w:b/>
          <w:bCs/>
          <w:lang w:val="en-US"/>
        </w:rPr>
        <w:t>Acoustic window quality</w:t>
      </w:r>
      <w:r w:rsidRPr="00FB4FA8">
        <w:rPr>
          <w:rFonts w:ascii="Calibri" w:hAnsi="Calibri" w:cs="Calibri"/>
          <w:b/>
          <w:bCs/>
          <w:lang w:val="en-US"/>
        </w:rPr>
        <w:t xml:space="preserve">: </w:t>
      </w:r>
      <w:r w:rsidRPr="00FB4FA8">
        <w:rPr>
          <w:rFonts w:ascii="Calibri" w:eastAsiaTheme="majorEastAsia" w:hAnsi="Calibri" w:cs="Calibri"/>
          <w:lang w:val="en-US"/>
        </w:rPr>
        <w:t>was subjectively rated by the operator as good, suboptimal, or poor.</w:t>
      </w:r>
    </w:p>
    <w:p w14:paraId="08B900A4" w14:textId="77777777" w:rsidR="002C3E97" w:rsidRPr="00FB4FA8" w:rsidRDefault="002C3E97" w:rsidP="002C3E97">
      <w:pPr>
        <w:jc w:val="both"/>
        <w:rPr>
          <w:rFonts w:ascii="Calibri" w:hAnsi="Calibri" w:cs="Calibri"/>
          <w:lang w:val="en-US"/>
        </w:rPr>
      </w:pPr>
    </w:p>
    <w:p w14:paraId="3C5A3931" w14:textId="77777777" w:rsidR="002C3E97" w:rsidRPr="00FB4FA8" w:rsidRDefault="002C3E97" w:rsidP="002C3E97">
      <w:pPr>
        <w:pStyle w:val="Prrafodelista"/>
        <w:numPr>
          <w:ilvl w:val="0"/>
          <w:numId w:val="1"/>
        </w:numPr>
        <w:jc w:val="both"/>
        <w:rPr>
          <w:rFonts w:ascii="Calibri" w:hAnsi="Calibri" w:cs="Calibri"/>
          <w:lang w:val="en-US"/>
        </w:rPr>
      </w:pPr>
      <w:r w:rsidRPr="00FB4FA8">
        <w:rPr>
          <w:rFonts w:ascii="Calibri" w:hAnsi="Calibri" w:cs="Calibri"/>
          <w:b/>
          <w:bCs/>
          <w:lang w:val="en-US"/>
        </w:rPr>
        <w:t>Qualitative assessment of LV systolic function:</w:t>
      </w:r>
      <w:r w:rsidRPr="00FB4FA8">
        <w:rPr>
          <w:rFonts w:ascii="Calibri" w:hAnsi="Calibri" w:cs="Calibri"/>
          <w:lang w:val="en-US"/>
        </w:rPr>
        <w:t xml:space="preserve"> visual estimation of overall LV ejection fraction (LVEF) was performed both dichotomously (normal vs. impaired systolic function) and ordinally, using three categories: normal (&gt;50%), mild-to-moderately reduced (35–50%), and severely reduced (&lt;35%).</w:t>
      </w:r>
    </w:p>
    <w:p w14:paraId="6C50EDAE" w14:textId="77777777" w:rsidR="002C3E97" w:rsidRPr="00FB4FA8" w:rsidRDefault="002C3E97" w:rsidP="002C3E97">
      <w:pPr>
        <w:rPr>
          <w:rFonts w:ascii="Calibri" w:hAnsi="Calibri" w:cs="Calibri"/>
          <w:lang w:val="en-US"/>
        </w:rPr>
      </w:pPr>
    </w:p>
    <w:p w14:paraId="77BB2717" w14:textId="77777777" w:rsidR="002C3E97" w:rsidRPr="00FB4FA8" w:rsidRDefault="002C3E97" w:rsidP="002C3E97">
      <w:pPr>
        <w:pStyle w:val="Prrafodelista"/>
        <w:numPr>
          <w:ilvl w:val="0"/>
          <w:numId w:val="1"/>
        </w:numPr>
        <w:jc w:val="both"/>
        <w:rPr>
          <w:rFonts w:ascii="Calibri" w:hAnsi="Calibri" w:cs="Calibri"/>
          <w:lang w:val="en-US"/>
        </w:rPr>
      </w:pPr>
      <w:r w:rsidRPr="00FB4FA8">
        <w:rPr>
          <w:rFonts w:ascii="Calibri" w:hAnsi="Calibri" w:cs="Calibri"/>
          <w:b/>
          <w:bCs/>
          <w:lang w:val="en-US"/>
        </w:rPr>
        <w:t>Heart-chamber dimensions and aortic measurements:</w:t>
      </w:r>
      <w:r w:rsidRPr="00FB4FA8">
        <w:rPr>
          <w:rFonts w:ascii="Calibri" w:hAnsi="Calibri" w:cs="Calibri"/>
          <w:lang w:val="en-US"/>
        </w:rPr>
        <w:t xml:space="preserve"> LV size assessed using the LV end-diastolic diameter (LVEDD) in the parasternal long-axis view; left atrial (LA) volume index (LAVI) obtained from apical four- and two-chamber views; aortic root and ascending aorta dimensions measured in the parasternal long-axis view. LA enlargement (LAE) was defined as a LAVI &gt;34 mL/m². </w:t>
      </w:r>
    </w:p>
    <w:p w14:paraId="61D7995C" w14:textId="77777777" w:rsidR="002C3E97" w:rsidRPr="00FB4FA8" w:rsidRDefault="002C3E97" w:rsidP="002C3E97">
      <w:pPr>
        <w:pStyle w:val="Prrafodelista"/>
        <w:rPr>
          <w:rFonts w:ascii="Calibri" w:hAnsi="Calibri" w:cs="Calibri"/>
          <w:lang w:val="en-US"/>
        </w:rPr>
      </w:pPr>
    </w:p>
    <w:p w14:paraId="27234FF1" w14:textId="77777777" w:rsidR="002C3E97" w:rsidRPr="00FB4FA8" w:rsidRDefault="002C3E97" w:rsidP="002C3E97">
      <w:pPr>
        <w:pStyle w:val="Prrafodelista"/>
        <w:numPr>
          <w:ilvl w:val="0"/>
          <w:numId w:val="1"/>
        </w:numPr>
        <w:jc w:val="both"/>
        <w:rPr>
          <w:rFonts w:ascii="Calibri" w:hAnsi="Calibri" w:cs="Calibri"/>
          <w:lang w:val="en-US"/>
        </w:rPr>
      </w:pPr>
      <w:r w:rsidRPr="00FB4FA8">
        <w:rPr>
          <w:rFonts w:ascii="Calibri" w:hAnsi="Calibri" w:cs="Calibri"/>
          <w:b/>
          <w:bCs/>
          <w:lang w:val="en-US"/>
        </w:rPr>
        <w:t>Distinguishing LV contraction patterns:</w:t>
      </w:r>
      <w:r w:rsidRPr="00FB4FA8">
        <w:rPr>
          <w:rFonts w:ascii="Calibri" w:hAnsi="Calibri" w:cs="Calibri"/>
          <w:lang w:val="en-US"/>
        </w:rPr>
        <w:t xml:space="preserve"> evaluation of regional wall motion abnormalities (segmental hypokinesia, akinesia or dyskinesia) and identification of aneurysmal regions. </w:t>
      </w:r>
    </w:p>
    <w:p w14:paraId="10BE8B26" w14:textId="77777777" w:rsidR="002C3E97" w:rsidRPr="00FB4FA8" w:rsidRDefault="002C3E97" w:rsidP="002C3E97">
      <w:pPr>
        <w:pStyle w:val="Prrafodelista"/>
        <w:rPr>
          <w:rFonts w:ascii="Calibri" w:hAnsi="Calibri" w:cs="Calibri"/>
          <w:lang w:val="en-US"/>
        </w:rPr>
      </w:pPr>
    </w:p>
    <w:p w14:paraId="78ECE5ED" w14:textId="77777777" w:rsidR="002C3E97" w:rsidRPr="00FB4FA8" w:rsidRDefault="002C3E97" w:rsidP="002C3E97">
      <w:pPr>
        <w:pStyle w:val="Prrafodelista"/>
        <w:numPr>
          <w:ilvl w:val="0"/>
          <w:numId w:val="1"/>
        </w:numPr>
        <w:jc w:val="both"/>
        <w:rPr>
          <w:rFonts w:ascii="Calibri" w:hAnsi="Calibri" w:cs="Calibri"/>
          <w:lang w:val="en-US"/>
        </w:rPr>
      </w:pPr>
      <w:r w:rsidRPr="00FB4FA8">
        <w:rPr>
          <w:rFonts w:ascii="Calibri" w:hAnsi="Calibri" w:cs="Calibri"/>
          <w:b/>
          <w:bCs/>
          <w:lang w:val="en-US"/>
        </w:rPr>
        <w:t>Detection of significant mitral or aortic valve abnormalities:</w:t>
      </w:r>
      <w:r w:rsidRPr="00FB4FA8">
        <w:rPr>
          <w:rFonts w:ascii="Calibri" w:hAnsi="Calibri" w:cs="Calibri"/>
          <w:lang w:val="en-US"/>
        </w:rPr>
        <w:t xml:space="preserve"> evaluation of valve morphology and function, including reduced valve opening with color Doppler aliasing suggestive of stenosis, presence of regurgitation on color Doppler suggestive of insufficiency, and signs of degenerative disease such as annular calcification or leaflet thickening.</w:t>
      </w:r>
    </w:p>
    <w:p w14:paraId="333DACFC" w14:textId="77777777" w:rsidR="002C3E97" w:rsidRPr="00FB4FA8" w:rsidRDefault="002C3E97" w:rsidP="002C3E97">
      <w:pPr>
        <w:jc w:val="both"/>
        <w:rPr>
          <w:rFonts w:ascii="Calibri" w:hAnsi="Calibri" w:cs="Calibri"/>
          <w:lang w:val="en-US"/>
        </w:rPr>
      </w:pPr>
    </w:p>
    <w:p w14:paraId="60220AFF" w14:textId="77777777" w:rsidR="002C3E97" w:rsidRPr="00FB4FA8" w:rsidRDefault="002C3E97" w:rsidP="002C3E97">
      <w:pPr>
        <w:pStyle w:val="Prrafodelista"/>
        <w:numPr>
          <w:ilvl w:val="0"/>
          <w:numId w:val="1"/>
        </w:numPr>
        <w:jc w:val="both"/>
        <w:rPr>
          <w:rFonts w:ascii="Calibri" w:hAnsi="Calibri" w:cs="Calibri"/>
          <w:lang w:val="en-US"/>
        </w:rPr>
      </w:pPr>
      <w:r w:rsidRPr="00FB4FA8">
        <w:rPr>
          <w:rFonts w:ascii="Calibri" w:hAnsi="Calibri" w:cs="Calibri"/>
          <w:b/>
          <w:bCs/>
          <w:lang w:val="en-US"/>
        </w:rPr>
        <w:t>Large intracardiac masses and aortic plaques:</w:t>
      </w:r>
      <w:r w:rsidRPr="00FB4FA8">
        <w:rPr>
          <w:rFonts w:ascii="Calibri" w:hAnsi="Calibri" w:cs="Calibri"/>
          <w:lang w:val="en-US"/>
        </w:rPr>
        <w:t xml:space="preserve"> identification of intracardiac thrombi, other cardiac masses, and visualization of AA (defined as  ≥ 4 mm aortic arch plaques). AA was systematically evaluated by neurologists as part of the FoCUS protocol, but cardiology assessment was only performed in patients undergoing transesophageal echocardiography; therefore, this variable was excluded from agreement analyses.</w:t>
      </w:r>
    </w:p>
    <w:p w14:paraId="150CD578" w14:textId="77777777" w:rsidR="002C3E97" w:rsidRPr="00FB4FA8" w:rsidRDefault="002C3E97" w:rsidP="002C3E97">
      <w:pPr>
        <w:jc w:val="both"/>
        <w:rPr>
          <w:rFonts w:ascii="Calibri" w:hAnsi="Calibri" w:cs="Calibri"/>
          <w:lang w:val="en-US"/>
        </w:rPr>
      </w:pPr>
    </w:p>
    <w:p w14:paraId="28662799" w14:textId="77777777" w:rsidR="002C3E97" w:rsidRPr="00FB4FA8" w:rsidRDefault="002C3E97" w:rsidP="002C3E97">
      <w:pPr>
        <w:pStyle w:val="Prrafodelista"/>
        <w:numPr>
          <w:ilvl w:val="0"/>
          <w:numId w:val="1"/>
        </w:numPr>
        <w:jc w:val="both"/>
        <w:rPr>
          <w:rFonts w:ascii="Calibri" w:hAnsi="Calibri" w:cs="Calibri"/>
          <w:lang w:val="en-US"/>
        </w:rPr>
      </w:pPr>
      <w:r w:rsidRPr="00FB4FA8">
        <w:rPr>
          <w:rFonts w:ascii="Calibri" w:hAnsi="Calibri" w:cs="Calibri"/>
          <w:b/>
          <w:bCs/>
          <w:lang w:val="en-US"/>
        </w:rPr>
        <w:t xml:space="preserve">Intracardiac shunt: </w:t>
      </w:r>
      <w:r w:rsidRPr="00FB4FA8">
        <w:rPr>
          <w:rFonts w:ascii="Calibri" w:hAnsi="Calibri" w:cs="Calibri"/>
          <w:lang w:val="en-US"/>
        </w:rPr>
        <w:t xml:space="preserve">assessment of interatrial septum (IS) anatomy and associated high-risk features such as atrial septal aneurysm (ASA), defined as &gt;10 mm septum protrusion. Detection of PFO was not performed using FoCUS because of its limited sensitivity compared with transcranial Doppler (TCD) and the logistic requirement of a second operator for bubble studies </w:t>
      </w:r>
      <w:r w:rsidRPr="00FB4FA8">
        <w:rPr>
          <w:rFonts w:ascii="Calibri" w:hAnsi="Calibri" w:cs="Calibri"/>
          <w:lang w:val="en-US"/>
        </w:rPr>
        <w:fldChar w:fldCharType="begin"/>
      </w:r>
      <w:r>
        <w:rPr>
          <w:rFonts w:ascii="Calibri" w:hAnsi="Calibri" w:cs="Calibri"/>
          <w:lang w:val="en-US"/>
        </w:rPr>
        <w:instrText xml:space="preserve"> ADDIN ZOTERO_ITEM CSL_CITATION {"citationID":"zy0Q6nf4","properties":{"formattedCitation":"[14]","plainCitation":"[14]","noteIndex":0},"citationItems":[{"id":2235,"uris":["http://zotero.org/users/13679262/items/NUSSEHXE"],"itemData":{"id":2235,"type":"article-journal","abstract":"Objective\n              Patent foramen ovale (PFO) can be detected in up to 43% of patients with cryptogenic cerebral ischemia undergoing investigation with transesophageal echocardiography (TEE). The diagnostic value of transthoracic echocardiography (TTE) in the detection of PFO in patients with cryptogenic ischemic stroke or transient ischemic attack has not been compared with that of transcranial Doppler (TCD) using a comprehensive meta‐analytical approach.\n            \n            \n              Methods\n              We performed a systematic literature review to identify all prospective observational studies of patients with cryptogenic cerebral ischemia that provided both sensitivity and specificity measures of TTE, TCD, or both compared to the gold standard of TEE.\n            \n            \n              Results\n              \n                Our literature search identified 35 eligible studies including 3,067 patients. The pooled sensitivity and specificity for TCD was 96.1% (95% confidence interval [CI] = 93.0–97.8%) and 92.4% (95% CI = 85.5–96.1%), whereas the respective measures for TTE were 45.1% (95% CI = 30.8–60.3%) and 99.6% (95% CI = 96.5–99.9%). TTE was superior in terms of higher positive likelihood ratio values (LR+ = 106.61, 95% CI = 15.09–753.30 for TTE vs LR+ = 12.62, 95% CI = 6.52–24.43 for TCD;\n                p\n                = 0.043), whereas TCD demonstrated lower negative likelihood values (LR− = 0.04, 95% CI = 0.02–0.08) compared to TTE (LR− = 0.55, 95% CI = 0.42–0.72;\n                p\n                &lt; 0.001). Finally, the area under the summary receiver operating curve (AUC) was significantly greater (\n                p\n                &lt; 0.001) in TCD (AUC = 0.98, 95% CI = 0.97–0.99) compared to TTE studies (AUC = 0.86, 95% CI = 0.82–0.89).\n              \n            \n            \n              Interpretation\n              TCD is more sensitive but less specific compared to TTE for the detection of PFO in patients with cryptogenic cerebral ischemia. The overall diagnostic yield of TCD appears to outweigh that of TTE. Ann Neurol 2016;79:625–635","container-title":"Annals of Neurology","DOI":"10.1002/ana.24609","ISSN":"0364-5134, 1531-8249","issue":"4","journalAbbreviation":"Annals of Neurology","language":"en","license":"http://onlinelibrary.wiley.com/termsAndConditions#vor","page":"625-635","source":"DOI.org (Crossref)","title":"Transcranial Doppler versus transthoracic echocardiography for the detection of patent foramen ovale in patients with cryptogenic cerebral ischemia: A systematic review and diagnostic test accuracy meta‐analysis","title-short":"Transcranial Doppler versus transthoracic echocardiography for the detection of patent foramen ovale in patients with cryptogenic cerebral ischemia","volume":"79","author":[{"family":"Katsanos","given":"Aristeidis H."},{"family":"Psaltopoulou","given":"Theodora"},{"family":"Sergentanis","given":"Theodoros N."},{"family":"Frogoudaki","given":"Alexandra"},{"family":"Vrettou","given":"Agathi‐Rosa"},{"family":"Ikonomidis","given":"Ignatios"},{"family":"Paraskevaidis","given":"Ioannis"},{"family":"Parissis","given":"John"},{"family":"Bogiatzi","given":"Chrysa"},{"family":"Zompola","given":"Christina"},{"family":"Ellul","given":"John"},{"family":"Triantafyllou","given":"Nikolaos"},{"family":"Voumvourakis","given":"Konstantinos"},{"family":"Kyritsis","given":"Athanassios P."},{"family":"Giannopoulos","given":"Sotirios"},{"family":"Alexandrov","given":"Anne W."},{"family":"Alexandrov","given":"Andrei V."},{"family":"Tsivgoulis","given":"Georgios"}],"issued":{"date-parts":[["2016",4]]}}}],"schema":"https://github.com/citation-style-language/schema/raw/master/csl-citation.json"} </w:instrText>
      </w:r>
      <w:r w:rsidRPr="00FB4FA8">
        <w:rPr>
          <w:rFonts w:ascii="Calibri" w:hAnsi="Calibri" w:cs="Calibri"/>
          <w:lang w:val="en-US"/>
        </w:rPr>
        <w:fldChar w:fldCharType="separate"/>
      </w:r>
      <w:r>
        <w:rPr>
          <w:rFonts w:ascii="Calibri" w:hAnsi="Calibri" w:cs="Calibri"/>
          <w:lang w:val="en-US"/>
        </w:rPr>
        <w:t>[14]</w:t>
      </w:r>
      <w:r w:rsidRPr="00FB4FA8">
        <w:rPr>
          <w:rFonts w:ascii="Calibri" w:hAnsi="Calibri" w:cs="Calibri"/>
          <w:lang w:val="en-US"/>
        </w:rPr>
        <w:fldChar w:fldCharType="end"/>
      </w:r>
      <w:r w:rsidRPr="00FB4FA8">
        <w:rPr>
          <w:rFonts w:ascii="Calibri" w:hAnsi="Calibri" w:cs="Calibri"/>
          <w:lang w:val="en-US"/>
        </w:rPr>
        <w:t>. As a result, PFO-related variables were not included in the concordance evaluation.</w:t>
      </w:r>
    </w:p>
    <w:p w14:paraId="7209EB9A" w14:textId="77777777" w:rsidR="002C3E97" w:rsidRPr="00FB4FA8" w:rsidRDefault="002C3E97" w:rsidP="002C3E97">
      <w:pPr>
        <w:rPr>
          <w:rFonts w:ascii="Calibri" w:hAnsi="Calibri" w:cs="Calibri"/>
          <w:b/>
          <w:bCs/>
          <w:lang w:val="en-US"/>
        </w:rPr>
      </w:pPr>
      <w:r w:rsidRPr="00FB4FA8">
        <w:rPr>
          <w:rFonts w:ascii="Calibri" w:hAnsi="Calibri" w:cs="Calibri"/>
          <w:b/>
          <w:bCs/>
          <w:lang w:val="en-US"/>
        </w:rPr>
        <w:br w:type="page"/>
      </w:r>
    </w:p>
    <w:p w14:paraId="01A056AE" w14:textId="77777777" w:rsidR="002C3E97" w:rsidRPr="00FB4FA8" w:rsidRDefault="002C3E97" w:rsidP="002C3E97">
      <w:pPr>
        <w:rPr>
          <w:rFonts w:ascii="Calibri" w:hAnsi="Calibri" w:cs="Calibri"/>
          <w:b/>
          <w:bCs/>
          <w:lang w:val="en-US"/>
        </w:rPr>
      </w:pPr>
    </w:p>
    <w:p w14:paraId="7F29FBB1" w14:textId="77777777" w:rsidR="002C3E97" w:rsidRPr="00FB4FA8" w:rsidRDefault="002C3E97" w:rsidP="002C3E97">
      <w:pPr>
        <w:rPr>
          <w:rFonts w:ascii="Calibri" w:hAnsi="Calibri" w:cs="Calibri"/>
          <w:b/>
          <w:bCs/>
          <w:lang w:val="en-US"/>
        </w:rPr>
      </w:pPr>
      <w:r w:rsidRPr="00FB4FA8">
        <w:rPr>
          <w:rFonts w:ascii="Calibri" w:hAnsi="Calibri" w:cs="Calibri"/>
          <w:b/>
          <w:bCs/>
          <w:lang w:val="en-US"/>
        </w:rPr>
        <w:t>Table S2. Cardioembolic Sources</w:t>
      </w:r>
    </w:p>
    <w:p w14:paraId="08A9B522" w14:textId="77777777" w:rsidR="002C3E97" w:rsidRPr="00FB4FA8" w:rsidRDefault="002C3E97" w:rsidP="002C3E97">
      <w:pPr>
        <w:jc w:val="both"/>
        <w:rPr>
          <w:rFonts w:ascii="Calibri" w:hAnsi="Calibri" w:cs="Calibri"/>
          <w:lang w:val="en-US"/>
        </w:rPr>
      </w:pPr>
    </w:p>
    <w:tbl>
      <w:tblPr>
        <w:tblStyle w:val="Tablaconcuadrcula"/>
        <w:tblW w:w="0" w:type="auto"/>
        <w:tblLook w:val="04A0" w:firstRow="1" w:lastRow="0" w:firstColumn="1" w:lastColumn="0" w:noHBand="0" w:noVBand="1"/>
      </w:tblPr>
      <w:tblGrid>
        <w:gridCol w:w="4247"/>
        <w:gridCol w:w="4247"/>
      </w:tblGrid>
      <w:tr w:rsidR="002C3E97" w:rsidRPr="00FB4FA8" w14:paraId="38ADE6CA" w14:textId="77777777" w:rsidTr="00603957">
        <w:tc>
          <w:tcPr>
            <w:tcW w:w="8494" w:type="dxa"/>
            <w:gridSpan w:val="2"/>
          </w:tcPr>
          <w:p w14:paraId="719693B8" w14:textId="77777777" w:rsidR="002C3E97" w:rsidRPr="00FB4FA8" w:rsidRDefault="002C3E97" w:rsidP="00603957">
            <w:pPr>
              <w:jc w:val="both"/>
              <w:rPr>
                <w:rFonts w:ascii="Calibri" w:hAnsi="Calibri" w:cs="Calibri"/>
                <w:b/>
                <w:bCs/>
                <w:sz w:val="22"/>
                <w:szCs w:val="22"/>
                <w:lang w:val="en-US"/>
              </w:rPr>
            </w:pPr>
            <w:r w:rsidRPr="00FB4FA8">
              <w:rPr>
                <w:rFonts w:ascii="Calibri" w:hAnsi="Calibri" w:cs="Calibri"/>
                <w:b/>
                <w:bCs/>
                <w:sz w:val="22"/>
                <w:szCs w:val="22"/>
                <w:lang w:val="en-US"/>
              </w:rPr>
              <w:t>Cardioembolic Sources</w:t>
            </w:r>
          </w:p>
        </w:tc>
      </w:tr>
      <w:tr w:rsidR="002C3E97" w:rsidRPr="00FB4FA8" w14:paraId="3533F9BA" w14:textId="77777777" w:rsidTr="00603957">
        <w:tc>
          <w:tcPr>
            <w:tcW w:w="4247" w:type="dxa"/>
          </w:tcPr>
          <w:p w14:paraId="027BB146" w14:textId="77777777" w:rsidR="002C3E97" w:rsidRPr="00FB4FA8" w:rsidRDefault="002C3E97" w:rsidP="00603957">
            <w:pPr>
              <w:jc w:val="both"/>
              <w:rPr>
                <w:rFonts w:ascii="Calibri" w:hAnsi="Calibri" w:cs="Calibri"/>
                <w:sz w:val="22"/>
                <w:szCs w:val="22"/>
                <w:lang w:val="en-US"/>
              </w:rPr>
            </w:pPr>
            <w:r w:rsidRPr="00FB4FA8">
              <w:rPr>
                <w:rFonts w:ascii="Calibri" w:hAnsi="Calibri" w:cs="Calibri"/>
                <w:b/>
                <w:bCs/>
                <w:sz w:val="22"/>
                <w:szCs w:val="22"/>
                <w:lang w:val="en-US"/>
              </w:rPr>
              <w:t>High-risk cardiac sources</w:t>
            </w:r>
          </w:p>
        </w:tc>
        <w:tc>
          <w:tcPr>
            <w:tcW w:w="4247" w:type="dxa"/>
          </w:tcPr>
          <w:p w14:paraId="5E4C6E65" w14:textId="77777777" w:rsidR="002C3E97" w:rsidRPr="00FB4FA8" w:rsidRDefault="002C3E97" w:rsidP="00603957">
            <w:pPr>
              <w:jc w:val="both"/>
              <w:rPr>
                <w:rFonts w:ascii="Calibri" w:hAnsi="Calibri" w:cs="Calibri"/>
                <w:sz w:val="22"/>
                <w:szCs w:val="22"/>
                <w:lang w:val="en-US"/>
              </w:rPr>
            </w:pPr>
            <w:r w:rsidRPr="00FB4FA8">
              <w:rPr>
                <w:rFonts w:ascii="Calibri" w:hAnsi="Calibri" w:cs="Calibri"/>
                <w:b/>
                <w:bCs/>
                <w:sz w:val="22"/>
                <w:szCs w:val="22"/>
                <w:lang w:val="en-US"/>
              </w:rPr>
              <w:t>Low-risk cardiac sources</w:t>
            </w:r>
          </w:p>
        </w:tc>
      </w:tr>
      <w:tr w:rsidR="002C3E97" w:rsidRPr="00FE435D" w14:paraId="16CE09C8" w14:textId="77777777" w:rsidTr="00603957">
        <w:tc>
          <w:tcPr>
            <w:tcW w:w="4247" w:type="dxa"/>
            <w:vAlign w:val="center"/>
          </w:tcPr>
          <w:p w14:paraId="260027AB" w14:textId="77777777" w:rsidR="002C3E97" w:rsidRPr="00FB4FA8" w:rsidRDefault="002C3E97" w:rsidP="002C3E97">
            <w:pPr>
              <w:pStyle w:val="Prrafodelista"/>
              <w:numPr>
                <w:ilvl w:val="0"/>
                <w:numId w:val="2"/>
              </w:numPr>
              <w:ind w:left="165" w:hanging="165"/>
              <w:jc w:val="both"/>
              <w:rPr>
                <w:rFonts w:ascii="Calibri" w:hAnsi="Calibri" w:cs="Calibri"/>
                <w:sz w:val="22"/>
                <w:szCs w:val="22"/>
                <w:lang w:val="en-US"/>
              </w:rPr>
            </w:pPr>
            <w:r w:rsidRPr="00FB4FA8">
              <w:rPr>
                <w:rFonts w:ascii="Calibri" w:hAnsi="Calibri" w:cs="Calibri"/>
                <w:sz w:val="22"/>
                <w:szCs w:val="22"/>
                <w:lang w:val="en-US"/>
              </w:rPr>
              <w:t>Mechanical prosthetic heart valve</w:t>
            </w:r>
          </w:p>
          <w:p w14:paraId="6EFE8F74" w14:textId="77777777" w:rsidR="002C3E97" w:rsidRPr="00FB4FA8" w:rsidRDefault="002C3E97" w:rsidP="002C3E97">
            <w:pPr>
              <w:pStyle w:val="Prrafodelista"/>
              <w:numPr>
                <w:ilvl w:val="0"/>
                <w:numId w:val="2"/>
              </w:numPr>
              <w:ind w:left="165" w:hanging="165"/>
              <w:jc w:val="both"/>
              <w:rPr>
                <w:rFonts w:ascii="Calibri" w:hAnsi="Calibri" w:cs="Calibri"/>
                <w:sz w:val="22"/>
                <w:szCs w:val="22"/>
                <w:lang w:val="en-US"/>
              </w:rPr>
            </w:pPr>
            <w:r w:rsidRPr="00FB4FA8">
              <w:rPr>
                <w:rFonts w:ascii="Calibri" w:hAnsi="Calibri" w:cs="Calibri"/>
                <w:sz w:val="22"/>
                <w:szCs w:val="22"/>
                <w:lang w:val="en-US"/>
              </w:rPr>
              <w:t>Rheumatic mitral or aortic valve disease</w:t>
            </w:r>
          </w:p>
          <w:p w14:paraId="36D24828" w14:textId="77777777" w:rsidR="002C3E97" w:rsidRPr="00FB4FA8" w:rsidRDefault="002C3E97" w:rsidP="002C3E97">
            <w:pPr>
              <w:pStyle w:val="Prrafodelista"/>
              <w:numPr>
                <w:ilvl w:val="0"/>
                <w:numId w:val="2"/>
              </w:numPr>
              <w:ind w:left="165" w:hanging="165"/>
              <w:jc w:val="both"/>
              <w:rPr>
                <w:rFonts w:ascii="Calibri" w:hAnsi="Calibri" w:cs="Calibri"/>
                <w:sz w:val="22"/>
                <w:szCs w:val="22"/>
                <w:lang w:val="en-US"/>
              </w:rPr>
            </w:pPr>
            <w:r w:rsidRPr="00FB4FA8">
              <w:rPr>
                <w:rFonts w:ascii="Calibri" w:hAnsi="Calibri" w:cs="Calibri"/>
                <w:sz w:val="22"/>
                <w:szCs w:val="22"/>
                <w:lang w:val="en-US"/>
              </w:rPr>
              <w:t>Severe mitral stenosis</w:t>
            </w:r>
          </w:p>
          <w:p w14:paraId="3C26F97A" w14:textId="77777777" w:rsidR="002C3E97" w:rsidRPr="00FB4FA8" w:rsidRDefault="002C3E97" w:rsidP="002C3E97">
            <w:pPr>
              <w:pStyle w:val="Prrafodelista"/>
              <w:numPr>
                <w:ilvl w:val="0"/>
                <w:numId w:val="2"/>
              </w:numPr>
              <w:ind w:left="165" w:hanging="165"/>
              <w:jc w:val="both"/>
              <w:rPr>
                <w:rFonts w:ascii="Calibri" w:hAnsi="Calibri" w:cs="Calibri"/>
                <w:sz w:val="22"/>
                <w:szCs w:val="22"/>
                <w:lang w:val="en-US"/>
              </w:rPr>
            </w:pPr>
            <w:r w:rsidRPr="00FB4FA8">
              <w:rPr>
                <w:rFonts w:ascii="Calibri" w:hAnsi="Calibri" w:cs="Calibri"/>
                <w:sz w:val="22"/>
                <w:szCs w:val="22"/>
                <w:lang w:val="en-US"/>
              </w:rPr>
              <w:t>Permanent, persistent or paroxysmal atrial fibrillation</w:t>
            </w:r>
          </w:p>
          <w:p w14:paraId="3E3D9A15" w14:textId="77777777" w:rsidR="002C3E97" w:rsidRPr="00FB4FA8" w:rsidRDefault="002C3E97" w:rsidP="002C3E97">
            <w:pPr>
              <w:pStyle w:val="Prrafodelista"/>
              <w:numPr>
                <w:ilvl w:val="0"/>
                <w:numId w:val="2"/>
              </w:numPr>
              <w:ind w:left="165" w:hanging="165"/>
              <w:jc w:val="both"/>
              <w:rPr>
                <w:rFonts w:ascii="Calibri" w:hAnsi="Calibri" w:cs="Calibri"/>
                <w:sz w:val="22"/>
                <w:szCs w:val="22"/>
                <w:lang w:val="en-US"/>
              </w:rPr>
            </w:pPr>
            <w:r w:rsidRPr="00FB4FA8">
              <w:rPr>
                <w:rFonts w:ascii="Calibri" w:hAnsi="Calibri" w:cs="Calibri"/>
                <w:sz w:val="22"/>
                <w:szCs w:val="22"/>
                <w:lang w:val="en-US"/>
              </w:rPr>
              <w:t>Atrial flutter</w:t>
            </w:r>
          </w:p>
          <w:p w14:paraId="5C4CEC85" w14:textId="77777777" w:rsidR="002C3E97" w:rsidRPr="00FB4FA8" w:rsidRDefault="002C3E97" w:rsidP="002C3E97">
            <w:pPr>
              <w:pStyle w:val="Prrafodelista"/>
              <w:numPr>
                <w:ilvl w:val="0"/>
                <w:numId w:val="2"/>
              </w:numPr>
              <w:ind w:left="165" w:hanging="165"/>
              <w:jc w:val="both"/>
              <w:rPr>
                <w:rFonts w:ascii="Calibri" w:hAnsi="Calibri" w:cs="Calibri"/>
                <w:sz w:val="22"/>
                <w:szCs w:val="22"/>
                <w:lang w:val="en-US"/>
              </w:rPr>
            </w:pPr>
            <w:r w:rsidRPr="00FB4FA8">
              <w:rPr>
                <w:rFonts w:ascii="Calibri" w:hAnsi="Calibri" w:cs="Calibri"/>
                <w:sz w:val="22"/>
                <w:szCs w:val="22"/>
                <w:lang w:val="en-US"/>
              </w:rPr>
              <w:t>Thrombus in the left atrium or left atrial appendage</w:t>
            </w:r>
          </w:p>
          <w:p w14:paraId="0E1AA2CE" w14:textId="77777777" w:rsidR="002C3E97" w:rsidRPr="00FB4FA8" w:rsidRDefault="002C3E97" w:rsidP="002C3E97">
            <w:pPr>
              <w:pStyle w:val="Prrafodelista"/>
              <w:numPr>
                <w:ilvl w:val="0"/>
                <w:numId w:val="2"/>
              </w:numPr>
              <w:ind w:left="165" w:hanging="165"/>
              <w:jc w:val="both"/>
              <w:rPr>
                <w:rFonts w:ascii="Calibri" w:hAnsi="Calibri" w:cs="Calibri"/>
                <w:sz w:val="22"/>
                <w:szCs w:val="22"/>
                <w:lang w:val="en-US"/>
              </w:rPr>
            </w:pPr>
            <w:r w:rsidRPr="00FB4FA8">
              <w:rPr>
                <w:rFonts w:ascii="Calibri" w:hAnsi="Calibri" w:cs="Calibri"/>
                <w:sz w:val="22"/>
                <w:szCs w:val="22"/>
                <w:lang w:val="en-US"/>
              </w:rPr>
              <w:t>Left ventricular thrombus</w:t>
            </w:r>
          </w:p>
          <w:p w14:paraId="2EE46F4F" w14:textId="77777777" w:rsidR="002C3E97" w:rsidRPr="00FB4FA8" w:rsidRDefault="002C3E97" w:rsidP="002C3E97">
            <w:pPr>
              <w:pStyle w:val="Prrafodelista"/>
              <w:numPr>
                <w:ilvl w:val="0"/>
                <w:numId w:val="2"/>
              </w:numPr>
              <w:ind w:left="165" w:hanging="165"/>
              <w:jc w:val="both"/>
              <w:rPr>
                <w:rFonts w:ascii="Calibri" w:hAnsi="Calibri" w:cs="Calibri"/>
                <w:sz w:val="22"/>
                <w:szCs w:val="22"/>
                <w:lang w:val="en-US"/>
              </w:rPr>
            </w:pPr>
            <w:r w:rsidRPr="00FB4FA8">
              <w:rPr>
                <w:rFonts w:ascii="Calibri" w:hAnsi="Calibri" w:cs="Calibri"/>
                <w:sz w:val="22"/>
                <w:szCs w:val="22"/>
                <w:lang w:val="en-US"/>
              </w:rPr>
              <w:t>Recent myocardial infarction (&lt;4 weeks)</w:t>
            </w:r>
          </w:p>
          <w:p w14:paraId="0C8F0591" w14:textId="77777777" w:rsidR="002C3E97" w:rsidRPr="00FB4FA8" w:rsidRDefault="002C3E97" w:rsidP="002C3E97">
            <w:pPr>
              <w:pStyle w:val="Prrafodelista"/>
              <w:numPr>
                <w:ilvl w:val="0"/>
                <w:numId w:val="2"/>
              </w:numPr>
              <w:ind w:left="165" w:hanging="165"/>
              <w:jc w:val="both"/>
              <w:rPr>
                <w:rFonts w:ascii="Calibri" w:hAnsi="Calibri" w:cs="Calibri"/>
                <w:sz w:val="22"/>
                <w:szCs w:val="22"/>
                <w:lang w:val="en-US"/>
              </w:rPr>
            </w:pPr>
            <w:r w:rsidRPr="00FB4FA8">
              <w:rPr>
                <w:rFonts w:ascii="Calibri" w:hAnsi="Calibri" w:cs="Calibri"/>
                <w:sz w:val="22"/>
                <w:szCs w:val="22"/>
                <w:lang w:val="en-US"/>
              </w:rPr>
              <w:t>Dilated cardiomyopathy with LVEF &lt;30%</w:t>
            </w:r>
          </w:p>
          <w:p w14:paraId="65D53350" w14:textId="77777777" w:rsidR="002C3E97" w:rsidRPr="00FB4FA8" w:rsidRDefault="002C3E97" w:rsidP="002C3E97">
            <w:pPr>
              <w:pStyle w:val="Prrafodelista"/>
              <w:numPr>
                <w:ilvl w:val="0"/>
                <w:numId w:val="2"/>
              </w:numPr>
              <w:ind w:left="165" w:hanging="165"/>
              <w:jc w:val="both"/>
              <w:rPr>
                <w:rFonts w:ascii="Calibri" w:hAnsi="Calibri" w:cs="Calibri"/>
                <w:sz w:val="22"/>
                <w:szCs w:val="22"/>
                <w:lang w:val="en-US"/>
              </w:rPr>
            </w:pPr>
            <w:r w:rsidRPr="00FB4FA8">
              <w:rPr>
                <w:rFonts w:ascii="Calibri" w:hAnsi="Calibri" w:cs="Calibri"/>
                <w:sz w:val="22"/>
                <w:szCs w:val="22"/>
                <w:lang w:val="en-US"/>
              </w:rPr>
              <w:t>Segmental wall motion abnormality of the left ventricle</w:t>
            </w:r>
          </w:p>
          <w:p w14:paraId="3F1E6146" w14:textId="77777777" w:rsidR="002C3E97" w:rsidRPr="00FB4FA8" w:rsidRDefault="002C3E97" w:rsidP="002C3E97">
            <w:pPr>
              <w:pStyle w:val="Prrafodelista"/>
              <w:numPr>
                <w:ilvl w:val="0"/>
                <w:numId w:val="2"/>
              </w:numPr>
              <w:ind w:left="165" w:hanging="165"/>
              <w:jc w:val="both"/>
              <w:rPr>
                <w:rFonts w:ascii="Calibri" w:hAnsi="Calibri" w:cs="Calibri"/>
                <w:sz w:val="22"/>
                <w:szCs w:val="22"/>
                <w:lang w:val="en-US"/>
              </w:rPr>
            </w:pPr>
            <w:r w:rsidRPr="00FB4FA8">
              <w:rPr>
                <w:rFonts w:ascii="Calibri" w:hAnsi="Calibri" w:cs="Calibri"/>
                <w:sz w:val="22"/>
                <w:szCs w:val="22"/>
                <w:lang w:val="en-US"/>
              </w:rPr>
              <w:t>Atrial myxoma or other cardiac tumors</w:t>
            </w:r>
          </w:p>
          <w:p w14:paraId="0B8692C6" w14:textId="77777777" w:rsidR="002C3E97" w:rsidRPr="00FB4FA8" w:rsidRDefault="002C3E97" w:rsidP="002C3E97">
            <w:pPr>
              <w:pStyle w:val="Prrafodelista"/>
              <w:numPr>
                <w:ilvl w:val="0"/>
                <w:numId w:val="2"/>
              </w:numPr>
              <w:ind w:left="165" w:hanging="165"/>
              <w:jc w:val="both"/>
              <w:rPr>
                <w:rFonts w:ascii="Calibri" w:hAnsi="Calibri" w:cs="Calibri"/>
                <w:sz w:val="22"/>
                <w:szCs w:val="22"/>
                <w:lang w:val="en-US"/>
              </w:rPr>
            </w:pPr>
            <w:r w:rsidRPr="00FB4FA8">
              <w:rPr>
                <w:rFonts w:ascii="Calibri" w:hAnsi="Calibri" w:cs="Calibri"/>
                <w:sz w:val="22"/>
                <w:szCs w:val="22"/>
                <w:lang w:val="en-US"/>
              </w:rPr>
              <w:t>Infective endocarditis</w:t>
            </w:r>
          </w:p>
        </w:tc>
        <w:tc>
          <w:tcPr>
            <w:tcW w:w="4247" w:type="dxa"/>
            <w:vAlign w:val="center"/>
          </w:tcPr>
          <w:p w14:paraId="44B96F53" w14:textId="77777777" w:rsidR="002C3E97" w:rsidRPr="00FB4FA8" w:rsidRDefault="002C3E97" w:rsidP="002C3E97">
            <w:pPr>
              <w:pStyle w:val="Prrafodelista"/>
              <w:numPr>
                <w:ilvl w:val="0"/>
                <w:numId w:val="3"/>
              </w:numPr>
              <w:ind w:left="314" w:hanging="283"/>
              <w:jc w:val="both"/>
              <w:rPr>
                <w:rFonts w:ascii="Calibri" w:hAnsi="Calibri" w:cs="Calibri"/>
                <w:sz w:val="22"/>
                <w:szCs w:val="22"/>
                <w:lang w:val="en-US"/>
              </w:rPr>
            </w:pPr>
            <w:r w:rsidRPr="00FB4FA8">
              <w:rPr>
                <w:rFonts w:ascii="Calibri" w:hAnsi="Calibri" w:cs="Calibri"/>
                <w:sz w:val="22"/>
                <w:szCs w:val="22"/>
                <w:lang w:val="en-US"/>
              </w:rPr>
              <w:t>Mitral annular calcification</w:t>
            </w:r>
          </w:p>
          <w:p w14:paraId="18F0A23D" w14:textId="77777777" w:rsidR="002C3E97" w:rsidRPr="00FB4FA8" w:rsidRDefault="002C3E97" w:rsidP="002C3E97">
            <w:pPr>
              <w:pStyle w:val="Prrafodelista"/>
              <w:numPr>
                <w:ilvl w:val="0"/>
                <w:numId w:val="3"/>
              </w:numPr>
              <w:ind w:left="314" w:hanging="283"/>
              <w:jc w:val="both"/>
              <w:rPr>
                <w:rFonts w:ascii="Calibri" w:hAnsi="Calibri" w:cs="Calibri"/>
                <w:sz w:val="22"/>
                <w:szCs w:val="22"/>
                <w:lang w:val="en-US"/>
              </w:rPr>
            </w:pPr>
            <w:r w:rsidRPr="00FB4FA8">
              <w:rPr>
                <w:rFonts w:ascii="Calibri" w:hAnsi="Calibri" w:cs="Calibri"/>
                <w:sz w:val="22"/>
                <w:szCs w:val="22"/>
                <w:lang w:val="en-US"/>
              </w:rPr>
              <w:t>Mitral valve prolapse</w:t>
            </w:r>
          </w:p>
          <w:p w14:paraId="628CC4E4" w14:textId="77777777" w:rsidR="002C3E97" w:rsidRPr="00FB4FA8" w:rsidRDefault="002C3E97" w:rsidP="002C3E97">
            <w:pPr>
              <w:pStyle w:val="Prrafodelista"/>
              <w:numPr>
                <w:ilvl w:val="0"/>
                <w:numId w:val="3"/>
              </w:numPr>
              <w:ind w:left="314" w:hanging="283"/>
              <w:jc w:val="both"/>
              <w:rPr>
                <w:rFonts w:ascii="Calibri" w:hAnsi="Calibri" w:cs="Calibri"/>
                <w:sz w:val="22"/>
                <w:szCs w:val="22"/>
                <w:lang w:val="en-US"/>
              </w:rPr>
            </w:pPr>
            <w:r w:rsidRPr="00FB4FA8">
              <w:rPr>
                <w:rFonts w:ascii="Calibri" w:hAnsi="Calibri" w:cs="Calibri"/>
                <w:sz w:val="22"/>
                <w:szCs w:val="22"/>
                <w:lang w:val="en-US"/>
              </w:rPr>
              <w:t>Calcified aortic stenosis</w:t>
            </w:r>
          </w:p>
          <w:p w14:paraId="4D6A4AA6" w14:textId="77777777" w:rsidR="002C3E97" w:rsidRPr="00FB4FA8" w:rsidRDefault="002C3E97" w:rsidP="002C3E97">
            <w:pPr>
              <w:pStyle w:val="Prrafodelista"/>
              <w:numPr>
                <w:ilvl w:val="0"/>
                <w:numId w:val="3"/>
              </w:numPr>
              <w:ind w:left="314" w:hanging="283"/>
              <w:jc w:val="both"/>
              <w:rPr>
                <w:rFonts w:ascii="Calibri" w:hAnsi="Calibri" w:cs="Calibri"/>
                <w:sz w:val="22"/>
                <w:szCs w:val="22"/>
                <w:lang w:val="en-US"/>
              </w:rPr>
            </w:pPr>
            <w:r w:rsidRPr="00FB4FA8">
              <w:rPr>
                <w:rFonts w:ascii="Calibri" w:hAnsi="Calibri" w:cs="Calibri"/>
                <w:sz w:val="22"/>
                <w:szCs w:val="22"/>
                <w:lang w:val="en-US"/>
              </w:rPr>
              <w:t>Interatrial septal abnormalities (PFO, septal aneurysm, atrial septal defect)</w:t>
            </w:r>
          </w:p>
          <w:p w14:paraId="01BEAAC2" w14:textId="77777777" w:rsidR="002C3E97" w:rsidRPr="00FB4FA8" w:rsidRDefault="002C3E97" w:rsidP="002C3E97">
            <w:pPr>
              <w:pStyle w:val="Prrafodelista"/>
              <w:numPr>
                <w:ilvl w:val="0"/>
                <w:numId w:val="3"/>
              </w:numPr>
              <w:ind w:left="314" w:hanging="283"/>
              <w:jc w:val="both"/>
              <w:rPr>
                <w:rFonts w:ascii="Calibri" w:hAnsi="Calibri" w:cs="Calibri"/>
                <w:sz w:val="22"/>
                <w:szCs w:val="22"/>
                <w:lang w:val="en-US"/>
              </w:rPr>
            </w:pPr>
            <w:r w:rsidRPr="00FB4FA8">
              <w:rPr>
                <w:rFonts w:ascii="Calibri" w:hAnsi="Calibri" w:cs="Calibri"/>
                <w:sz w:val="22"/>
                <w:szCs w:val="22"/>
                <w:lang w:val="en-US"/>
              </w:rPr>
              <w:t>Biologic prosthetic heart valves</w:t>
            </w:r>
          </w:p>
          <w:p w14:paraId="0AA98FE6" w14:textId="77777777" w:rsidR="002C3E97" w:rsidRPr="00FB4FA8" w:rsidRDefault="002C3E97" w:rsidP="002C3E97">
            <w:pPr>
              <w:pStyle w:val="Prrafodelista"/>
              <w:numPr>
                <w:ilvl w:val="0"/>
                <w:numId w:val="3"/>
              </w:numPr>
              <w:ind w:left="314" w:hanging="283"/>
              <w:jc w:val="both"/>
              <w:rPr>
                <w:rFonts w:ascii="Calibri" w:hAnsi="Calibri" w:cs="Calibri"/>
                <w:sz w:val="22"/>
                <w:szCs w:val="22"/>
                <w:lang w:val="en-US"/>
              </w:rPr>
            </w:pPr>
            <w:r w:rsidRPr="00FB4FA8">
              <w:rPr>
                <w:rFonts w:ascii="Calibri" w:hAnsi="Calibri" w:cs="Calibri"/>
                <w:sz w:val="22"/>
                <w:szCs w:val="22"/>
                <w:lang w:val="en-US"/>
              </w:rPr>
              <w:t>Mild left ventricular dysfunction (LVEF 35–50%)</w:t>
            </w:r>
          </w:p>
          <w:p w14:paraId="26021F9C" w14:textId="77777777" w:rsidR="002C3E97" w:rsidRPr="00FB4FA8" w:rsidRDefault="002C3E97" w:rsidP="002C3E97">
            <w:pPr>
              <w:pStyle w:val="Prrafodelista"/>
              <w:numPr>
                <w:ilvl w:val="0"/>
                <w:numId w:val="3"/>
              </w:numPr>
              <w:ind w:left="314" w:hanging="283"/>
              <w:jc w:val="both"/>
              <w:rPr>
                <w:rFonts w:ascii="Calibri" w:hAnsi="Calibri" w:cs="Calibri"/>
                <w:sz w:val="22"/>
                <w:szCs w:val="22"/>
                <w:lang w:val="en-US"/>
              </w:rPr>
            </w:pPr>
            <w:r w:rsidRPr="00FB4FA8">
              <w:rPr>
                <w:rFonts w:ascii="Calibri" w:hAnsi="Calibri" w:cs="Calibri"/>
                <w:sz w:val="22"/>
                <w:szCs w:val="22"/>
                <w:lang w:val="en-US"/>
              </w:rPr>
              <w:t>Congestive heart failure</w:t>
            </w:r>
          </w:p>
          <w:p w14:paraId="3A835EDB" w14:textId="77777777" w:rsidR="002C3E97" w:rsidRPr="00FB4FA8" w:rsidRDefault="002C3E97" w:rsidP="002C3E97">
            <w:pPr>
              <w:pStyle w:val="Prrafodelista"/>
              <w:numPr>
                <w:ilvl w:val="0"/>
                <w:numId w:val="3"/>
              </w:numPr>
              <w:ind w:left="314" w:hanging="283"/>
              <w:jc w:val="both"/>
              <w:rPr>
                <w:rFonts w:ascii="Calibri" w:hAnsi="Calibri" w:cs="Calibri"/>
                <w:sz w:val="22"/>
                <w:szCs w:val="22"/>
                <w:lang w:val="en-US"/>
              </w:rPr>
            </w:pPr>
            <w:r w:rsidRPr="00FB4FA8">
              <w:rPr>
                <w:rFonts w:ascii="Calibri" w:hAnsi="Calibri" w:cs="Calibri"/>
                <w:sz w:val="22"/>
                <w:szCs w:val="22"/>
                <w:lang w:val="en-US"/>
              </w:rPr>
              <w:t>Non-bacterial thrombotic endocarditis</w:t>
            </w:r>
          </w:p>
          <w:p w14:paraId="5CDAD52E" w14:textId="77777777" w:rsidR="002C3E97" w:rsidRPr="00FB4FA8" w:rsidRDefault="002C3E97" w:rsidP="002C3E97">
            <w:pPr>
              <w:pStyle w:val="Prrafodelista"/>
              <w:numPr>
                <w:ilvl w:val="0"/>
                <w:numId w:val="3"/>
              </w:numPr>
              <w:ind w:left="314" w:hanging="283"/>
              <w:jc w:val="both"/>
              <w:rPr>
                <w:rFonts w:ascii="Calibri" w:hAnsi="Calibri" w:cs="Calibri"/>
                <w:sz w:val="22"/>
                <w:szCs w:val="22"/>
                <w:lang w:val="en-US"/>
              </w:rPr>
            </w:pPr>
            <w:r w:rsidRPr="00FB4FA8">
              <w:rPr>
                <w:rFonts w:ascii="Calibri" w:hAnsi="Calibri" w:cs="Calibri"/>
                <w:sz w:val="22"/>
                <w:szCs w:val="22"/>
                <w:lang w:val="en-US"/>
              </w:rPr>
              <w:t>Congenital heart disease</w:t>
            </w:r>
          </w:p>
          <w:p w14:paraId="5231313B" w14:textId="77777777" w:rsidR="002C3E97" w:rsidRPr="00FB4FA8" w:rsidRDefault="002C3E97" w:rsidP="002C3E97">
            <w:pPr>
              <w:pStyle w:val="Prrafodelista"/>
              <w:numPr>
                <w:ilvl w:val="0"/>
                <w:numId w:val="3"/>
              </w:numPr>
              <w:ind w:left="314" w:hanging="283"/>
              <w:jc w:val="both"/>
              <w:rPr>
                <w:rFonts w:ascii="Calibri" w:hAnsi="Calibri" w:cs="Calibri"/>
                <w:sz w:val="22"/>
                <w:szCs w:val="22"/>
                <w:lang w:val="en-US"/>
              </w:rPr>
            </w:pPr>
            <w:r w:rsidRPr="00FB4FA8">
              <w:rPr>
                <w:rFonts w:ascii="Calibri" w:hAnsi="Calibri" w:cs="Calibri"/>
                <w:sz w:val="22"/>
                <w:szCs w:val="22"/>
                <w:lang w:val="en-US"/>
              </w:rPr>
              <w:t>Isolated left atrial turbulence</w:t>
            </w:r>
          </w:p>
          <w:p w14:paraId="443A9760" w14:textId="77777777" w:rsidR="002C3E97" w:rsidRPr="00FB4FA8" w:rsidRDefault="002C3E97" w:rsidP="002C3E97">
            <w:pPr>
              <w:pStyle w:val="Prrafodelista"/>
              <w:numPr>
                <w:ilvl w:val="0"/>
                <w:numId w:val="3"/>
              </w:numPr>
              <w:ind w:left="314" w:hanging="283"/>
              <w:jc w:val="both"/>
              <w:rPr>
                <w:rFonts w:ascii="Calibri" w:hAnsi="Calibri" w:cs="Calibri"/>
                <w:sz w:val="22"/>
                <w:szCs w:val="22"/>
                <w:lang w:val="en-US"/>
              </w:rPr>
            </w:pPr>
            <w:r w:rsidRPr="00FB4FA8">
              <w:rPr>
                <w:rFonts w:ascii="Calibri" w:hAnsi="Calibri" w:cs="Calibri"/>
                <w:sz w:val="22"/>
                <w:szCs w:val="22"/>
                <w:lang w:val="en-US"/>
              </w:rPr>
              <w:t>Atherosclerotic plaques in ascending aorta or proximal aortic arch &gt;4 mm or ulcerated</w:t>
            </w:r>
          </w:p>
        </w:tc>
      </w:tr>
      <w:tr w:rsidR="002C3E97" w:rsidRPr="00FE435D" w14:paraId="0A8756E6" w14:textId="77777777" w:rsidTr="00603957">
        <w:tc>
          <w:tcPr>
            <w:tcW w:w="8494" w:type="dxa"/>
            <w:gridSpan w:val="2"/>
          </w:tcPr>
          <w:p w14:paraId="7959F134" w14:textId="77777777" w:rsidR="002C3E97" w:rsidRPr="00FB4FA8" w:rsidRDefault="002C3E97" w:rsidP="00603957">
            <w:pPr>
              <w:jc w:val="both"/>
              <w:rPr>
                <w:rFonts w:ascii="Calibri" w:hAnsi="Calibri" w:cs="Calibri"/>
                <w:lang w:val="en-US"/>
              </w:rPr>
            </w:pPr>
            <w:r w:rsidRPr="00FB4FA8">
              <w:rPr>
                <w:rFonts w:ascii="Calibri" w:hAnsi="Calibri" w:cs="Calibri"/>
                <w:lang w:val="en-US"/>
              </w:rPr>
              <w:t xml:space="preserve">Classification of cardioembolic sources. Adapted from the </w:t>
            </w:r>
            <w:r w:rsidRPr="00FB4FA8">
              <w:rPr>
                <w:rFonts w:ascii="Calibri" w:hAnsi="Calibri" w:cs="Calibri"/>
                <w:i/>
                <w:iCs/>
                <w:lang w:val="en-US"/>
              </w:rPr>
              <w:t xml:space="preserve">Manual de </w:t>
            </w:r>
            <w:proofErr w:type="spellStart"/>
            <w:r w:rsidRPr="00FB4FA8">
              <w:rPr>
                <w:rFonts w:ascii="Calibri" w:hAnsi="Calibri" w:cs="Calibri"/>
                <w:i/>
                <w:iCs/>
                <w:lang w:val="en-US"/>
              </w:rPr>
              <w:t>Urgencias</w:t>
            </w:r>
            <w:proofErr w:type="spellEnd"/>
            <w:r w:rsidRPr="00FB4FA8">
              <w:rPr>
                <w:rFonts w:ascii="Calibri" w:hAnsi="Calibri" w:cs="Calibri"/>
                <w:i/>
                <w:iCs/>
                <w:lang w:val="en-US"/>
              </w:rPr>
              <w:t xml:space="preserve"> </w:t>
            </w:r>
            <w:proofErr w:type="spellStart"/>
            <w:r w:rsidRPr="00FB4FA8">
              <w:rPr>
                <w:rFonts w:ascii="Calibri" w:hAnsi="Calibri" w:cs="Calibri"/>
                <w:i/>
                <w:iCs/>
                <w:lang w:val="en-US"/>
              </w:rPr>
              <w:t>Neurológicas</w:t>
            </w:r>
            <w:proofErr w:type="spellEnd"/>
            <w:r w:rsidRPr="00FB4FA8">
              <w:rPr>
                <w:rFonts w:ascii="Calibri" w:hAnsi="Calibri" w:cs="Calibri"/>
                <w:lang w:val="en-US"/>
              </w:rPr>
              <w:t xml:space="preserve"> of the Spanish Society of Neurology (SEN).</w:t>
            </w:r>
          </w:p>
        </w:tc>
      </w:tr>
    </w:tbl>
    <w:p w14:paraId="051D648A" w14:textId="77777777" w:rsidR="002C3E97" w:rsidRPr="00FB4FA8" w:rsidRDefault="002C3E97" w:rsidP="002C3E97">
      <w:pPr>
        <w:jc w:val="both"/>
        <w:rPr>
          <w:rFonts w:ascii="Calibri" w:hAnsi="Calibri" w:cs="Calibri"/>
          <w:lang w:val="en-US"/>
        </w:rPr>
      </w:pPr>
    </w:p>
    <w:p w14:paraId="53A6B156" w14:textId="77777777" w:rsidR="002C3E97" w:rsidRPr="00FB4FA8" w:rsidRDefault="002C3E97" w:rsidP="002C3E97">
      <w:pPr>
        <w:rPr>
          <w:rFonts w:ascii="Calibri" w:hAnsi="Calibri" w:cs="Calibri"/>
          <w:lang w:val="en-US"/>
        </w:rPr>
      </w:pPr>
      <w:r w:rsidRPr="00FB4FA8">
        <w:rPr>
          <w:rFonts w:ascii="Calibri" w:hAnsi="Calibri" w:cs="Calibri"/>
          <w:lang w:val="en-US"/>
        </w:rPr>
        <w:br w:type="page"/>
      </w:r>
    </w:p>
    <w:p w14:paraId="3CEE1AB7" w14:textId="77777777" w:rsidR="002C3E97" w:rsidRPr="00FB4FA8" w:rsidRDefault="002C3E97" w:rsidP="002C3E97">
      <w:pPr>
        <w:rPr>
          <w:rFonts w:ascii="Calibri" w:hAnsi="Calibri" w:cs="Calibri"/>
          <w:lang w:val="en-US"/>
        </w:rPr>
      </w:pPr>
      <w:r w:rsidRPr="00FB4FA8">
        <w:rPr>
          <w:rFonts w:ascii="Calibri" w:hAnsi="Calibri" w:cs="Calibri"/>
          <w:b/>
          <w:bCs/>
          <w:lang w:val="en-US"/>
        </w:rPr>
        <w:lastRenderedPageBreak/>
        <w:t xml:space="preserve">Table S3. </w:t>
      </w:r>
      <w:r w:rsidRPr="00FB4FA8">
        <w:rPr>
          <w:rFonts w:ascii="Calibri" w:hAnsi="Calibri" w:cs="Calibri"/>
          <w:lang w:val="en-US"/>
        </w:rPr>
        <w:t>Interpretation thresholds for agreement coefficients used in the study.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C3E97" w:rsidRPr="00FE435D" w14:paraId="26306307" w14:textId="77777777" w:rsidTr="00603957">
        <w:trPr>
          <w:tblCellSpacing w:w="15" w:type="dxa"/>
        </w:trPr>
        <w:tc>
          <w:tcPr>
            <w:tcW w:w="0" w:type="auto"/>
            <w:vAlign w:val="center"/>
            <w:hideMark/>
          </w:tcPr>
          <w:p w14:paraId="1583BC98" w14:textId="77777777" w:rsidR="002C3E97" w:rsidRPr="00FB4FA8" w:rsidRDefault="002C3E97" w:rsidP="00603957">
            <w:pPr>
              <w:jc w:val="both"/>
              <w:rPr>
                <w:rFonts w:ascii="Calibri" w:hAnsi="Calibri" w:cs="Calibri"/>
                <w:lang w:val="en-US"/>
              </w:rPr>
            </w:pPr>
          </w:p>
          <w:p w14:paraId="79E6CC16" w14:textId="77777777" w:rsidR="002C3E97" w:rsidRPr="00FB4FA8" w:rsidRDefault="002C3E97" w:rsidP="00603957">
            <w:pPr>
              <w:jc w:val="both"/>
              <w:rPr>
                <w:rFonts w:ascii="Calibri" w:hAnsi="Calibri" w:cs="Calibri"/>
                <w:lang w:val="en-US"/>
              </w:rPr>
            </w:pPr>
          </w:p>
        </w:tc>
      </w:tr>
    </w:tbl>
    <w:tbl>
      <w:tblPr>
        <w:tblStyle w:val="Tablaconcuadrcula"/>
        <w:tblW w:w="0" w:type="auto"/>
        <w:tblLook w:val="04A0" w:firstRow="1" w:lastRow="0" w:firstColumn="1" w:lastColumn="0" w:noHBand="0" w:noVBand="1"/>
      </w:tblPr>
      <w:tblGrid>
        <w:gridCol w:w="2831"/>
        <w:gridCol w:w="2831"/>
        <w:gridCol w:w="2832"/>
      </w:tblGrid>
      <w:tr w:rsidR="002C3E97" w:rsidRPr="00FB4FA8" w14:paraId="4DAB710F" w14:textId="77777777" w:rsidTr="00603957">
        <w:tc>
          <w:tcPr>
            <w:tcW w:w="2831" w:type="dxa"/>
            <w:vAlign w:val="center"/>
          </w:tcPr>
          <w:p w14:paraId="2953C0C3" w14:textId="77777777" w:rsidR="002C3E97" w:rsidRPr="00FB4FA8" w:rsidRDefault="002C3E97" w:rsidP="00603957">
            <w:pPr>
              <w:jc w:val="center"/>
              <w:rPr>
                <w:rFonts w:ascii="Calibri" w:hAnsi="Calibri" w:cs="Calibri"/>
                <w:lang w:val="en-US"/>
              </w:rPr>
            </w:pPr>
            <w:r w:rsidRPr="00FB4FA8">
              <w:rPr>
                <w:rFonts w:ascii="Calibri" w:hAnsi="Calibri" w:cs="Calibri"/>
                <w:b/>
                <w:bCs/>
                <w:lang w:val="en-US"/>
              </w:rPr>
              <w:t>Agreement level</w:t>
            </w:r>
          </w:p>
        </w:tc>
        <w:tc>
          <w:tcPr>
            <w:tcW w:w="2831" w:type="dxa"/>
            <w:vAlign w:val="center"/>
          </w:tcPr>
          <w:p w14:paraId="0D16BBAE" w14:textId="77777777" w:rsidR="002C3E97" w:rsidRPr="00FB4FA8" w:rsidRDefault="002C3E97" w:rsidP="00603957">
            <w:pPr>
              <w:jc w:val="center"/>
              <w:rPr>
                <w:rFonts w:ascii="Calibri" w:hAnsi="Calibri" w:cs="Calibri"/>
                <w:lang w:val="en-US"/>
              </w:rPr>
            </w:pPr>
            <w:r w:rsidRPr="00FB4FA8">
              <w:rPr>
                <w:rFonts w:ascii="Calibri" w:hAnsi="Calibri" w:cs="Calibri"/>
                <w:b/>
                <w:bCs/>
                <w:lang w:val="en-US"/>
              </w:rPr>
              <w:t xml:space="preserve">Intraclass correlation coefficient </w:t>
            </w:r>
          </w:p>
        </w:tc>
        <w:tc>
          <w:tcPr>
            <w:tcW w:w="2832" w:type="dxa"/>
            <w:vAlign w:val="center"/>
          </w:tcPr>
          <w:p w14:paraId="3C2AB696" w14:textId="77777777" w:rsidR="002C3E97" w:rsidRPr="00FB4FA8" w:rsidRDefault="002C3E97" w:rsidP="00603957">
            <w:pPr>
              <w:jc w:val="center"/>
              <w:rPr>
                <w:rFonts w:ascii="Calibri" w:hAnsi="Calibri" w:cs="Calibri"/>
                <w:lang w:val="en-US"/>
              </w:rPr>
            </w:pPr>
            <w:r w:rsidRPr="00FB4FA8">
              <w:rPr>
                <w:rFonts w:ascii="Calibri" w:hAnsi="Calibri" w:cs="Calibri"/>
                <w:b/>
                <w:bCs/>
                <w:lang w:val="en-US"/>
              </w:rPr>
              <w:t>Cohen’s kappa</w:t>
            </w:r>
          </w:p>
        </w:tc>
      </w:tr>
      <w:tr w:rsidR="002C3E97" w:rsidRPr="00FB4FA8" w14:paraId="00BE8BD3" w14:textId="77777777" w:rsidTr="00603957">
        <w:tc>
          <w:tcPr>
            <w:tcW w:w="2831" w:type="dxa"/>
            <w:vAlign w:val="center"/>
          </w:tcPr>
          <w:p w14:paraId="451D1AC0" w14:textId="77777777" w:rsidR="002C3E97" w:rsidRPr="00FB4FA8" w:rsidRDefault="002C3E97" w:rsidP="00603957">
            <w:pPr>
              <w:rPr>
                <w:rFonts w:ascii="Calibri" w:hAnsi="Calibri" w:cs="Calibri"/>
                <w:lang w:val="en-US"/>
              </w:rPr>
            </w:pPr>
            <w:r w:rsidRPr="00FB4FA8">
              <w:rPr>
                <w:rFonts w:ascii="Calibri" w:hAnsi="Calibri" w:cs="Calibri"/>
                <w:lang w:val="en-US"/>
              </w:rPr>
              <w:t>Poor</w:t>
            </w:r>
          </w:p>
        </w:tc>
        <w:tc>
          <w:tcPr>
            <w:tcW w:w="2831" w:type="dxa"/>
            <w:vAlign w:val="center"/>
          </w:tcPr>
          <w:p w14:paraId="08980A79" w14:textId="77777777" w:rsidR="002C3E97" w:rsidRPr="00FB4FA8" w:rsidRDefault="002C3E97" w:rsidP="00603957">
            <w:pPr>
              <w:rPr>
                <w:rFonts w:ascii="Calibri" w:hAnsi="Calibri" w:cs="Calibri"/>
                <w:lang w:val="en-US"/>
              </w:rPr>
            </w:pPr>
            <w:r w:rsidRPr="00FB4FA8">
              <w:rPr>
                <w:rFonts w:ascii="Calibri" w:hAnsi="Calibri" w:cs="Calibri"/>
                <w:lang w:val="en-US"/>
              </w:rPr>
              <w:t>&lt; 0.50</w:t>
            </w:r>
          </w:p>
        </w:tc>
        <w:tc>
          <w:tcPr>
            <w:tcW w:w="2832" w:type="dxa"/>
            <w:vAlign w:val="center"/>
          </w:tcPr>
          <w:p w14:paraId="4BD68BD0" w14:textId="77777777" w:rsidR="002C3E97" w:rsidRPr="00FB4FA8" w:rsidRDefault="002C3E97" w:rsidP="00603957">
            <w:pPr>
              <w:rPr>
                <w:rFonts w:ascii="Calibri" w:hAnsi="Calibri" w:cs="Calibri"/>
                <w:lang w:val="en-US"/>
              </w:rPr>
            </w:pPr>
            <w:r w:rsidRPr="00FB4FA8">
              <w:rPr>
                <w:rFonts w:ascii="Calibri" w:hAnsi="Calibri" w:cs="Calibri"/>
                <w:lang w:val="en-US"/>
              </w:rPr>
              <w:t>0.00–0.40</w:t>
            </w:r>
          </w:p>
        </w:tc>
      </w:tr>
      <w:tr w:rsidR="002C3E97" w:rsidRPr="00FB4FA8" w14:paraId="5D705D77" w14:textId="77777777" w:rsidTr="00603957">
        <w:tc>
          <w:tcPr>
            <w:tcW w:w="2831" w:type="dxa"/>
            <w:vAlign w:val="center"/>
          </w:tcPr>
          <w:p w14:paraId="2906C84A" w14:textId="77777777" w:rsidR="002C3E97" w:rsidRPr="00FB4FA8" w:rsidRDefault="002C3E97" w:rsidP="00603957">
            <w:pPr>
              <w:rPr>
                <w:rFonts w:ascii="Calibri" w:hAnsi="Calibri" w:cs="Calibri"/>
                <w:lang w:val="en-US"/>
              </w:rPr>
            </w:pPr>
            <w:r w:rsidRPr="00FB4FA8">
              <w:rPr>
                <w:rFonts w:ascii="Calibri" w:hAnsi="Calibri" w:cs="Calibri"/>
                <w:lang w:val="en-US"/>
              </w:rPr>
              <w:t>Moderate</w:t>
            </w:r>
          </w:p>
        </w:tc>
        <w:tc>
          <w:tcPr>
            <w:tcW w:w="2831" w:type="dxa"/>
            <w:vAlign w:val="center"/>
          </w:tcPr>
          <w:p w14:paraId="043E7FED" w14:textId="77777777" w:rsidR="002C3E97" w:rsidRPr="00FB4FA8" w:rsidRDefault="002C3E97" w:rsidP="00603957">
            <w:pPr>
              <w:rPr>
                <w:rFonts w:ascii="Calibri" w:hAnsi="Calibri" w:cs="Calibri"/>
                <w:lang w:val="en-US"/>
              </w:rPr>
            </w:pPr>
            <w:r w:rsidRPr="00FB4FA8">
              <w:rPr>
                <w:rFonts w:ascii="Calibri" w:hAnsi="Calibri" w:cs="Calibri"/>
                <w:lang w:val="en-US"/>
              </w:rPr>
              <w:t>0.50–0.75</w:t>
            </w:r>
          </w:p>
        </w:tc>
        <w:tc>
          <w:tcPr>
            <w:tcW w:w="2832" w:type="dxa"/>
            <w:vAlign w:val="center"/>
          </w:tcPr>
          <w:p w14:paraId="6CBE592F" w14:textId="77777777" w:rsidR="002C3E97" w:rsidRPr="00FB4FA8" w:rsidRDefault="002C3E97" w:rsidP="00603957">
            <w:pPr>
              <w:rPr>
                <w:rFonts w:ascii="Calibri" w:hAnsi="Calibri" w:cs="Calibri"/>
                <w:lang w:val="en-US"/>
              </w:rPr>
            </w:pPr>
            <w:r w:rsidRPr="00FB4FA8">
              <w:rPr>
                <w:rFonts w:ascii="Calibri" w:hAnsi="Calibri" w:cs="Calibri"/>
                <w:lang w:val="en-US"/>
              </w:rPr>
              <w:t>0.41–0.60</w:t>
            </w:r>
          </w:p>
        </w:tc>
      </w:tr>
      <w:tr w:rsidR="002C3E97" w:rsidRPr="00FB4FA8" w14:paraId="3D46156D" w14:textId="77777777" w:rsidTr="00603957">
        <w:tc>
          <w:tcPr>
            <w:tcW w:w="2831" w:type="dxa"/>
            <w:vAlign w:val="center"/>
          </w:tcPr>
          <w:p w14:paraId="3ABE8A5A" w14:textId="77777777" w:rsidR="002C3E97" w:rsidRPr="00FB4FA8" w:rsidRDefault="002C3E97" w:rsidP="00603957">
            <w:pPr>
              <w:rPr>
                <w:rFonts w:ascii="Calibri" w:hAnsi="Calibri" w:cs="Calibri"/>
                <w:lang w:val="en-US"/>
              </w:rPr>
            </w:pPr>
            <w:r>
              <w:rPr>
                <w:rFonts w:ascii="Calibri" w:hAnsi="Calibri" w:cs="Calibri"/>
                <w:lang w:val="en-US"/>
              </w:rPr>
              <w:t>Substantial</w:t>
            </w:r>
          </w:p>
        </w:tc>
        <w:tc>
          <w:tcPr>
            <w:tcW w:w="2831" w:type="dxa"/>
            <w:vAlign w:val="center"/>
          </w:tcPr>
          <w:p w14:paraId="3ACE7CA8" w14:textId="77777777" w:rsidR="002C3E97" w:rsidRPr="00FB4FA8" w:rsidRDefault="002C3E97" w:rsidP="00603957">
            <w:pPr>
              <w:rPr>
                <w:rFonts w:ascii="Calibri" w:hAnsi="Calibri" w:cs="Calibri"/>
                <w:lang w:val="en-US"/>
              </w:rPr>
            </w:pPr>
            <w:r w:rsidRPr="00FB4FA8">
              <w:rPr>
                <w:rFonts w:ascii="Calibri" w:hAnsi="Calibri" w:cs="Calibri"/>
                <w:lang w:val="en-US"/>
              </w:rPr>
              <w:t>0.75–0.90</w:t>
            </w:r>
          </w:p>
        </w:tc>
        <w:tc>
          <w:tcPr>
            <w:tcW w:w="2832" w:type="dxa"/>
            <w:vAlign w:val="center"/>
          </w:tcPr>
          <w:p w14:paraId="1E910A55" w14:textId="77777777" w:rsidR="002C3E97" w:rsidRPr="00FB4FA8" w:rsidRDefault="002C3E97" w:rsidP="00603957">
            <w:pPr>
              <w:rPr>
                <w:rFonts w:ascii="Calibri" w:hAnsi="Calibri" w:cs="Calibri"/>
                <w:lang w:val="en-US"/>
              </w:rPr>
            </w:pPr>
            <w:r w:rsidRPr="00FB4FA8">
              <w:rPr>
                <w:rFonts w:ascii="Calibri" w:hAnsi="Calibri" w:cs="Calibri"/>
                <w:lang w:val="en-US"/>
              </w:rPr>
              <w:t>0.61–0.80</w:t>
            </w:r>
          </w:p>
        </w:tc>
      </w:tr>
      <w:tr w:rsidR="002C3E97" w:rsidRPr="00FB4FA8" w14:paraId="688E661E" w14:textId="77777777" w:rsidTr="00603957">
        <w:tc>
          <w:tcPr>
            <w:tcW w:w="2831" w:type="dxa"/>
            <w:vAlign w:val="center"/>
          </w:tcPr>
          <w:p w14:paraId="44B0D96E" w14:textId="77777777" w:rsidR="002C3E97" w:rsidRPr="00FB4FA8" w:rsidRDefault="002C3E97" w:rsidP="00603957">
            <w:pPr>
              <w:rPr>
                <w:rFonts w:ascii="Calibri" w:hAnsi="Calibri" w:cs="Calibri"/>
                <w:lang w:val="en-US"/>
              </w:rPr>
            </w:pPr>
            <w:r w:rsidRPr="00FB4FA8">
              <w:rPr>
                <w:rFonts w:ascii="Calibri" w:hAnsi="Calibri" w:cs="Calibri"/>
                <w:lang w:val="en-US"/>
              </w:rPr>
              <w:t>Excellent</w:t>
            </w:r>
          </w:p>
        </w:tc>
        <w:tc>
          <w:tcPr>
            <w:tcW w:w="2831" w:type="dxa"/>
            <w:vAlign w:val="center"/>
          </w:tcPr>
          <w:p w14:paraId="4F921AD7" w14:textId="77777777" w:rsidR="002C3E97" w:rsidRPr="00FB4FA8" w:rsidRDefault="002C3E97" w:rsidP="00603957">
            <w:pPr>
              <w:rPr>
                <w:rFonts w:ascii="Calibri" w:hAnsi="Calibri" w:cs="Calibri"/>
                <w:lang w:val="en-US"/>
              </w:rPr>
            </w:pPr>
            <w:r w:rsidRPr="00FB4FA8">
              <w:rPr>
                <w:rFonts w:ascii="Calibri" w:hAnsi="Calibri" w:cs="Calibri"/>
                <w:lang w:val="en-US"/>
              </w:rPr>
              <w:t>&gt; 0.90</w:t>
            </w:r>
          </w:p>
        </w:tc>
        <w:tc>
          <w:tcPr>
            <w:tcW w:w="2832" w:type="dxa"/>
            <w:vAlign w:val="center"/>
          </w:tcPr>
          <w:p w14:paraId="331C87B1" w14:textId="77777777" w:rsidR="002C3E97" w:rsidRPr="00FB4FA8" w:rsidRDefault="002C3E97" w:rsidP="00603957">
            <w:pPr>
              <w:rPr>
                <w:rFonts w:ascii="Calibri" w:hAnsi="Calibri" w:cs="Calibri"/>
                <w:lang w:val="en-US"/>
              </w:rPr>
            </w:pPr>
            <w:r w:rsidRPr="00FB4FA8">
              <w:rPr>
                <w:rFonts w:ascii="Calibri" w:hAnsi="Calibri" w:cs="Calibri"/>
                <w:lang w:val="en-US"/>
              </w:rPr>
              <w:t>0.81–1.00</w:t>
            </w:r>
          </w:p>
        </w:tc>
      </w:tr>
    </w:tbl>
    <w:p w14:paraId="39F07E6A" w14:textId="77777777" w:rsidR="002C3E97" w:rsidRPr="00FB4FA8" w:rsidRDefault="002C3E97" w:rsidP="002C3E97">
      <w:pPr>
        <w:rPr>
          <w:rFonts w:ascii="Calibri" w:hAnsi="Calibri" w:cs="Calibri"/>
          <w:lang w:val="en-US"/>
        </w:rPr>
      </w:pPr>
    </w:p>
    <w:p w14:paraId="5A2E8977" w14:textId="77777777" w:rsidR="002C3E97" w:rsidRPr="00FB4FA8" w:rsidRDefault="002C3E97" w:rsidP="002C3E97">
      <w:pPr>
        <w:jc w:val="both"/>
        <w:rPr>
          <w:rFonts w:ascii="Calibri" w:hAnsi="Calibri" w:cs="Calibri"/>
          <w:lang w:val="en-US"/>
        </w:rPr>
      </w:pPr>
      <w:r w:rsidRPr="00FB4FA8">
        <w:rPr>
          <w:rFonts w:ascii="Calibri" w:hAnsi="Calibri" w:cs="Calibri"/>
          <w:b/>
          <w:bCs/>
          <w:lang w:val="en-US"/>
        </w:rPr>
        <w:t>Table S3:</w:t>
      </w:r>
      <w:r w:rsidRPr="00FB4FA8">
        <w:rPr>
          <w:rFonts w:ascii="Calibri" w:hAnsi="Calibri" w:cs="Calibri"/>
          <w:lang w:val="en-US"/>
        </w:rPr>
        <w:t xml:space="preserve"> Agreement categories for intraclass correlation coefficient and Cohen’s kappa values according to commonly accepted interpretation standards.</w:t>
      </w:r>
    </w:p>
    <w:p w14:paraId="465C75B8" w14:textId="77777777" w:rsidR="002C3E97" w:rsidRPr="00FB4FA8" w:rsidRDefault="002C3E97" w:rsidP="002C3E97">
      <w:pPr>
        <w:jc w:val="both"/>
        <w:rPr>
          <w:rFonts w:ascii="Calibri" w:hAnsi="Calibri" w:cs="Calibri"/>
          <w:b/>
          <w:bCs/>
          <w:lang w:val="en-US"/>
        </w:rPr>
      </w:pPr>
      <w:r w:rsidRPr="00FB4FA8">
        <w:rPr>
          <w:rFonts w:ascii="Calibri" w:hAnsi="Calibri" w:cs="Calibri"/>
          <w:b/>
          <w:bCs/>
          <w:lang w:val="en-US"/>
        </w:rPr>
        <w:br w:type="page"/>
      </w:r>
    </w:p>
    <w:p w14:paraId="641CE55D" w14:textId="77777777" w:rsidR="002C3E97" w:rsidRPr="00FB4FA8" w:rsidRDefault="002C3E97" w:rsidP="002C3E97">
      <w:pPr>
        <w:rPr>
          <w:rFonts w:ascii="Calibri" w:hAnsi="Calibri" w:cs="Calibri"/>
          <w:b/>
          <w:bCs/>
          <w:lang w:val="en-US"/>
        </w:rPr>
      </w:pPr>
      <w:proofErr w:type="spellStart"/>
      <w:r w:rsidRPr="00FB4FA8">
        <w:rPr>
          <w:rFonts w:ascii="Calibri" w:hAnsi="Calibri" w:cs="Calibri"/>
          <w:b/>
          <w:bCs/>
          <w:lang w:val="en-US"/>
        </w:rPr>
        <w:lastRenderedPageBreak/>
        <w:t>Figura</w:t>
      </w:r>
      <w:proofErr w:type="spellEnd"/>
      <w:r w:rsidRPr="00FB4FA8">
        <w:rPr>
          <w:rFonts w:ascii="Calibri" w:hAnsi="Calibri" w:cs="Calibri"/>
          <w:b/>
          <w:bCs/>
          <w:lang w:val="en-US"/>
        </w:rPr>
        <w:t xml:space="preserve"> S1. Agreement results stratified by neurologist</w:t>
      </w:r>
    </w:p>
    <w:p w14:paraId="4398129A" w14:textId="77777777" w:rsidR="002C3E97" w:rsidRPr="00FB4FA8" w:rsidRDefault="002C3E97" w:rsidP="002C3E97">
      <w:pPr>
        <w:jc w:val="both"/>
        <w:rPr>
          <w:rFonts w:ascii="Calibri" w:hAnsi="Calibri" w:cs="Calibri"/>
          <w:lang w:val="en-US"/>
        </w:rPr>
      </w:pPr>
    </w:p>
    <w:p w14:paraId="3C0E746A" w14:textId="77777777" w:rsidR="002C3E97" w:rsidRPr="00FB4FA8" w:rsidRDefault="002C3E97" w:rsidP="002C3E97">
      <w:pPr>
        <w:jc w:val="both"/>
        <w:rPr>
          <w:rFonts w:ascii="Calibri" w:hAnsi="Calibri" w:cs="Calibri"/>
          <w:lang w:val="en-US"/>
        </w:rPr>
      </w:pPr>
      <w:r w:rsidRPr="00FB4FA8">
        <w:rPr>
          <w:rFonts w:ascii="Calibri" w:hAnsi="Calibri" w:cs="Calibri"/>
          <w:noProof/>
          <w:lang w:val="en-US"/>
        </w:rPr>
        <w:drawing>
          <wp:inline distT="0" distB="0" distL="0" distR="0" wp14:anchorId="624B8166" wp14:editId="3BBC681C">
            <wp:extent cx="5305425" cy="3330075"/>
            <wp:effectExtent l="0" t="0" r="3175" b="0"/>
            <wp:docPr id="1519669274" name="Imagen 3"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669274" name="Imagen 3" descr="Gráfico&#10;&#10;Descripción generada automáticamente"/>
                    <pic:cNvPicPr/>
                  </pic:nvPicPr>
                  <pic:blipFill rotWithShape="1">
                    <a:blip r:embed="rId5" cstate="print">
                      <a:extLst>
                        <a:ext uri="{28A0092B-C50C-407E-A947-70E740481C1C}">
                          <a14:useLocalDpi xmlns:a14="http://schemas.microsoft.com/office/drawing/2010/main" val="0"/>
                        </a:ext>
                      </a:extLst>
                    </a:blip>
                    <a:srcRect l="10936"/>
                    <a:stretch/>
                  </pic:blipFill>
                  <pic:spPr bwMode="auto">
                    <a:xfrm>
                      <a:off x="0" y="0"/>
                      <a:ext cx="5321069" cy="3339894"/>
                    </a:xfrm>
                    <a:prstGeom prst="rect">
                      <a:avLst/>
                    </a:prstGeom>
                    <a:ln>
                      <a:noFill/>
                    </a:ln>
                    <a:extLst>
                      <a:ext uri="{53640926-AAD7-44D8-BBD7-CCE9431645EC}">
                        <a14:shadowObscured xmlns:a14="http://schemas.microsoft.com/office/drawing/2010/main"/>
                      </a:ext>
                    </a:extLst>
                  </pic:spPr>
                </pic:pic>
              </a:graphicData>
            </a:graphic>
          </wp:inline>
        </w:drawing>
      </w:r>
    </w:p>
    <w:p w14:paraId="1194D184" w14:textId="77777777" w:rsidR="002C3E97" w:rsidRPr="00FB4FA8" w:rsidRDefault="002C3E97" w:rsidP="002C3E97">
      <w:pPr>
        <w:jc w:val="both"/>
        <w:rPr>
          <w:rFonts w:ascii="Calibri" w:hAnsi="Calibri" w:cs="Calibri"/>
          <w:lang w:val="en-US"/>
        </w:rPr>
      </w:pPr>
    </w:p>
    <w:p w14:paraId="1536619D" w14:textId="77777777" w:rsidR="002C3E97" w:rsidRPr="00FB4FA8" w:rsidRDefault="002C3E97" w:rsidP="002C3E97">
      <w:pPr>
        <w:jc w:val="both"/>
        <w:rPr>
          <w:rFonts w:ascii="Calibri" w:hAnsi="Calibri" w:cs="Calibri"/>
          <w:lang w:val="en-US"/>
        </w:rPr>
      </w:pPr>
    </w:p>
    <w:p w14:paraId="43F913E8" w14:textId="77777777" w:rsidR="0006590B" w:rsidRDefault="0006590B"/>
    <w:sectPr w:rsidR="0006590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070E3"/>
    <w:multiLevelType w:val="hybridMultilevel"/>
    <w:tmpl w:val="1902C758"/>
    <w:lvl w:ilvl="0" w:tplc="E3B8C136">
      <w:start w:val="250"/>
      <w:numFmt w:val="bullet"/>
      <w:lvlText w:val="-"/>
      <w:lvlJc w:val="left"/>
      <w:pPr>
        <w:ind w:left="720" w:hanging="360"/>
      </w:pPr>
      <w:rPr>
        <w:rFonts w:ascii="Aptos" w:eastAsiaTheme="minorHAnsi" w:hAnsi="Aptos"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265007FD"/>
    <w:multiLevelType w:val="hybridMultilevel"/>
    <w:tmpl w:val="312CDF9E"/>
    <w:lvl w:ilvl="0" w:tplc="E3B8C136">
      <w:start w:val="250"/>
      <w:numFmt w:val="bullet"/>
      <w:lvlText w:val="-"/>
      <w:lvlJc w:val="left"/>
      <w:pPr>
        <w:ind w:left="720" w:hanging="360"/>
      </w:pPr>
      <w:rPr>
        <w:rFonts w:ascii="Aptos" w:eastAsiaTheme="minorHAnsi" w:hAnsi="Aptos"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44B21BCC"/>
    <w:multiLevelType w:val="hybridMultilevel"/>
    <w:tmpl w:val="F13C189C"/>
    <w:lvl w:ilvl="0" w:tplc="E3B8C136">
      <w:start w:val="250"/>
      <w:numFmt w:val="bullet"/>
      <w:lvlText w:val="-"/>
      <w:lvlJc w:val="left"/>
      <w:pPr>
        <w:ind w:left="720" w:hanging="360"/>
      </w:pPr>
      <w:rPr>
        <w:rFonts w:ascii="Aptos" w:eastAsiaTheme="minorHAnsi" w:hAnsi="Aptos" w:cstheme="minorBidi"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527260809">
    <w:abstractNumId w:val="2"/>
  </w:num>
  <w:num w:numId="2" w16cid:durableId="1079910476">
    <w:abstractNumId w:val="0"/>
  </w:num>
  <w:num w:numId="3" w16cid:durableId="17288000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E97"/>
    <w:rsid w:val="0006590B"/>
    <w:rsid w:val="002C3E97"/>
    <w:rsid w:val="009331A4"/>
    <w:rsid w:val="00C3341C"/>
    <w:rsid w:val="00CC732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277FD078"/>
  <w15:chartTrackingRefBased/>
  <w15:docId w15:val="{0DF2DB13-8B7C-4640-AD9E-30E8548C1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E97"/>
    <w:rPr>
      <w:rFonts w:ascii="Times New Roman" w:eastAsia="Times New Roman" w:hAnsi="Times New Roman" w:cs="Times New Roman"/>
      <w:kern w:val="0"/>
      <w:lang w:eastAsia="es-ES_tradnl"/>
      <w14:ligatures w14:val="none"/>
    </w:rPr>
  </w:style>
  <w:style w:type="paragraph" w:styleId="Ttulo1">
    <w:name w:val="heading 1"/>
    <w:basedOn w:val="Normal"/>
    <w:next w:val="Normal"/>
    <w:link w:val="Ttulo1Car"/>
    <w:uiPriority w:val="9"/>
    <w:qFormat/>
    <w:rsid w:val="002C3E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C3E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C3E9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C3E9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C3E9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C3E97"/>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C3E97"/>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C3E97"/>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C3E97"/>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C3E9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C3E9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C3E9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C3E9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C3E9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C3E9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C3E9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C3E9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C3E97"/>
    <w:rPr>
      <w:rFonts w:eastAsiaTheme="majorEastAsia" w:cstheme="majorBidi"/>
      <w:color w:val="272727" w:themeColor="text1" w:themeTint="D8"/>
    </w:rPr>
  </w:style>
  <w:style w:type="paragraph" w:styleId="Ttulo">
    <w:name w:val="Title"/>
    <w:basedOn w:val="Normal"/>
    <w:next w:val="Normal"/>
    <w:link w:val="TtuloCar"/>
    <w:uiPriority w:val="10"/>
    <w:qFormat/>
    <w:rsid w:val="002C3E97"/>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C3E9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C3E97"/>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C3E9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C3E97"/>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2C3E97"/>
    <w:rPr>
      <w:i/>
      <w:iCs/>
      <w:color w:val="404040" w:themeColor="text1" w:themeTint="BF"/>
    </w:rPr>
  </w:style>
  <w:style w:type="paragraph" w:styleId="Prrafodelista">
    <w:name w:val="List Paragraph"/>
    <w:basedOn w:val="Normal"/>
    <w:uiPriority w:val="34"/>
    <w:qFormat/>
    <w:rsid w:val="002C3E97"/>
    <w:pPr>
      <w:ind w:left="720"/>
      <w:contextualSpacing/>
    </w:pPr>
  </w:style>
  <w:style w:type="character" w:styleId="nfasisintenso">
    <w:name w:val="Intense Emphasis"/>
    <w:basedOn w:val="Fuentedeprrafopredeter"/>
    <w:uiPriority w:val="21"/>
    <w:qFormat/>
    <w:rsid w:val="002C3E97"/>
    <w:rPr>
      <w:i/>
      <w:iCs/>
      <w:color w:val="0F4761" w:themeColor="accent1" w:themeShade="BF"/>
    </w:rPr>
  </w:style>
  <w:style w:type="paragraph" w:styleId="Citadestacada">
    <w:name w:val="Intense Quote"/>
    <w:basedOn w:val="Normal"/>
    <w:next w:val="Normal"/>
    <w:link w:val="CitadestacadaCar"/>
    <w:uiPriority w:val="30"/>
    <w:qFormat/>
    <w:rsid w:val="002C3E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C3E97"/>
    <w:rPr>
      <w:i/>
      <w:iCs/>
      <w:color w:val="0F4761" w:themeColor="accent1" w:themeShade="BF"/>
    </w:rPr>
  </w:style>
  <w:style w:type="character" w:styleId="Referenciaintensa">
    <w:name w:val="Intense Reference"/>
    <w:basedOn w:val="Fuentedeprrafopredeter"/>
    <w:uiPriority w:val="32"/>
    <w:qFormat/>
    <w:rsid w:val="002C3E97"/>
    <w:rPr>
      <w:b/>
      <w:bCs/>
      <w:smallCaps/>
      <w:color w:val="0F4761" w:themeColor="accent1" w:themeShade="BF"/>
      <w:spacing w:val="5"/>
    </w:rPr>
  </w:style>
  <w:style w:type="table" w:styleId="Tablaconcuadrcula">
    <w:name w:val="Table Grid"/>
    <w:basedOn w:val="Tablanormal"/>
    <w:uiPriority w:val="39"/>
    <w:rsid w:val="002C3E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1091</Words>
  <Characters>6834</Characters>
  <Application>Microsoft Office Word</Application>
  <DocSecurity>0</DocSecurity>
  <Lines>189</Lines>
  <Paragraphs>84</Paragraphs>
  <ScaleCrop>false</ScaleCrop>
  <Company/>
  <LinksUpToDate>false</LinksUpToDate>
  <CharactersWithSpaces>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Miquel Fernández Vidal</dc:creator>
  <cp:keywords/>
  <dc:description/>
  <cp:lastModifiedBy>Joan Miquel Fernández Vidal</cp:lastModifiedBy>
  <cp:revision>1</cp:revision>
  <dcterms:created xsi:type="dcterms:W3CDTF">2026-04-02T15:43:00Z</dcterms:created>
  <dcterms:modified xsi:type="dcterms:W3CDTF">2026-04-02T15:44:00Z</dcterms:modified>
</cp:coreProperties>
</file>