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480" w:after="16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Table 1. Demographic and Baseline Characteristics by Age Group</w:t>
      </w: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2100"/>
        <w:gridCol w:w="2100"/>
        <w:gridCol w:w="1560"/>
      </w:tblGrid>
      <w:tr>
        <w:trPr>
          <w:tblHeader/>
        </w:trP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3864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Variable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3864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Group 1
18–64 yrs (n=445)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3864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Group 2
≥65 yrs (n=43)</w:t>
            </w:r>
          </w:p>
        </w:tc>
        <w:tc>
          <w:tcPr>
            <w:tcW w:type="dxa" w:w="15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3864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p-value</w:t>
            </w:r>
          </w:p>
        </w:tc>
      </w:tr>
      <w:tr>
        <w:tc>
          <w:tcPr>
            <w:tcW w:type="dxa" w:w="9260"/>
            <w:gridSpan w:val="4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6E4F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Demographics</w:t>
            </w:r>
          </w:p>
        </w:tc>
      </w:tr>
      <w:t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Age, median (range), years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38 (18–64)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71 (65–87)</w:t>
            </w:r>
          </w:p>
        </w:tc>
        <w:tc>
          <w:tcPr>
            <w:tcW w:type="dxa" w:w="15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392B"/>
                <w:sz w:val="19"/>
                <w:szCs w:val="19"/>
              </w:rPr>
              <w:t xml:space="preserve">&lt; 0.001</w:t>
            </w:r>
          </w:p>
        </w:tc>
      </w:tr>
      <w:t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Female sex, n (%)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211 (47.4%)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18 (41.9%)</w:t>
            </w:r>
          </w:p>
        </w:tc>
        <w:tc>
          <w:tcPr>
            <w:tcW w:type="dxa" w:w="15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0.487</w:t>
            </w:r>
          </w:p>
        </w:tc>
      </w:tr>
      <w:t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Male sex, n (%)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234 (52.6%)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25 (58.1%)</w:t>
            </w:r>
          </w:p>
        </w:tc>
        <w:tc>
          <w:tcPr>
            <w:tcW w:type="dxa" w:w="15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0.487</w:t>
            </w:r>
          </w:p>
        </w:tc>
      </w:tr>
      <w:tr>
        <w:tc>
          <w:tcPr>
            <w:tcW w:type="dxa" w:w="9260"/>
            <w:gridSpan w:val="4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6E4F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Comorbidities</w:t>
            </w:r>
          </w:p>
        </w:tc>
      </w:tr>
      <w:t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Any comorbidity, n (%)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53 (11.9%)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18 (41.9%)</w:t>
            </w:r>
          </w:p>
        </w:tc>
        <w:tc>
          <w:tcPr>
            <w:tcW w:type="dxa" w:w="15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392B"/>
                <w:sz w:val="19"/>
                <w:szCs w:val="19"/>
              </w:rPr>
              <w:t xml:space="preserve">&lt; 0.001</w:t>
            </w:r>
          </w:p>
        </w:tc>
      </w:tr>
      <w:t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Hypertension, n (%)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34 (7.0%)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—</w:t>
            </w:r>
          </w:p>
        </w:tc>
        <w:tc>
          <w:tcPr>
            <w:tcW w:type="dxa" w:w="15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Diabetes mellitus, n (%)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13 (2.7%)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—</w:t>
            </w:r>
          </w:p>
        </w:tc>
        <w:tc>
          <w:tcPr>
            <w:tcW w:type="dxa" w:w="15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Familial Mediterranean Fever, n (%)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9 (1.8%)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—</w:t>
            </w:r>
          </w:p>
        </w:tc>
        <w:tc>
          <w:tcPr>
            <w:tcW w:type="dxa" w:w="15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Chronic kidney failure, n (%)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5 (1.0%)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—</w:t>
            </w:r>
          </w:p>
        </w:tc>
        <w:tc>
          <w:tcPr>
            <w:tcW w:type="dxa" w:w="15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HT + DM (both), n (%)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17 (3.5%)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—</w:t>
            </w:r>
          </w:p>
        </w:tc>
        <w:tc>
          <w:tcPr>
            <w:tcW w:type="dxa" w:w="15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9260"/>
            <w:gridSpan w:val="4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6E4F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Presenting Symptoms</w:t>
            </w:r>
          </w:p>
        </w:tc>
      </w:tr>
      <w:t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Diffuse abdominal pain, n (%)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36 (8.1%)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11 (25.6%)</w:t>
            </w:r>
          </w:p>
        </w:tc>
        <w:tc>
          <w:tcPr>
            <w:tcW w:type="dxa" w:w="15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392B"/>
                <w:sz w:val="19"/>
                <w:szCs w:val="19"/>
              </w:rPr>
              <w:t xml:space="preserve">&lt; 0.001</w:t>
            </w:r>
          </w:p>
        </w:tc>
      </w:tr>
      <w:t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Right lower quadrant pain, n (%)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—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—</w:t>
            </w:r>
          </w:p>
        </w:tc>
        <w:tc>
          <w:tcPr>
            <w:tcW w:type="dxa" w:w="15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9260"/>
            <w:gridSpan w:val="4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6E4F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Histopathological Findings</w:t>
            </w:r>
          </w:p>
        </w:tc>
      </w:tr>
      <w:t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Appendiceal malignancy, n (%)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9 (2.0%)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4 (9.3%)</w:t>
            </w:r>
          </w:p>
        </w:tc>
        <w:tc>
          <w:tcPr>
            <w:tcW w:type="dxa" w:w="15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392B"/>
                <w:sz w:val="19"/>
                <w:szCs w:val="19"/>
              </w:rPr>
              <w:t xml:space="preserve">0.005</w:t>
            </w:r>
          </w:p>
        </w:tc>
      </w:tr>
      <w:t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  Adenocarcinoma, n (%)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—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2 (4.7%)</w:t>
            </w:r>
          </w:p>
        </w:tc>
        <w:tc>
          <w:tcPr>
            <w:tcW w:type="dxa" w:w="15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  Carcinoid tumor (NET), n (%)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—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1 (2.3%)</w:t>
            </w:r>
          </w:p>
        </w:tc>
        <w:tc>
          <w:tcPr>
            <w:tcW w:type="dxa" w:w="15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  Mucinous neoplasm, n (%)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—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1 (2.3%)</w:t>
            </w:r>
          </w:p>
        </w:tc>
        <w:tc>
          <w:tcPr>
            <w:tcW w:type="dxa" w:w="15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—</w:t>
            </w:r>
          </w:p>
        </w:tc>
      </w:tr>
    </w:tbl>
    <w:p>
      <w:pPr>
        <w:spacing w:before="120" w:after="60"/>
      </w:pPr>
      <w:r>
        <w:rPr>
          <w:rFonts w:ascii="Arial" w:cs="Arial" w:eastAsia="Arial" w:hAnsi="Arial"/>
          <w:i/>
          <w:iCs/>
          <w:color w:val="555555"/>
          <w:sz w:val="17"/>
          <w:szCs w:val="17"/>
        </w:rPr>
        <w:t xml:space="preserve">HT: Hypertension; DM: Diabetes Mellitus; NET: Neuroendocrine Tumor; n: number of patients; —: not available separately or not applicable. Bold red p-values indicate statistical significance (p &lt; 0.05).</w:t>
      </w:r>
    </w:p>
    <w:p>
      <w:pPr>
        <w:spacing w:before="480" w:after="16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Table 2. Intraoperative and Postoperative Characteristics by Age Group</w:t>
      </w: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2100"/>
        <w:gridCol w:w="2100"/>
        <w:gridCol w:w="1560"/>
      </w:tblGrid>
      <w:tr>
        <w:trPr>
          <w:tblHeader/>
        </w:trP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3864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Variable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3864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Group 1
18–64 yrs (n=445)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3864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Group 2
≥65 yrs (n=43)</w:t>
            </w:r>
          </w:p>
        </w:tc>
        <w:tc>
          <w:tcPr>
            <w:tcW w:type="dxa" w:w="15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3864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p-value</w:t>
            </w:r>
          </w:p>
        </w:tc>
      </w:tr>
      <w:tr>
        <w:tc>
          <w:tcPr>
            <w:tcW w:type="dxa" w:w="9260"/>
            <w:gridSpan w:val="4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6E4F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Surgical Approach</w:t>
            </w:r>
          </w:p>
        </w:tc>
      </w:tr>
      <w:t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Laparoscopic appendectomy, n (%)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300 (67.4%)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25 (58.1%)</w:t>
            </w:r>
          </w:p>
        </w:tc>
        <w:tc>
          <w:tcPr>
            <w:tcW w:type="dxa" w:w="15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Open appendectomy, n (%)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145 (32.6%)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18 (41.9%)</w:t>
            </w:r>
          </w:p>
        </w:tc>
        <w:tc>
          <w:tcPr>
            <w:tcW w:type="dxa" w:w="15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9260"/>
            <w:gridSpan w:val="4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6E4F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Operative Outcomes</w:t>
            </w:r>
          </w:p>
        </w:tc>
      </w:tr>
      <w:t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Operative time, median (range), min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60 (10–225)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75 (25–180)</w:t>
            </w:r>
          </w:p>
        </w:tc>
        <w:tc>
          <w:tcPr>
            <w:tcW w:type="dxa" w:w="15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392B"/>
                <w:sz w:val="19"/>
                <w:szCs w:val="19"/>
              </w:rPr>
              <w:t xml:space="preserve">&lt; 0.001</w:t>
            </w:r>
          </w:p>
        </w:tc>
      </w:tr>
      <w:t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Drain placement, n (%)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168 (37.8%)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29 (67.4%)</w:t>
            </w:r>
          </w:p>
        </w:tc>
        <w:tc>
          <w:tcPr>
            <w:tcW w:type="dxa" w:w="15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392B"/>
                <w:sz w:val="19"/>
                <w:szCs w:val="19"/>
              </w:rPr>
              <w:t xml:space="preserve">&lt; 0.001</w:t>
            </w:r>
          </w:p>
        </w:tc>
      </w:tr>
      <w:t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Drain duration, median (range), days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0 (0–21)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2 (0–8)</w:t>
            </w:r>
          </w:p>
        </w:tc>
        <w:tc>
          <w:tcPr>
            <w:tcW w:type="dxa" w:w="15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392B"/>
                <w:sz w:val="19"/>
                <w:szCs w:val="19"/>
              </w:rPr>
              <w:t xml:space="preserve">&lt; 0.001</w:t>
            </w:r>
          </w:p>
        </w:tc>
      </w:tr>
      <w:tr>
        <w:tc>
          <w:tcPr>
            <w:tcW w:type="dxa" w:w="9260"/>
            <w:gridSpan w:val="4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6E4F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Postoperative Outcomes</w:t>
            </w:r>
          </w:p>
        </w:tc>
      </w:tr>
      <w:t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Hospital stay, median (range), days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2 (0–21)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3 (1–8)</w:t>
            </w:r>
          </w:p>
        </w:tc>
        <w:tc>
          <w:tcPr>
            <w:tcW w:type="dxa" w:w="15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392B"/>
                <w:sz w:val="19"/>
                <w:szCs w:val="19"/>
              </w:rPr>
              <w:t xml:space="preserve">&lt; 0.001</w:t>
            </w:r>
          </w:p>
        </w:tc>
      </w:tr>
      <w:t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Any complication, n (%)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96 (21.6%)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28 (65.1%)</w:t>
            </w:r>
          </w:p>
        </w:tc>
        <w:tc>
          <w:tcPr>
            <w:tcW w:type="dxa" w:w="15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392B"/>
                <w:sz w:val="19"/>
                <w:szCs w:val="19"/>
              </w:rPr>
              <w:t xml:space="preserve">&lt; 0.001</w:t>
            </w:r>
          </w:p>
        </w:tc>
      </w:tr>
      <w:t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Wound infection, n (%)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34 (7.6%)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14 (32.6%)</w:t>
            </w:r>
          </w:p>
        </w:tc>
        <w:tc>
          <w:tcPr>
            <w:tcW w:type="dxa" w:w="15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392B"/>
                <w:sz w:val="19"/>
                <w:szCs w:val="19"/>
              </w:rPr>
              <w:t xml:space="preserve">&lt; 0.001</w:t>
            </w:r>
          </w:p>
        </w:tc>
      </w:tr>
      <w:t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Postop abscess, n (%)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71 (16.0%)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12 (27.9%)</w:t>
            </w:r>
          </w:p>
        </w:tc>
        <w:tc>
          <w:tcPr>
            <w:tcW w:type="dxa" w:w="15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392B"/>
                <w:sz w:val="19"/>
                <w:szCs w:val="19"/>
              </w:rPr>
              <w:t xml:space="preserve">&lt; 0.001</w:t>
            </w:r>
          </w:p>
        </w:tc>
      </w:tr>
      <w:t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Seroma, n (%)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7 (1.6%)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4 (9.3%)</w:t>
            </w:r>
          </w:p>
        </w:tc>
        <w:tc>
          <w:tcPr>
            <w:tcW w:type="dxa" w:w="15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392B"/>
                <w:sz w:val="19"/>
                <w:szCs w:val="19"/>
              </w:rPr>
              <w:t xml:space="preserve">&lt; 0.001</w:t>
            </w:r>
          </w:p>
        </w:tc>
      </w:tr>
      <w:t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Readmission, n (%)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10 (2.2%)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8 (18.6%)</w:t>
            </w:r>
          </w:p>
        </w:tc>
        <w:tc>
          <w:tcPr>
            <w:tcW w:type="dxa" w:w="15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392B"/>
                <w:sz w:val="19"/>
                <w:szCs w:val="19"/>
              </w:rPr>
              <w:t xml:space="preserve">&lt; 0.001</w:t>
            </w:r>
          </w:p>
        </w:tc>
      </w:tr>
      <w:tr>
        <w:tc>
          <w:tcPr>
            <w:tcW w:type="dxa" w:w="9260"/>
            <w:gridSpan w:val="4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6E4F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Clavien-Dindo Classification (Elderly Group, n=43)</w:t>
            </w:r>
          </w:p>
        </w:tc>
      </w:tr>
      <w:t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Grade I, n (%)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—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6 (14.0%)</w:t>
            </w:r>
          </w:p>
        </w:tc>
        <w:tc>
          <w:tcPr>
            <w:tcW w:type="dxa" w:w="15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Grade II, n (%)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—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12 (27.9%)</w:t>
            </w:r>
          </w:p>
        </w:tc>
        <w:tc>
          <w:tcPr>
            <w:tcW w:type="dxa" w:w="15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Grade IIIa, n (%)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—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8 (18.6%)</w:t>
            </w:r>
          </w:p>
        </w:tc>
        <w:tc>
          <w:tcPr>
            <w:tcW w:type="dxa" w:w="15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Grade IIIb, n (%)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—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2 (4.7%)</w:t>
            </w:r>
          </w:p>
        </w:tc>
        <w:tc>
          <w:tcPr>
            <w:tcW w:type="dxa" w:w="15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—</w:t>
            </w:r>
          </w:p>
        </w:tc>
      </w:tr>
      <w:t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Grade IV / V, n (%)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—</w:t>
            </w:r>
          </w:p>
        </w:tc>
        <w:tc>
          <w:tcPr>
            <w:tcW w:type="dxa" w:w="21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0 (0%)</w:t>
            </w:r>
          </w:p>
        </w:tc>
        <w:tc>
          <w:tcPr>
            <w:tcW w:type="dxa" w:w="15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—</w:t>
            </w:r>
          </w:p>
        </w:tc>
      </w:tr>
    </w:tbl>
    <w:p>
      <w:pPr>
        <w:spacing w:before="120" w:after="60"/>
      </w:pPr>
      <w:r>
        <w:rPr>
          <w:rFonts w:ascii="Arial" w:cs="Arial" w:eastAsia="Arial" w:hAnsi="Arial"/>
          <w:i/>
          <w:iCs/>
          <w:color w:val="555555"/>
          <w:sz w:val="17"/>
          <w:szCs w:val="17"/>
        </w:rPr>
        <w:t xml:space="preserve">Clavien-Dindo grades shown for elderly group only. Bold red p-values indicate statistical significance (p &lt; 0.05).</w:t>
      </w:r>
    </w:p>
    <w:p>
      <w:pPr>
        <w:spacing w:before="480" w:after="16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Table 3. Perioperative Outcomes by Surgical Approach (Entire Cohort)</w:t>
      </w: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2300"/>
        <w:gridCol w:w="2000"/>
        <w:gridCol w:w="1460"/>
      </w:tblGrid>
      <w:tr>
        <w:trPr>
          <w:tblHeader/>
        </w:trP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3864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Variable</w:t>
            </w:r>
          </w:p>
        </w:tc>
        <w:tc>
          <w:tcPr>
            <w:tcW w:type="dxa" w:w="23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3864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Laparoscopic
(n=325)</w:t>
            </w:r>
          </w:p>
        </w:tc>
        <w:tc>
          <w:tcPr>
            <w:tcW w:type="dxa" w:w="20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3864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Open
(n=163)</w:t>
            </w:r>
          </w:p>
        </w:tc>
        <w:tc>
          <w:tcPr>
            <w:tcW w:type="dxa" w:w="14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1F3864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p-value</w:t>
            </w:r>
          </w:p>
        </w:tc>
      </w:tr>
      <w:tr>
        <w:tc>
          <w:tcPr>
            <w:tcW w:type="dxa" w:w="9260"/>
            <w:gridSpan w:val="4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6E4F0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r>
              <w:rPr>
                <w:rFonts w:ascii="Arial" w:cs="Arial" w:eastAsia="Arial" w:hAnsi="Arial"/>
                <w:b/>
                <w:bCs/>
                <w:color w:val="1F3864"/>
                <w:sz w:val="20"/>
                <w:szCs w:val="20"/>
              </w:rPr>
              <w:t xml:space="preserve">Operative Outcomes</w:t>
            </w:r>
          </w:p>
        </w:tc>
      </w:tr>
      <w:t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Operative time, median (range), min</w:t>
            </w:r>
          </w:p>
        </w:tc>
        <w:tc>
          <w:tcPr>
            <w:tcW w:type="dxa" w:w="23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58 (15–200)</w:t>
            </w:r>
          </w:p>
        </w:tc>
        <w:tc>
          <w:tcPr>
            <w:tcW w:type="dxa" w:w="20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68 (10–225)</w:t>
            </w:r>
          </w:p>
        </w:tc>
        <w:tc>
          <w:tcPr>
            <w:tcW w:type="dxa" w:w="14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392B"/>
                <w:sz w:val="19"/>
                <w:szCs w:val="19"/>
              </w:rPr>
              <w:t xml:space="preserve">0.012</w:t>
            </w:r>
          </w:p>
        </w:tc>
      </w:tr>
      <w:t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Drain placement, n (%)</w:t>
            </w:r>
          </w:p>
        </w:tc>
        <w:tc>
          <w:tcPr>
            <w:tcW w:type="dxa" w:w="23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114 (35%)</w:t>
            </w:r>
          </w:p>
        </w:tc>
        <w:tc>
          <w:tcPr>
            <w:tcW w:type="dxa" w:w="20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82 (50%)</w:t>
            </w:r>
          </w:p>
        </w:tc>
        <w:tc>
          <w:tcPr>
            <w:tcW w:type="dxa" w:w="14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392B"/>
                <w:sz w:val="19"/>
                <w:szCs w:val="19"/>
              </w:rPr>
              <w:t xml:space="preserve">0.003</w:t>
            </w:r>
          </w:p>
        </w:tc>
      </w:tr>
      <w:t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Postop complications, n (%)</w:t>
            </w:r>
          </w:p>
        </w:tc>
        <w:tc>
          <w:tcPr>
            <w:tcW w:type="dxa" w:w="23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71 (22%)</w:t>
            </w:r>
          </w:p>
        </w:tc>
        <w:tc>
          <w:tcPr>
            <w:tcW w:type="dxa" w:w="20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49 (30%)</w:t>
            </w:r>
          </w:p>
        </w:tc>
        <w:tc>
          <w:tcPr>
            <w:tcW w:type="dxa" w:w="14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392B"/>
                <w:sz w:val="19"/>
                <w:szCs w:val="19"/>
              </w:rPr>
              <w:t xml:space="preserve">0.028</w:t>
            </w:r>
          </w:p>
        </w:tc>
      </w:tr>
      <w:t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Hospital stay, median (range), days</w:t>
            </w:r>
          </w:p>
        </w:tc>
        <w:tc>
          <w:tcPr>
            <w:tcW w:type="dxa" w:w="23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2.0 (0–15)</w:t>
            </w:r>
          </w:p>
        </w:tc>
        <w:tc>
          <w:tcPr>
            <w:tcW w:type="dxa" w:w="20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2.5 (0–21)</w:t>
            </w:r>
          </w:p>
        </w:tc>
        <w:tc>
          <w:tcPr>
            <w:tcW w:type="dxa" w:w="14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F2F7FB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C0392B"/>
                <w:sz w:val="19"/>
                <w:szCs w:val="19"/>
              </w:rPr>
              <w:t xml:space="preserve">0.041</w:t>
            </w:r>
          </w:p>
        </w:tc>
      </w:tr>
      <w:tr>
        <w:tc>
          <w:tcPr>
            <w:tcW w:type="dxa" w:w="35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Appendiceal malignancy, n (%)</w:t>
            </w:r>
          </w:p>
        </w:tc>
        <w:tc>
          <w:tcPr>
            <w:tcW w:type="dxa" w:w="23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8 (2.5%)</w:t>
            </w:r>
          </w:p>
        </w:tc>
        <w:tc>
          <w:tcPr>
            <w:tcW w:type="dxa" w:w="20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7 (4.0%)</w:t>
            </w:r>
          </w:p>
        </w:tc>
        <w:tc>
          <w:tcPr>
            <w:tcW w:type="dxa" w:w="14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0.152</w:t>
            </w:r>
          </w:p>
        </w:tc>
      </w:tr>
    </w:tbl>
    <w:p>
      <w:pPr>
        <w:spacing w:before="120" w:after="60"/>
      </w:pPr>
      <w:r>
        <w:rPr>
          <w:rFonts w:ascii="Arial" w:cs="Arial" w:eastAsia="Arial" w:hAnsi="Arial"/>
          <w:i/>
          <w:iCs/>
          <w:color w:val="555555"/>
          <w:sz w:val="17"/>
          <w:szCs w:val="17"/>
        </w:rPr>
        <w:t xml:space="preserve">Bold red p-values indicate statistical significance (p &lt; 0.05).</w:t>
      </w:r>
    </w:p>
    <w:sectPr>
      <w:pgSz w:w="11906" w:h="16838" w:orient="portrait"/>
      <w:pgMar w:top="1000" w:right="900" w:bottom="10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2026-03-14T22:14:40.712Z</dcterms:created>
  <dcterms:modified xsi:type="dcterms:W3CDTF">2026-03-14T22:14:40.713Z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