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F99F5" w14:textId="77777777" w:rsidR="001719DF" w:rsidRPr="001719DF" w:rsidRDefault="001719DF" w:rsidP="001719DF">
      <w:pPr>
        <w:rPr>
          <w:lang w:val="en-US"/>
        </w:rPr>
      </w:pPr>
      <w:r w:rsidRPr="001719DF">
        <w:rPr>
          <w:b/>
          <w:bCs/>
          <w:lang w:val="en-US"/>
        </w:rPr>
        <w:t>Supplementary Figure S1. Kaplan–Meier curves for overall survival and AML transformation-free survival in the retrospective cohort of patients with myelodysplastic syndromes (</w:t>
      </w:r>
      <w:r w:rsidRPr="001719DF">
        <w:rPr>
          <w:b/>
          <w:bCs/>
          <w:i/>
          <w:iCs/>
          <w:lang w:val="en-US"/>
        </w:rPr>
        <w:t>n</w:t>
      </w:r>
      <w:r w:rsidRPr="001719DF">
        <w:rPr>
          <w:b/>
          <w:bCs/>
          <w:lang w:val="en-US"/>
        </w:rPr>
        <w:t xml:space="preserve"> = 364), stratified by baseline immature platelet fraction (IPF ≥ 6.8% vs. &lt; 6.8%). A) </w:t>
      </w:r>
      <w:r w:rsidRPr="001719DF">
        <w:rPr>
          <w:lang w:val="en-US"/>
        </w:rPr>
        <w:t xml:space="preserve">Patients with IPF ≥ 6.8% had significantly shorter overall survival (log-rank </w:t>
      </w:r>
      <w:r w:rsidRPr="001719DF">
        <w:rPr>
          <w:i/>
          <w:iCs/>
          <w:lang w:val="en-US"/>
        </w:rPr>
        <w:t>p</w:t>
      </w:r>
      <w:r w:rsidRPr="001719DF">
        <w:rPr>
          <w:lang w:val="en-US"/>
        </w:rPr>
        <w:t xml:space="preserve"> = 0.022). Numbers at risk for each group are indicated below the x-axis.</w:t>
      </w:r>
      <w:r w:rsidRPr="001719DF">
        <w:rPr>
          <w:b/>
          <w:bCs/>
          <w:lang w:val="en-US"/>
        </w:rPr>
        <w:t xml:space="preserve"> B) </w:t>
      </w:r>
      <w:r w:rsidRPr="001719DF">
        <w:rPr>
          <w:lang w:val="en-US"/>
        </w:rPr>
        <w:t xml:space="preserve">Patients with IPF ≥ 6.8% had a significantly higher risk of AML transformation (log-rank </w:t>
      </w:r>
      <w:r w:rsidRPr="001719DF">
        <w:rPr>
          <w:i/>
          <w:iCs/>
          <w:lang w:val="en-US"/>
        </w:rPr>
        <w:t>p</w:t>
      </w:r>
      <w:r w:rsidRPr="001719DF">
        <w:rPr>
          <w:lang w:val="en-US"/>
        </w:rPr>
        <w:t xml:space="preserve"> = 0.033). Numbers at risk for each group are shown below the x-axis. AML, acute myeloid leukemia; MDS, myelodysplastic syndromes.</w:t>
      </w:r>
    </w:p>
    <w:p w14:paraId="381B530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DF"/>
    <w:rsid w:val="001719DF"/>
    <w:rsid w:val="00767E38"/>
    <w:rsid w:val="00866F7D"/>
    <w:rsid w:val="00CF20E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5DCC"/>
  <w15:chartTrackingRefBased/>
  <w15:docId w15:val="{4CEEFF26-7B76-4FD8-9754-EF6BDFF3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9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9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9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9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9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2026-05-08T15:31:00Z</dcterms:created>
  <dcterms:modified xsi:type="dcterms:W3CDTF">2026-05-08T15:31:00Z</dcterms:modified>
</cp:coreProperties>
</file>