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E5DC992">
      <w:pPr>
        <w:spacing w:line="360" w:lineRule="auto"/>
        <w:jc w:val="both"/>
        <w:rPr>
          <w:b/>
          <w:color w:val="000000" w:themeColor="text1"/>
          <w:sz w:val="32"/>
          <w:szCs w:val="32"/>
          <w:lang w:val="en-US"/>
          <w14:textFill>
            <w14:solidFill>
              <w14:schemeClr w14:val="tx1"/>
            </w14:solidFill>
          </w14:textFill>
        </w:rPr>
      </w:pPr>
      <w:bookmarkStart w:id="0" w:name="_Hlk207911738"/>
      <w:bookmarkEnd w:id="0"/>
      <w:bookmarkStart w:id="1" w:name="_Hlk208736434"/>
      <w:r>
        <w:rPr>
          <w:b/>
          <w:color w:val="000000" w:themeColor="text1"/>
          <w:sz w:val="32"/>
          <w:szCs w:val="32"/>
          <w:lang w:val="en-US"/>
          <w14:textFill>
            <w14:solidFill>
              <w14:schemeClr w14:val="tx1"/>
            </w14:solidFill>
          </w14:textFill>
        </w:rPr>
        <w:t>Supplementary Information</w:t>
      </w:r>
      <w:bookmarkEnd w:id="1"/>
    </w:p>
    <w:p w14:paraId="02AD023B">
      <w:pPr>
        <w:spacing w:line="360" w:lineRule="auto"/>
        <w:jc w:val="both"/>
        <w:rPr>
          <w:rFonts w:hint="default" w:eastAsia="宋体"/>
          <w:b/>
          <w:bCs/>
          <w:lang w:val="en-US"/>
        </w:rPr>
      </w:pPr>
      <w:bookmarkStart w:id="2" w:name="OLE_LINK429"/>
      <w:bookmarkStart w:id="3" w:name="OLE_LINK430"/>
    </w:p>
    <w:p w14:paraId="7C9CB34F">
      <w:pPr>
        <w:spacing w:line="360" w:lineRule="auto"/>
        <w:jc w:val="both"/>
        <w:rPr>
          <w:rFonts w:hint="default" w:eastAsia="宋体"/>
          <w:b/>
          <w:bCs/>
          <w:lang w:val="en-US" w:eastAsia="zh-CN"/>
        </w:rPr>
      </w:pPr>
      <w:r>
        <w:rPr>
          <w:rFonts w:hint="default" w:eastAsia="宋体"/>
          <w:b/>
          <w:bCs/>
          <w:lang w:val="en-US"/>
        </w:rPr>
        <w:t>Interface-</w:t>
      </w:r>
      <w:r>
        <w:rPr>
          <w:rFonts w:hint="default" w:eastAsia="宋体"/>
          <w:b/>
          <w:bCs/>
          <w:lang w:val="en-US" w:eastAsia="zh-CN"/>
        </w:rPr>
        <w:t>e</w:t>
      </w:r>
      <w:r>
        <w:rPr>
          <w:rFonts w:hint="default" w:eastAsia="宋体"/>
          <w:b/>
          <w:bCs/>
          <w:lang w:val="en-US"/>
        </w:rPr>
        <w:t xml:space="preserve">ngineered </w:t>
      </w:r>
      <w:r>
        <w:rPr>
          <w:rFonts w:hint="default" w:eastAsia="宋体"/>
          <w:b/>
          <w:bCs/>
          <w:lang w:val="en-US" w:eastAsia="zh-CN"/>
        </w:rPr>
        <w:t>h</w:t>
      </w:r>
      <w:r>
        <w:rPr>
          <w:rFonts w:hint="default" w:eastAsia="宋体"/>
          <w:b/>
          <w:bCs/>
          <w:lang w:val="en-US"/>
        </w:rPr>
        <w:t>igh-</w:t>
      </w:r>
      <w:r>
        <w:rPr>
          <w:rFonts w:hint="default" w:eastAsia="宋体"/>
          <w:b/>
          <w:bCs/>
          <w:lang w:val="en-US" w:eastAsia="zh-CN"/>
        </w:rPr>
        <w:t>e</w:t>
      </w:r>
      <w:r>
        <w:rPr>
          <w:rFonts w:hint="default" w:eastAsia="宋体"/>
          <w:b/>
          <w:bCs/>
          <w:lang w:val="en-US"/>
        </w:rPr>
        <w:t xml:space="preserve">ntropy </w:t>
      </w:r>
      <w:r>
        <w:rPr>
          <w:rFonts w:hint="default" w:eastAsia="宋体"/>
          <w:b/>
          <w:bCs/>
          <w:lang w:val="en-US" w:eastAsia="zh-CN"/>
        </w:rPr>
        <w:t>s</w:t>
      </w:r>
      <w:r>
        <w:rPr>
          <w:rFonts w:hint="default" w:eastAsia="宋体"/>
          <w:b/>
          <w:bCs/>
          <w:lang w:val="en-US"/>
        </w:rPr>
        <w:t>ingle-</w:t>
      </w:r>
      <w:r>
        <w:rPr>
          <w:rFonts w:hint="default" w:eastAsia="宋体"/>
          <w:b/>
          <w:bCs/>
          <w:lang w:val="en-US" w:eastAsia="zh-CN"/>
        </w:rPr>
        <w:t>a</w:t>
      </w:r>
      <w:r>
        <w:rPr>
          <w:rFonts w:hint="default" w:eastAsia="宋体"/>
          <w:b/>
          <w:bCs/>
          <w:lang w:val="en-US"/>
        </w:rPr>
        <w:t xml:space="preserve">tom </w:t>
      </w:r>
      <w:r>
        <w:rPr>
          <w:rFonts w:hint="default" w:eastAsia="宋体"/>
          <w:b/>
          <w:bCs/>
          <w:lang w:val="en-US" w:eastAsia="zh-CN"/>
        </w:rPr>
        <w:t>a</w:t>
      </w:r>
      <w:r>
        <w:rPr>
          <w:rFonts w:hint="default" w:eastAsia="宋体"/>
          <w:b/>
          <w:bCs/>
          <w:lang w:val="en-US"/>
        </w:rPr>
        <w:t>lloys with d-</w:t>
      </w:r>
      <w:r>
        <w:rPr>
          <w:rFonts w:hint="default" w:eastAsia="宋体"/>
          <w:b/>
          <w:bCs/>
          <w:lang w:val="en-US" w:eastAsia="zh-CN"/>
        </w:rPr>
        <w:t>b</w:t>
      </w:r>
      <w:r>
        <w:rPr>
          <w:rFonts w:hint="default" w:eastAsia="宋体"/>
          <w:b/>
          <w:bCs/>
          <w:lang w:val="en-US"/>
        </w:rPr>
        <w:t xml:space="preserve">and </w:t>
      </w:r>
      <w:r>
        <w:rPr>
          <w:rFonts w:hint="default" w:eastAsia="宋体"/>
          <w:b/>
          <w:bCs/>
          <w:lang w:val="en-US" w:eastAsia="zh-CN"/>
        </w:rPr>
        <w:t>c</w:t>
      </w:r>
      <w:r>
        <w:rPr>
          <w:rFonts w:hint="default" w:eastAsia="宋体"/>
          <w:b/>
          <w:bCs/>
          <w:lang w:val="en-US"/>
        </w:rPr>
        <w:t xml:space="preserve">enter </w:t>
      </w:r>
      <w:r>
        <w:rPr>
          <w:rFonts w:hint="default" w:eastAsia="宋体"/>
          <w:b/>
          <w:bCs/>
          <w:lang w:val="en-US" w:eastAsia="zh-CN"/>
        </w:rPr>
        <w:t>t</w:t>
      </w:r>
      <w:r>
        <w:rPr>
          <w:rFonts w:hint="default" w:eastAsia="宋体"/>
          <w:b/>
          <w:bCs/>
          <w:lang w:val="en-US"/>
        </w:rPr>
        <w:t xml:space="preserve">uning for </w:t>
      </w:r>
      <w:r>
        <w:rPr>
          <w:rFonts w:hint="default" w:eastAsia="宋体"/>
          <w:b/>
          <w:bCs/>
          <w:lang w:val="en-US" w:eastAsia="zh-CN"/>
        </w:rPr>
        <w:t>s</w:t>
      </w:r>
      <w:r>
        <w:rPr>
          <w:rFonts w:hint="default" w:eastAsia="宋体"/>
          <w:b/>
          <w:bCs/>
          <w:lang w:val="en-US"/>
        </w:rPr>
        <w:t xml:space="preserve">ynergistic </w:t>
      </w:r>
      <w:r>
        <w:rPr>
          <w:rFonts w:hint="default" w:eastAsia="宋体"/>
          <w:b/>
          <w:bCs/>
          <w:lang w:val="en-US" w:eastAsia="zh-CN"/>
        </w:rPr>
        <w:t>a</w:t>
      </w:r>
      <w:r>
        <w:rPr>
          <w:rFonts w:hint="default" w:eastAsia="宋体"/>
          <w:b/>
          <w:bCs/>
          <w:lang w:val="en-US"/>
        </w:rPr>
        <w:t xml:space="preserve">poptosis and </w:t>
      </w:r>
      <w:r>
        <w:rPr>
          <w:rFonts w:hint="default" w:eastAsia="宋体"/>
          <w:b/>
          <w:bCs/>
          <w:lang w:val="en-US" w:eastAsia="zh-CN"/>
        </w:rPr>
        <w:t>f</w:t>
      </w:r>
      <w:r>
        <w:rPr>
          <w:rFonts w:hint="default" w:eastAsia="宋体"/>
          <w:b/>
          <w:bCs/>
          <w:lang w:val="en-US"/>
        </w:rPr>
        <w:t>erroptosis</w:t>
      </w:r>
    </w:p>
    <w:bookmarkEnd w:id="2"/>
    <w:bookmarkEnd w:id="3"/>
    <w:p w14:paraId="68030860">
      <w:pPr>
        <w:pStyle w:val="65"/>
        <w:keepNext w:val="0"/>
        <w:keepLines w:val="0"/>
        <w:pageBreakBefore w:val="0"/>
        <w:kinsoku/>
        <w:wordWrap/>
        <w:overflowPunct/>
        <w:topLinePunct w:val="0"/>
        <w:autoSpaceDN/>
        <w:bidi w:val="0"/>
        <w:spacing w:line="360" w:lineRule="auto"/>
        <w:jc w:val="both"/>
        <w:textAlignment w:val="auto"/>
        <w:rPr>
          <w:rFonts w:hint="default" w:ascii="Times New Roman" w:hAnsi="Times New Roman" w:cs="Times New Roman" w:eastAsiaTheme="minorEastAsia"/>
          <w:color w:val="000000" w:themeColor="text1"/>
          <w:sz w:val="24"/>
          <w:szCs w:val="24"/>
          <w:vertAlign w:val="baseline"/>
          <w:lang w:eastAsia="zh-CN"/>
          <w14:textFill>
            <w14:solidFill>
              <w14:schemeClr w14:val="tx1"/>
            </w14:solidFill>
          </w14:textFill>
        </w:rPr>
      </w:pPr>
    </w:p>
    <w:p w14:paraId="38426BFE">
      <w:pPr>
        <w:pStyle w:val="65"/>
        <w:keepNext w:val="0"/>
        <w:keepLines w:val="0"/>
        <w:pageBreakBefore w:val="0"/>
        <w:kinsoku/>
        <w:wordWrap/>
        <w:overflowPunct/>
        <w:topLinePunct w:val="0"/>
        <w:autoSpaceDN/>
        <w:bidi w:val="0"/>
        <w:spacing w:line="360" w:lineRule="auto"/>
        <w:jc w:val="both"/>
        <w:textAlignment w:val="auto"/>
        <w:rPr>
          <w:rFonts w:hint="default" w:ascii="Times New Roman" w:hAnsi="Times New Roman" w:cs="Times New Roman" w:eastAsiaTheme="minorEastAsia"/>
          <w:color w:val="000000" w:themeColor="text1"/>
          <w:sz w:val="24"/>
          <w:szCs w:val="24"/>
          <w:vertAlign w:val="superscript"/>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vertAlign w:val="baseline"/>
          <w:lang w:eastAsia="zh-CN"/>
          <w14:textFill>
            <w14:solidFill>
              <w14:schemeClr w14:val="tx1"/>
            </w14:solidFill>
          </w14:textFill>
        </w:rPr>
        <w:t>Siyi Li,</w:t>
      </w:r>
      <w:r>
        <w:rPr>
          <w:rFonts w:hint="default" w:ascii="Times New Roman" w:hAnsi="Times New Roman" w:cs="Times New Roman" w:eastAsiaTheme="minorEastAsia"/>
          <w:color w:val="000000" w:themeColor="text1"/>
          <w:sz w:val="24"/>
          <w:szCs w:val="24"/>
          <w:vertAlign w:val="superscript"/>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4"/>
          <w:szCs w:val="24"/>
          <w:vertAlign w:val="baseline"/>
          <w:lang w:val="en-US" w:eastAsia="zh-CN"/>
          <w14:textFill>
            <w14:solidFill>
              <w14:schemeClr w14:val="tx1"/>
            </w14:solidFill>
          </w14:textFill>
        </w:rPr>
        <w:t xml:space="preserve"> </w:t>
      </w:r>
      <w:r>
        <w:rPr>
          <w:rFonts w:hint="default" w:ascii="Times New Roman" w:hAnsi="Times New Roman" w:cs="Times New Roman" w:eastAsiaTheme="minorEastAsia"/>
          <w:color w:val="000000" w:themeColor="text1"/>
          <w:sz w:val="24"/>
          <w:szCs w:val="24"/>
          <w:vertAlign w:val="baseline"/>
          <w:lang w:eastAsia="zh-CN"/>
          <w14:textFill>
            <w14:solidFill>
              <w14:schemeClr w14:val="tx1"/>
            </w14:solidFill>
          </w14:textFill>
        </w:rPr>
        <w:t>Wei Zhang,</w:t>
      </w:r>
      <w:r>
        <w:rPr>
          <w:rFonts w:hint="default" w:ascii="Times New Roman" w:hAnsi="Times New Roman" w:cs="Times New Roman" w:eastAsiaTheme="minorEastAsia"/>
          <w:color w:val="000000" w:themeColor="text1"/>
          <w:sz w:val="24"/>
          <w:szCs w:val="24"/>
          <w:vertAlign w:val="superscript"/>
          <w:lang w:val="en-US" w:eastAsia="zh-CN"/>
          <w14:textFill>
            <w14:solidFill>
              <w14:schemeClr w14:val="tx1"/>
            </w14:solidFill>
          </w14:textFill>
        </w:rPr>
        <w:t>2</w:t>
      </w:r>
      <w:r>
        <w:rPr>
          <w:rFonts w:hint="default" w:ascii="Times New Roman" w:hAnsi="Times New Roman" w:cs="Times New Roman" w:eastAsiaTheme="minorEastAsia"/>
          <w:color w:val="000000" w:themeColor="text1"/>
          <w:sz w:val="24"/>
          <w:szCs w:val="24"/>
          <w:vertAlign w:val="baseline"/>
          <w:lang w:eastAsia="zh-CN"/>
          <w14:textFill>
            <w14:solidFill>
              <w14:schemeClr w14:val="tx1"/>
            </w14:solidFill>
          </w14:textFill>
        </w:rPr>
        <w:t xml:space="preserve"> Shiyu Zhang,</w:t>
      </w:r>
      <w:r>
        <w:rPr>
          <w:rFonts w:hint="default" w:ascii="Times New Roman" w:hAnsi="Times New Roman" w:cs="Times New Roman" w:eastAsiaTheme="minorEastAsia"/>
          <w:color w:val="000000" w:themeColor="text1"/>
          <w:sz w:val="24"/>
          <w:szCs w:val="24"/>
          <w:vertAlign w:val="superscript"/>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4"/>
          <w:szCs w:val="24"/>
          <w:vertAlign w:val="baseline"/>
          <w:lang w:eastAsia="zh-CN"/>
          <w14:textFill>
            <w14:solidFill>
              <w14:schemeClr w14:val="tx1"/>
            </w14:solidFill>
          </w14:textFill>
        </w:rPr>
        <w:t xml:space="preserve"> Wubin Lv,</w:t>
      </w:r>
      <w:r>
        <w:rPr>
          <w:rFonts w:hint="default" w:ascii="Times New Roman" w:hAnsi="Times New Roman" w:cs="Times New Roman" w:eastAsiaTheme="minorEastAsia"/>
          <w:color w:val="000000" w:themeColor="text1"/>
          <w:sz w:val="24"/>
          <w:szCs w:val="24"/>
          <w:vertAlign w:val="superscript"/>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4"/>
          <w:szCs w:val="24"/>
          <w:vertAlign w:val="baseline"/>
          <w:lang w:eastAsia="zh-CN"/>
          <w14:textFill>
            <w14:solidFill>
              <w14:schemeClr w14:val="tx1"/>
            </w14:solidFill>
          </w14:textFill>
        </w:rPr>
        <w:t xml:space="preserve"> Yuxuan Zhao,</w:t>
      </w:r>
      <w:r>
        <w:rPr>
          <w:rFonts w:hint="default" w:ascii="Times New Roman" w:hAnsi="Times New Roman" w:cs="Times New Roman" w:eastAsiaTheme="minorEastAsia"/>
          <w:color w:val="000000" w:themeColor="text1"/>
          <w:sz w:val="24"/>
          <w:szCs w:val="24"/>
          <w:vertAlign w:val="superscript"/>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4"/>
          <w:szCs w:val="24"/>
          <w:vertAlign w:val="baseline"/>
          <w:lang w:eastAsia="zh-CN"/>
          <w14:textFill>
            <w14:solidFill>
              <w14:schemeClr w14:val="tx1"/>
            </w14:solidFill>
          </w14:textFill>
        </w:rPr>
        <w:t xml:space="preserve"> Zhenlin Qi,</w:t>
      </w:r>
      <w:r>
        <w:rPr>
          <w:rFonts w:hint="default" w:ascii="Times New Roman" w:hAnsi="Times New Roman" w:cs="Times New Roman" w:eastAsiaTheme="minorEastAsia"/>
          <w:color w:val="000000" w:themeColor="text1"/>
          <w:sz w:val="24"/>
          <w:szCs w:val="24"/>
          <w:vertAlign w:val="superscript"/>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4"/>
          <w:szCs w:val="24"/>
          <w:vertAlign w:val="baseline"/>
          <w:lang w:eastAsia="zh-CN"/>
          <w14:textFill>
            <w14:solidFill>
              <w14:schemeClr w14:val="tx1"/>
            </w14:solidFill>
          </w14:textFill>
        </w:rPr>
        <w:t xml:space="preserve"> Fei He,</w:t>
      </w:r>
      <w:r>
        <w:rPr>
          <w:rFonts w:hint="default" w:ascii="Times New Roman" w:hAnsi="Times New Roman" w:cs="Times New Roman" w:eastAsiaTheme="minorEastAsia"/>
          <w:color w:val="000000" w:themeColor="text1"/>
          <w:sz w:val="24"/>
          <w:szCs w:val="24"/>
          <w:vertAlign w:val="superscript"/>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4"/>
          <w:szCs w:val="24"/>
          <w:vertAlign w:val="baseline"/>
          <w:lang w:eastAsia="zh-CN"/>
          <w14:textFill>
            <w14:solidFill>
              <w14:schemeClr w14:val="tx1"/>
            </w14:solidFill>
          </w14:textFill>
        </w:rPr>
        <w:t xml:space="preserve"> Shili Gai,</w:t>
      </w:r>
      <w:r>
        <w:rPr>
          <w:rFonts w:hint="default" w:ascii="Times New Roman" w:hAnsi="Times New Roman" w:cs="Times New Roman" w:eastAsiaTheme="minorEastAsia"/>
          <w:color w:val="000000" w:themeColor="text1"/>
          <w:sz w:val="24"/>
          <w:szCs w:val="24"/>
          <w:vertAlign w:val="superscript"/>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4"/>
          <w:szCs w:val="24"/>
          <w:vertAlign w:val="baseline"/>
          <w:lang w:eastAsia="zh-CN"/>
          <w14:textFill>
            <w14:solidFill>
              <w14:schemeClr w14:val="tx1"/>
            </w14:solidFill>
          </w14:textFill>
        </w:rPr>
        <w:t xml:space="preserve"> He Ding,</w:t>
      </w:r>
      <w:r>
        <w:rPr>
          <w:rFonts w:hint="default" w:ascii="Times New Roman" w:hAnsi="Times New Roman" w:cs="Times New Roman" w:eastAsiaTheme="minorEastAsia"/>
          <w:color w:val="000000" w:themeColor="text1"/>
          <w:sz w:val="24"/>
          <w:szCs w:val="24"/>
          <w:vertAlign w:val="superscript"/>
          <w:lang w:val="en-US" w:eastAsia="zh-CN"/>
          <w14:textFill>
            <w14:solidFill>
              <w14:schemeClr w14:val="tx1"/>
            </w14:solidFill>
          </w14:textFill>
        </w:rPr>
        <w:t>1,3</w:t>
      </w:r>
      <w:r>
        <w:rPr>
          <w:rFonts w:hint="default" w:ascii="Times New Roman" w:hAnsi="Times New Roman" w:cs="Times New Roman" w:eastAsiaTheme="minorEastAsia"/>
          <w:color w:val="000000" w:themeColor="text1"/>
          <w:sz w:val="24"/>
          <w:szCs w:val="24"/>
          <w:vertAlign w:val="baseline"/>
          <w:lang w:eastAsia="zh-CN"/>
          <w14:textFill>
            <w14:solidFill>
              <w14:schemeClr w14:val="tx1"/>
            </w14:solidFill>
          </w14:textFill>
        </w:rPr>
        <w:t xml:space="preserve"> and Piaoping Yang</w:t>
      </w:r>
      <w:r>
        <w:rPr>
          <w:rFonts w:hint="default" w:ascii="Times New Roman" w:hAnsi="Times New Roman" w:cs="Times New Roman" w:eastAsiaTheme="minorEastAsia"/>
          <w:color w:val="000000" w:themeColor="text1"/>
          <w:sz w:val="24"/>
          <w:szCs w:val="24"/>
          <w:vertAlign w:val="superscript"/>
          <w:lang w:val="en-US" w:eastAsia="zh-CN"/>
          <w14:textFill>
            <w14:solidFill>
              <w14:schemeClr w14:val="tx1"/>
            </w14:solidFill>
          </w14:textFill>
        </w:rPr>
        <w:t>1</w:t>
      </w:r>
    </w:p>
    <w:p w14:paraId="6735BB66">
      <w:pPr>
        <w:pStyle w:val="65"/>
        <w:keepNext w:val="0"/>
        <w:keepLines w:val="0"/>
        <w:pageBreakBefore w:val="0"/>
        <w:kinsoku/>
        <w:wordWrap/>
        <w:overflowPunct/>
        <w:topLinePunct w:val="0"/>
        <w:autoSpaceDN/>
        <w:bidi w:val="0"/>
        <w:spacing w:line="360" w:lineRule="auto"/>
        <w:jc w:val="both"/>
        <w:textAlignment w:val="auto"/>
        <w:rPr>
          <w:rFonts w:hint="default" w:ascii="Times New Roman" w:hAnsi="Times New Roman" w:cs="Times New Roman"/>
          <w:color w:val="000000" w:themeColor="text1"/>
          <w:sz w:val="24"/>
          <w:szCs w:val="24"/>
          <w:lang w:eastAsia="zh-CN"/>
          <w14:textFill>
            <w14:solidFill>
              <w14:schemeClr w14:val="tx1"/>
            </w14:solidFill>
          </w14:textFill>
        </w:rPr>
      </w:pPr>
    </w:p>
    <w:p w14:paraId="136326E0">
      <w:pPr>
        <w:keepNext w:val="0"/>
        <w:keepLines w:val="0"/>
        <w:pageBreakBefore w:val="0"/>
        <w:kinsoku/>
        <w:wordWrap/>
        <w:overflowPunct/>
        <w:topLinePunct w:val="0"/>
        <w:autoSpaceDN/>
        <w:bidi w:val="0"/>
        <w:spacing w:line="360" w:lineRule="auto"/>
        <w:jc w:val="both"/>
        <w:textAlignment w:val="auto"/>
        <w:rPr>
          <w:rFonts w:hint="default" w:ascii="Times New Roman" w:hAnsi="Times New Roman" w:eastAsia="宋体" w:cs="Times New Roman"/>
          <w:color w:val="000000" w:themeColor="text1"/>
          <w:sz w:val="24"/>
          <w:szCs w:val="24"/>
          <w:lang w:val="en-US"/>
          <w14:textFill>
            <w14:solidFill>
              <w14:schemeClr w14:val="tx1"/>
            </w14:solidFill>
          </w14:textFill>
        </w:rPr>
      </w:pPr>
      <w:r>
        <w:rPr>
          <w:rFonts w:hint="default" w:ascii="Times New Roman" w:hAnsi="Times New Roman" w:eastAsia="宋体" w:cs="Times New Roman"/>
          <w:color w:val="000000" w:themeColor="text1"/>
          <w:sz w:val="24"/>
          <w:szCs w:val="24"/>
          <w:vertAlign w:val="superscript"/>
          <w:lang w:val="en-US"/>
          <w14:textFill>
            <w14:solidFill>
              <w14:schemeClr w14:val="tx1"/>
            </w14:solidFill>
          </w14:textFill>
        </w:rPr>
        <w:t>1</w:t>
      </w:r>
      <w:r>
        <w:rPr>
          <w:rFonts w:hint="default" w:ascii="Times New Roman" w:hAnsi="Times New Roman" w:eastAsia="宋体" w:cs="Times New Roman"/>
          <w:color w:val="000000" w:themeColor="text1"/>
          <w:sz w:val="24"/>
          <w:szCs w:val="24"/>
          <w:vertAlign w:val="superscript"/>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4"/>
          <w:szCs w:val="24"/>
          <w:lang w:val="en-US"/>
          <w14:textFill>
            <w14:solidFill>
              <w14:schemeClr w14:val="tx1"/>
            </w14:solidFill>
          </w14:textFill>
        </w:rPr>
        <w:t>Key Laboratory of Superlight Materials and Surface Technology, Ministry of Education, College of Material</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s</w:t>
      </w:r>
      <w:r>
        <w:rPr>
          <w:rFonts w:hint="default" w:ascii="Times New Roman" w:hAnsi="Times New Roman" w:eastAsia="宋体" w:cs="Times New Roman"/>
          <w:color w:val="000000" w:themeColor="text1"/>
          <w:sz w:val="24"/>
          <w:szCs w:val="24"/>
          <w:lang w:val="en-US"/>
          <w14:textFill>
            <w14:solidFill>
              <w14:schemeClr w14:val="tx1"/>
            </w14:solidFill>
          </w14:textFill>
        </w:rPr>
        <w:t xml:space="preserve"> Science</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4"/>
          <w:szCs w:val="24"/>
          <w:lang w:val="en-US"/>
          <w14:textFill>
            <w14:solidFill>
              <w14:schemeClr w14:val="tx1"/>
            </w14:solidFill>
          </w14:textFill>
        </w:rPr>
        <w:t xml:space="preserve">and Chemical Engineering, Harbin Engineering University, </w:t>
      </w:r>
      <w:r>
        <w:rPr>
          <w:rFonts w:hint="default" w:ascii="Times New Roman" w:hAnsi="Times New Roman" w:cs="Times New Roman"/>
          <w:color w:val="000000" w:themeColor="text1"/>
          <w:sz w:val="24"/>
          <w:szCs w:val="24"/>
          <w:lang w:val="en-US"/>
          <w14:textFill>
            <w14:solidFill>
              <w14:schemeClr w14:val="tx1"/>
            </w14:solidFill>
          </w14:textFill>
        </w:rPr>
        <w:t>Harbin</w:t>
      </w:r>
      <w:r>
        <w:rPr>
          <w:rFonts w:hint="default" w:ascii="Times New Roman" w:hAnsi="Times New Roman" w:eastAsia="宋体" w:cs="Times New Roman"/>
          <w:color w:val="000000" w:themeColor="text1"/>
          <w:sz w:val="24"/>
          <w:szCs w:val="24"/>
          <w:lang w:val="en-US"/>
          <w14:textFill>
            <w14:solidFill>
              <w14:schemeClr w14:val="tx1"/>
            </w14:solidFill>
          </w14:textFill>
        </w:rPr>
        <w:t xml:space="preserve"> </w:t>
      </w:r>
      <w:r>
        <w:rPr>
          <w:rFonts w:hint="default" w:ascii="Times New Roman" w:hAnsi="Times New Roman" w:cs="Times New Roman"/>
          <w:color w:val="000000" w:themeColor="text1"/>
          <w:sz w:val="24"/>
          <w:szCs w:val="24"/>
          <w:lang w:val="en-US"/>
          <w14:textFill>
            <w14:solidFill>
              <w14:schemeClr w14:val="tx1"/>
            </w14:solidFill>
          </w14:textFill>
        </w:rPr>
        <w:t>150001</w:t>
      </w:r>
      <w:r>
        <w:rPr>
          <w:rFonts w:hint="default" w:ascii="Times New Roman" w:hAnsi="Times New Roman" w:eastAsia="宋体" w:cs="Times New Roman"/>
          <w:color w:val="000000" w:themeColor="text1"/>
          <w:sz w:val="24"/>
          <w:szCs w:val="24"/>
          <w:lang w:val="en-US"/>
          <w14:textFill>
            <w14:solidFill>
              <w14:schemeClr w14:val="tx1"/>
            </w14:solidFill>
          </w14:textFill>
        </w:rPr>
        <w:t>, P. R. China</w:t>
      </w:r>
    </w:p>
    <w:p w14:paraId="1531ADB8">
      <w:pPr>
        <w:keepNext w:val="0"/>
        <w:keepLines w:val="0"/>
        <w:pageBreakBefore w:val="0"/>
        <w:kinsoku/>
        <w:wordWrap/>
        <w:overflowPunct/>
        <w:topLinePunct w:val="0"/>
        <w:autoSpaceDN/>
        <w:bidi w:val="0"/>
        <w:spacing w:line="360" w:lineRule="auto"/>
        <w:jc w:val="both"/>
        <w:textAlignment w:val="auto"/>
        <w:rPr>
          <w:rFonts w:hint="default" w:ascii="Times New Roman" w:hAnsi="Times New Roman" w:eastAsia="宋体" w:cs="Times New Roman"/>
          <w:color w:val="000000" w:themeColor="text1"/>
          <w:sz w:val="24"/>
          <w:szCs w:val="24"/>
          <w:lang w:val="en-US"/>
          <w14:textFill>
            <w14:solidFill>
              <w14:schemeClr w14:val="tx1"/>
            </w14:solidFill>
          </w14:textFill>
        </w:rPr>
      </w:pPr>
      <w:bookmarkStart w:id="4" w:name="_Hlk193547887"/>
      <w:r>
        <w:rPr>
          <w:rFonts w:hint="default" w:ascii="Times New Roman" w:hAnsi="Times New Roman" w:eastAsia="宋体" w:cs="Times New Roman"/>
          <w:color w:val="000000" w:themeColor="text1"/>
          <w:sz w:val="24"/>
          <w:szCs w:val="24"/>
          <w:vertAlign w:val="superscript"/>
          <w:lang w:val="en-US"/>
          <w14:textFill>
            <w14:solidFill>
              <w14:schemeClr w14:val="tx1"/>
            </w14:solidFill>
          </w14:textFill>
        </w:rPr>
        <w:t>2</w:t>
      </w:r>
      <w:bookmarkEnd w:id="4"/>
      <w:r>
        <w:rPr>
          <w:rFonts w:hint="default" w:ascii="Times New Roman" w:hAnsi="Times New Roman" w:eastAsia="宋体" w:cs="Times New Roman"/>
          <w:color w:val="000000" w:themeColor="text1"/>
          <w:sz w:val="24"/>
          <w:szCs w:val="24"/>
          <w:vertAlign w:val="superscript"/>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4"/>
          <w:szCs w:val="24"/>
          <w:lang w:val="en-US"/>
          <w14:textFill>
            <w14:solidFill>
              <w14:schemeClr w14:val="tx1"/>
            </w14:solidFill>
          </w14:textFill>
        </w:rPr>
        <w:t>Department of Chemistry</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4"/>
          <w:szCs w:val="24"/>
          <w:lang w:val="en-US"/>
          <w14:textFill>
            <w14:solidFill>
              <w14:schemeClr w14:val="tx1"/>
            </w14:solidFill>
          </w14:textFill>
        </w:rPr>
        <w:t>Beijing University of Chemical Technology</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4"/>
          <w:szCs w:val="24"/>
          <w:lang w:val="en-US"/>
          <w14:textFill>
            <w14:solidFill>
              <w14:schemeClr w14:val="tx1"/>
            </w14:solidFill>
          </w14:textFill>
        </w:rPr>
        <w:t>Beijing, 100029 P. R. China</w:t>
      </w:r>
    </w:p>
    <w:p w14:paraId="22B27C10">
      <w:pPr>
        <w:keepNext w:val="0"/>
        <w:keepLines w:val="0"/>
        <w:pageBreakBefore w:val="0"/>
        <w:kinsoku/>
        <w:wordWrap/>
        <w:overflowPunct/>
        <w:topLinePunct w:val="0"/>
        <w:autoSpaceDN/>
        <w:bidi w:val="0"/>
        <w:spacing w:line="360" w:lineRule="auto"/>
        <w:jc w:val="both"/>
        <w:textAlignment w:val="auto"/>
        <w:rPr>
          <w:rFonts w:hint="default" w:ascii="Times New Roman" w:hAnsi="Times New Roman" w:eastAsia="宋体" w:cs="Times New Roman"/>
          <w:color w:val="000000" w:themeColor="text1"/>
          <w:sz w:val="24"/>
          <w:szCs w:val="24"/>
          <w:vertAlign w:val="subscript"/>
          <w:lang w:val="en-US"/>
          <w14:textFill>
            <w14:solidFill>
              <w14:schemeClr w14:val="tx1"/>
            </w14:solidFill>
          </w14:textFill>
        </w:rPr>
      </w:pPr>
      <w:r>
        <w:rPr>
          <w:rFonts w:hint="default" w:ascii="Times New Roman" w:hAnsi="Times New Roman" w:eastAsia="宋体" w:cs="Times New Roman"/>
          <w:color w:val="000000" w:themeColor="text1"/>
          <w:sz w:val="24"/>
          <w:szCs w:val="24"/>
          <w:vertAlign w:val="superscript"/>
          <w:lang w:val="en-US"/>
          <w14:textFill>
            <w14:solidFill>
              <w14:schemeClr w14:val="tx1"/>
            </w14:solidFill>
          </w14:textFill>
        </w:rPr>
        <w:t>3</w:t>
      </w:r>
      <w:r>
        <w:rPr>
          <w:rFonts w:hint="default" w:ascii="Times New Roman" w:hAnsi="Times New Roman" w:eastAsia="宋体" w:cs="Times New Roman"/>
          <w:color w:val="000000" w:themeColor="text1"/>
          <w:sz w:val="24"/>
          <w:szCs w:val="24"/>
          <w:vertAlign w:val="superscript"/>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4"/>
          <w:szCs w:val="24"/>
          <w:lang w:val="en-US"/>
          <w14:textFill>
            <w14:solidFill>
              <w14:schemeClr w14:val="tx1"/>
            </w14:solidFill>
          </w14:textFill>
        </w:rPr>
        <w:t>Yangtze Delta Region Advanced Research Institute</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4"/>
          <w:szCs w:val="24"/>
          <w:lang w:val="en-US"/>
          <w14:textFill>
            <w14:solidFill>
              <w14:schemeClr w14:val="tx1"/>
            </w14:solidFill>
          </w14:textFill>
        </w:rPr>
        <w:t>Harbin Engineering University</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4"/>
          <w:szCs w:val="24"/>
          <w:lang w:val="en-US"/>
          <w14:textFill>
            <w14:solidFill>
              <w14:schemeClr w14:val="tx1"/>
            </w14:solidFill>
          </w14:textFill>
        </w:rPr>
        <w:t>NanTong, 226000, China</w:t>
      </w:r>
    </w:p>
    <w:p w14:paraId="344E35D9">
      <w:pPr>
        <w:keepNext w:val="0"/>
        <w:keepLines w:val="0"/>
        <w:pageBreakBefore w:val="0"/>
        <w:kinsoku/>
        <w:wordWrap/>
        <w:overflowPunct/>
        <w:topLinePunct w:val="0"/>
        <w:autoSpaceDN/>
        <w:bidi w:val="0"/>
        <w:spacing w:line="360" w:lineRule="auto"/>
        <w:jc w:val="both"/>
        <w:textAlignment w:val="auto"/>
        <w:rPr>
          <w:rFonts w:hint="default" w:ascii="Times New Roman" w:hAnsi="Times New Roman" w:eastAsia="宋体" w:cs="Times New Roman"/>
          <w:color w:val="000000" w:themeColor="text1"/>
          <w:sz w:val="24"/>
          <w:szCs w:val="24"/>
          <w:lang w:val="en-US"/>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Correspondence </w:t>
      </w:r>
      <w:r>
        <w:rPr>
          <w:rFonts w:hint="default" w:ascii="Times New Roman" w:hAnsi="Times New Roman" w:eastAsia="宋体" w:cs="Times New Roman"/>
          <w:color w:val="000000" w:themeColor="text1"/>
          <w:sz w:val="24"/>
          <w:szCs w:val="24"/>
          <w:lang w:val="en-US"/>
          <w14:textFill>
            <w14:solidFill>
              <w14:schemeClr w14:val="tx1"/>
            </w14:solidFill>
          </w14:textFill>
        </w:rPr>
        <w:t>and requests for materials should be addressed to</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 D.H.</w:t>
      </w:r>
      <w:r>
        <w:rPr>
          <w:rFonts w:hint="default" w:ascii="Times New Roman" w:hAnsi="Times New Roman" w:eastAsia="宋体"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(E-mail: dinghe@hrbeu.edu.cn),</w:t>
      </w:r>
      <w:r>
        <w:rPr>
          <w:rFonts w:hint="default" w:ascii="Times New Roman" w:hAnsi="Times New Roman" w:eastAsia="宋体"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P</w:t>
      </w:r>
      <w:r>
        <w:rPr>
          <w:rFonts w:hint="default" w:ascii="Times New Roman" w:hAnsi="Times New Roman" w:eastAsia="宋体" w:cs="Times New Roman"/>
          <w:color w:val="000000" w:themeColor="text1"/>
          <w:sz w:val="24"/>
          <w:szCs w:val="24"/>
          <w:lang w:val="en-US"/>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Y</w:t>
      </w:r>
      <w:r>
        <w:rPr>
          <w:rFonts w:hint="default" w:ascii="Times New Roman" w:hAnsi="Times New Roman" w:eastAsia="宋体" w:cs="Times New Roman"/>
          <w:color w:val="000000" w:themeColor="text1"/>
          <w:sz w:val="24"/>
          <w:szCs w:val="24"/>
          <w:lang w:val="en-US"/>
          <w14:textFill>
            <w14:solidFill>
              <w14:schemeClr w14:val="tx1"/>
            </w14:solidFill>
          </w14:textFill>
        </w:rPr>
        <w:t xml:space="preserve"> (</w:t>
      </w:r>
      <w:bookmarkStart w:id="5" w:name="OLE_LINK53"/>
      <w:bookmarkEnd w:id="5"/>
      <w:bookmarkStart w:id="6" w:name="OLE_LINK44"/>
      <w:r>
        <w:rPr>
          <w:rFonts w:hint="default" w:ascii="Times New Roman" w:hAnsi="Times New Roman" w:eastAsia="宋体" w:cs="Times New Roman"/>
          <w:color w:val="000000" w:themeColor="text1"/>
          <w:sz w:val="24"/>
          <w:szCs w:val="24"/>
          <w:lang w:val="en-US"/>
          <w14:textFill>
            <w14:solidFill>
              <w14:schemeClr w14:val="tx1"/>
            </w14:solidFill>
          </w14:textFill>
        </w:rPr>
        <w:t>e</w:t>
      </w:r>
      <w:r>
        <w:rPr>
          <w:rFonts w:hint="default" w:ascii="Times New Roman" w:hAnsi="Times New Roman" w:eastAsia="宋体" w:cs="Times New Roman"/>
          <w:color w:val="auto"/>
          <w:sz w:val="24"/>
          <w:szCs w:val="24"/>
          <w:lang w:val="en-US"/>
        </w:rPr>
        <w:t xml:space="preserve">mail: </w:t>
      </w:r>
      <w:bookmarkEnd w:id="6"/>
      <w:r>
        <w:rPr>
          <w:rFonts w:hint="default" w:ascii="Times New Roman" w:hAnsi="Times New Roman" w:cs="Times New Roman" w:eastAsiaTheme="minorEastAsia"/>
          <w:color w:val="auto"/>
          <w:sz w:val="24"/>
          <w:szCs w:val="24"/>
          <w:u w:val="none"/>
          <w:lang w:val="en-US" w:eastAsia="zh-CN"/>
        </w:rPr>
        <w:t>yangpiaoping@hrbeu.edu.cn</w:t>
      </w:r>
      <w:r>
        <w:rPr>
          <w:rFonts w:hint="default" w:ascii="Times New Roman" w:hAnsi="Times New Roman" w:cs="Times New Roman" w:eastAsiaTheme="minorEastAsia"/>
          <w:color w:val="auto"/>
          <w:sz w:val="24"/>
          <w:szCs w:val="24"/>
          <w:lang w:val="en-US" w:eastAsia="zh-CN"/>
        </w:rPr>
        <w:t xml:space="preserve"> </w:t>
      </w:r>
      <w:r>
        <w:rPr>
          <w:rFonts w:hint="default" w:ascii="Times New Roman" w:hAnsi="Times New Roman" w:eastAsia="宋体" w:cs="Times New Roman"/>
          <w:color w:val="auto"/>
          <w:sz w:val="24"/>
          <w:szCs w:val="24"/>
          <w:lang w:val="en-US"/>
        </w:rPr>
        <w:t>)</w:t>
      </w:r>
    </w:p>
    <w:p w14:paraId="47153576">
      <w:pPr>
        <w:spacing w:before="120" w:beforeLines="50" w:line="360" w:lineRule="auto"/>
        <w:jc w:val="both"/>
        <w:rPr>
          <w:rFonts w:eastAsia="宋体"/>
          <w:color w:val="000000" w:themeColor="text1"/>
          <w:lang w:val="en-US" w:eastAsia="zh-CN"/>
          <w14:textFill>
            <w14:solidFill>
              <w14:schemeClr w14:val="tx1"/>
            </w14:solidFill>
          </w14:textFill>
        </w:rPr>
      </w:pPr>
    </w:p>
    <w:p w14:paraId="13B0BE18">
      <w:pPr>
        <w:spacing w:line="360" w:lineRule="auto"/>
        <w:jc w:val="both"/>
        <w:rPr>
          <w:color w:val="000000" w:themeColor="text1"/>
          <w:lang w:val="en-US"/>
          <w14:textFill>
            <w14:solidFill>
              <w14:schemeClr w14:val="tx1"/>
            </w14:solidFill>
          </w14:textFill>
        </w:rPr>
      </w:pPr>
      <w:r>
        <w:rPr>
          <w:rFonts w:eastAsia="宋体"/>
          <w:color w:val="000000" w:themeColor="text1"/>
          <w:lang w:val="en-US" w:eastAsia="zh-CN" w:bidi="ar"/>
          <w14:textFill>
            <w14:solidFill>
              <w14:schemeClr w14:val="tx1"/>
            </w14:solidFill>
          </w14:textFill>
        </w:rPr>
        <w:t>The supplementary information includes:</w:t>
      </w:r>
    </w:p>
    <w:p w14:paraId="7E796A78">
      <w:pPr>
        <w:spacing w:line="360" w:lineRule="auto"/>
        <w:jc w:val="both"/>
        <w:rPr>
          <w:color w:val="000000" w:themeColor="text1"/>
          <w:highlight w:val="none"/>
          <w:lang w:val="en-US"/>
          <w14:textFill>
            <w14:solidFill>
              <w14:schemeClr w14:val="tx1"/>
            </w14:solidFill>
          </w14:textFill>
        </w:rPr>
      </w:pPr>
      <w:r>
        <w:rPr>
          <w:rFonts w:eastAsia="宋体"/>
          <w:color w:val="000000" w:themeColor="text1"/>
          <w:lang w:val="en-US" w:eastAsia="zh-CN" w:bidi="ar"/>
          <w14:textFill>
            <w14:solidFill>
              <w14:schemeClr w14:val="tx1"/>
            </w14:solidFill>
          </w14:textFill>
        </w:rPr>
        <w:t>1. Supplementary meth</w:t>
      </w:r>
      <w:r>
        <w:rPr>
          <w:rFonts w:eastAsia="宋体"/>
          <w:color w:val="000000" w:themeColor="text1"/>
          <w:highlight w:val="none"/>
          <w:lang w:val="en-US" w:eastAsia="zh-CN" w:bidi="ar"/>
          <w14:textFill>
            <w14:solidFill>
              <w14:schemeClr w14:val="tx1"/>
            </w14:solidFill>
          </w14:textFill>
        </w:rPr>
        <w:t>ods</w:t>
      </w:r>
    </w:p>
    <w:p w14:paraId="12F66FF0">
      <w:pPr>
        <w:spacing w:line="360" w:lineRule="auto"/>
        <w:jc w:val="both"/>
        <w:rPr>
          <w:rFonts w:eastAsia="宋体"/>
          <w:color w:val="000000" w:themeColor="text1"/>
          <w:highlight w:val="none"/>
          <w:lang w:val="en-US" w:eastAsia="zh-CN" w:bidi="ar"/>
          <w14:textFill>
            <w14:solidFill>
              <w14:schemeClr w14:val="tx1"/>
            </w14:solidFill>
          </w14:textFill>
        </w:rPr>
      </w:pPr>
      <w:r>
        <w:rPr>
          <w:rFonts w:eastAsia="宋体"/>
          <w:color w:val="000000" w:themeColor="text1"/>
          <w:highlight w:val="none"/>
          <w:lang w:val="en-US" w:eastAsia="zh-CN" w:bidi="ar"/>
          <w14:textFill>
            <w14:solidFill>
              <w14:schemeClr w14:val="tx1"/>
            </w14:solidFill>
          </w14:textFill>
        </w:rPr>
        <w:t>2. Supplementary Figures (Fig. 1-</w:t>
      </w:r>
      <w:r>
        <w:rPr>
          <w:rFonts w:hint="eastAsia" w:eastAsia="宋体"/>
          <w:color w:val="000000" w:themeColor="text1"/>
          <w:highlight w:val="none"/>
          <w:lang w:val="en-US" w:eastAsia="zh-CN" w:bidi="ar"/>
          <w14:textFill>
            <w14:solidFill>
              <w14:schemeClr w14:val="tx1"/>
            </w14:solidFill>
          </w14:textFill>
        </w:rPr>
        <w:t>21</w:t>
      </w:r>
      <w:r>
        <w:rPr>
          <w:rFonts w:eastAsia="宋体"/>
          <w:color w:val="000000" w:themeColor="text1"/>
          <w:highlight w:val="none"/>
          <w:lang w:val="en-US" w:eastAsia="zh-CN" w:bidi="ar"/>
          <w14:textFill>
            <w14:solidFill>
              <w14:schemeClr w14:val="tx1"/>
            </w14:solidFill>
          </w14:textFill>
        </w:rPr>
        <w:t>)</w:t>
      </w:r>
    </w:p>
    <w:p w14:paraId="5A942803">
      <w:pPr>
        <w:spacing w:line="360" w:lineRule="auto"/>
        <w:jc w:val="both"/>
        <w:rPr>
          <w:rFonts w:eastAsia="宋体"/>
          <w:highlight w:val="none"/>
          <w:lang w:val="en-US" w:eastAsia="zh-CN" w:bidi="ar"/>
        </w:rPr>
      </w:pPr>
      <w:r>
        <w:rPr>
          <w:rFonts w:hint="eastAsia" w:eastAsia="宋体"/>
          <w:highlight w:val="none"/>
          <w:lang w:val="en-US" w:eastAsia="zh-CN" w:bidi="ar"/>
        </w:rPr>
        <w:t>3</w:t>
      </w:r>
      <w:r>
        <w:rPr>
          <w:rFonts w:eastAsia="宋体"/>
          <w:highlight w:val="none"/>
          <w:lang w:val="en-US" w:eastAsia="zh-CN" w:bidi="ar"/>
        </w:rPr>
        <w:t xml:space="preserve">. </w:t>
      </w:r>
      <w:bookmarkStart w:id="7" w:name="OLE_LINK18"/>
      <w:r>
        <w:rPr>
          <w:rFonts w:eastAsia="宋体"/>
          <w:highlight w:val="none"/>
          <w:lang w:val="en-US" w:eastAsia="zh-CN" w:bidi="ar"/>
        </w:rPr>
        <w:t xml:space="preserve">Supplementary </w:t>
      </w:r>
      <w:r>
        <w:rPr>
          <w:rFonts w:hint="eastAsia" w:eastAsia="宋体"/>
          <w:highlight w:val="none"/>
          <w:lang w:val="en-US" w:eastAsia="zh-CN" w:bidi="ar"/>
        </w:rPr>
        <w:t>Table</w:t>
      </w:r>
      <w:bookmarkEnd w:id="7"/>
      <w:r>
        <w:rPr>
          <w:rFonts w:eastAsia="宋体"/>
          <w:highlight w:val="none"/>
          <w:lang w:val="en-US" w:eastAsia="zh-CN" w:bidi="ar"/>
        </w:rPr>
        <w:t>s (</w:t>
      </w:r>
      <w:r>
        <w:rPr>
          <w:rFonts w:hint="eastAsia" w:eastAsia="宋体"/>
          <w:highlight w:val="none"/>
          <w:lang w:val="en-US" w:eastAsia="zh-CN" w:bidi="ar"/>
        </w:rPr>
        <w:t>Table</w:t>
      </w:r>
      <w:r>
        <w:rPr>
          <w:rFonts w:eastAsia="宋体"/>
          <w:highlight w:val="none"/>
          <w:lang w:val="en-US" w:eastAsia="zh-CN" w:bidi="ar"/>
        </w:rPr>
        <w:t>. 1-</w:t>
      </w:r>
      <w:r>
        <w:rPr>
          <w:rFonts w:hint="eastAsia" w:eastAsia="宋体"/>
          <w:highlight w:val="none"/>
          <w:lang w:val="en-US" w:eastAsia="zh-CN" w:bidi="ar"/>
        </w:rPr>
        <w:t>3</w:t>
      </w:r>
      <w:r>
        <w:rPr>
          <w:rFonts w:eastAsia="宋体"/>
          <w:highlight w:val="none"/>
          <w:lang w:val="en-US" w:eastAsia="zh-CN" w:bidi="ar"/>
        </w:rPr>
        <w:t>)</w:t>
      </w:r>
    </w:p>
    <w:p w14:paraId="1BDECFF4">
      <w:pPr>
        <w:pStyle w:val="18"/>
        <w:keepNext w:val="0"/>
        <w:keepLines w:val="0"/>
        <w:pageBreakBefore w:val="0"/>
        <w:widowControl/>
        <w:kinsoku/>
        <w:wordWrap/>
        <w:overflowPunct/>
        <w:topLinePunct w:val="0"/>
        <w:autoSpaceDN/>
        <w:bidi w:val="0"/>
        <w:spacing w:before="0" w:after="0" w:line="360" w:lineRule="auto"/>
        <w:textAlignment w:val="auto"/>
        <w:rPr>
          <w:rFonts w:hint="default" w:ascii="Times New Roman" w:hAnsi="Times New Roman" w:cs="Times New Roman" w:eastAsiaTheme="minorEastAsia"/>
          <w:bCs/>
          <w:sz w:val="22"/>
          <w:szCs w:val="22"/>
          <w:lang w:val="de-DE" w:eastAsia="zh-CN"/>
        </w:rPr>
      </w:pPr>
    </w:p>
    <w:p w14:paraId="7924705F">
      <w:pPr>
        <w:rPr>
          <w:rFonts w:hint="default" w:ascii="Times New Roman" w:hAnsi="Times New Roman" w:cs="Times New Roman" w:eastAsiaTheme="minorEastAsia"/>
          <w:bCs/>
          <w:sz w:val="22"/>
          <w:szCs w:val="22"/>
          <w:lang w:val="de-DE" w:eastAsia="zh-CN"/>
        </w:rPr>
      </w:pPr>
      <w:r>
        <w:rPr>
          <w:rFonts w:hint="default" w:ascii="Times New Roman" w:hAnsi="Times New Roman" w:cs="Times New Roman" w:eastAsiaTheme="minorEastAsia"/>
          <w:bCs/>
          <w:sz w:val="22"/>
          <w:szCs w:val="22"/>
          <w:lang w:val="de-DE" w:eastAsia="zh-CN"/>
        </w:rPr>
        <w:br w:type="page"/>
      </w:r>
    </w:p>
    <w:p w14:paraId="440B1363">
      <w:pPr>
        <w:spacing w:line="360" w:lineRule="auto"/>
        <w:jc w:val="both"/>
        <w:rPr>
          <w:b/>
          <w:bCs/>
          <w:color w:val="000000" w:themeColor="text1"/>
          <w:sz w:val="28"/>
          <w:szCs w:val="28"/>
          <w:lang w:val="en-US"/>
          <w14:textFill>
            <w14:solidFill>
              <w14:schemeClr w14:val="tx1"/>
            </w14:solidFill>
          </w14:textFill>
        </w:rPr>
      </w:pPr>
      <w:bookmarkStart w:id="8" w:name="OLE_LINK4"/>
      <w:r>
        <w:rPr>
          <w:b/>
          <w:bCs/>
          <w:color w:val="000000" w:themeColor="text1"/>
          <w:sz w:val="28"/>
          <w:szCs w:val="28"/>
          <w:lang w:val="en-US"/>
          <w14:textFill>
            <w14:solidFill>
              <w14:schemeClr w14:val="tx1"/>
            </w14:solidFill>
          </w14:textFill>
        </w:rPr>
        <w:t>1. Supplementary methods</w:t>
      </w:r>
    </w:p>
    <w:bookmarkEnd w:id="8"/>
    <w:p w14:paraId="77F38FE9">
      <w:pPr>
        <w:widowControl w:val="0"/>
        <w:spacing w:line="360" w:lineRule="auto"/>
        <w:jc w:val="both"/>
        <w:rPr>
          <w:rFonts w:eastAsia="宋体"/>
          <w:b/>
          <w:bCs/>
          <w:color w:val="000000" w:themeColor="text1"/>
          <w:kern w:val="2"/>
          <w:lang w:val="en-US" w:eastAsia="zh-CN"/>
          <w14:textFill>
            <w14:solidFill>
              <w14:schemeClr w14:val="tx1"/>
            </w14:solidFill>
          </w14:textFill>
        </w:rPr>
      </w:pPr>
      <w:r>
        <w:rPr>
          <w:rFonts w:eastAsia="宋体"/>
          <w:b/>
          <w:bCs/>
          <w:color w:val="000000" w:themeColor="text1"/>
          <w:kern w:val="2"/>
          <w:lang w:val="en-US" w:eastAsia="zh-CN"/>
          <w14:textFill>
            <w14:solidFill>
              <w14:schemeClr w14:val="tx1"/>
            </w14:solidFill>
          </w14:textFill>
        </w:rPr>
        <w:t>Chemicals and materials</w:t>
      </w:r>
    </w:p>
    <w:p w14:paraId="639A4A03">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en-US" w:eastAsia="zh-CN" w:bidi="ar"/>
        </w:rPr>
      </w:pPr>
      <w:bookmarkStart w:id="9" w:name="OLE_LINK10"/>
      <w:bookmarkStart w:id="10" w:name="OLE_LINK11"/>
      <w:r>
        <w:rPr>
          <w:rFonts w:hint="default" w:ascii="Times New Roman" w:hAnsi="Times New Roman" w:cs="Times New Roman"/>
          <w:sz w:val="24"/>
          <w:szCs w:val="24"/>
          <w:lang w:eastAsia="zh-CN" w:bidi="ar"/>
        </w:rPr>
        <w:t>Iron (III) nitrate nonahydrate ((Fe(NO</w:t>
      </w:r>
      <w:r>
        <w:rPr>
          <w:rFonts w:hint="default" w:ascii="Times New Roman" w:hAnsi="Times New Roman" w:cs="Times New Roman"/>
          <w:sz w:val="24"/>
          <w:szCs w:val="24"/>
          <w:vertAlign w:val="subscript"/>
          <w:lang w:eastAsia="zh-CN" w:bidi="ar"/>
        </w:rPr>
        <w:t>3</w:t>
      </w:r>
      <w:r>
        <w:rPr>
          <w:rFonts w:hint="default" w:ascii="Times New Roman" w:hAnsi="Times New Roman" w:cs="Times New Roman"/>
          <w:sz w:val="24"/>
          <w:szCs w:val="24"/>
          <w:lang w:eastAsia="zh-CN" w:bidi="ar"/>
        </w:rPr>
        <w:t>)</w:t>
      </w:r>
      <w:r>
        <w:rPr>
          <w:rFonts w:hint="default" w:ascii="Times New Roman" w:hAnsi="Times New Roman" w:cs="Times New Roman"/>
          <w:sz w:val="24"/>
          <w:szCs w:val="24"/>
          <w:vertAlign w:val="subscript"/>
          <w:lang w:eastAsia="zh-CN" w:bidi="ar"/>
        </w:rPr>
        <w:t>3</w:t>
      </w:r>
      <w:r>
        <w:rPr>
          <w:rFonts w:hint="default" w:ascii="Times New Roman" w:hAnsi="Times New Roman" w:cs="Times New Roman"/>
          <w:sz w:val="24"/>
          <w:szCs w:val="24"/>
          <w:lang w:eastAsia="zh-CN" w:bidi="ar"/>
        </w:rPr>
        <w:t>·9H</w:t>
      </w:r>
      <w:r>
        <w:rPr>
          <w:rFonts w:hint="default" w:ascii="Times New Roman" w:hAnsi="Times New Roman" w:cs="Times New Roman"/>
          <w:sz w:val="24"/>
          <w:szCs w:val="24"/>
          <w:vertAlign w:val="subscript"/>
          <w:lang w:eastAsia="zh-CN" w:bidi="ar"/>
        </w:rPr>
        <w:t>2</w:t>
      </w:r>
      <w:r>
        <w:rPr>
          <w:rFonts w:hint="default" w:ascii="Times New Roman" w:hAnsi="Times New Roman" w:cs="Times New Roman"/>
          <w:sz w:val="24"/>
          <w:szCs w:val="24"/>
          <w:lang w:eastAsia="zh-CN" w:bidi="ar"/>
        </w:rPr>
        <w:t>O, 99%), molybdenum(III) chloridecobalt (MoCl</w:t>
      </w:r>
      <w:r>
        <w:rPr>
          <w:rFonts w:hint="default" w:ascii="Times New Roman" w:hAnsi="Times New Roman" w:cs="Times New Roman"/>
          <w:sz w:val="24"/>
          <w:szCs w:val="24"/>
          <w:vertAlign w:val="subscript"/>
          <w:lang w:eastAsia="zh-CN" w:bidi="ar"/>
        </w:rPr>
        <w:t>2</w:t>
      </w:r>
      <w:r>
        <w:rPr>
          <w:rFonts w:hint="default" w:ascii="Times New Roman" w:hAnsi="Times New Roman" w:cs="Times New Roman"/>
          <w:sz w:val="24"/>
          <w:szCs w:val="24"/>
          <w:lang w:eastAsia="zh-CN" w:bidi="ar"/>
        </w:rPr>
        <w:t>·7H</w:t>
      </w:r>
      <w:r>
        <w:rPr>
          <w:rFonts w:hint="default" w:ascii="Times New Roman" w:hAnsi="Times New Roman" w:cs="Times New Roman"/>
          <w:sz w:val="24"/>
          <w:szCs w:val="24"/>
          <w:vertAlign w:val="subscript"/>
          <w:lang w:eastAsia="zh-CN" w:bidi="ar"/>
        </w:rPr>
        <w:t>2</w:t>
      </w:r>
      <w:r>
        <w:rPr>
          <w:rFonts w:hint="default" w:ascii="Times New Roman" w:hAnsi="Times New Roman" w:cs="Times New Roman"/>
          <w:sz w:val="24"/>
          <w:szCs w:val="24"/>
          <w:lang w:eastAsia="zh-CN" w:bidi="ar"/>
        </w:rPr>
        <w:t>O, 98%), cerium(III) chloride (CeCl</w:t>
      </w:r>
      <w:r>
        <w:rPr>
          <w:rFonts w:hint="default" w:ascii="Times New Roman" w:hAnsi="Times New Roman" w:cs="Times New Roman"/>
          <w:sz w:val="24"/>
          <w:szCs w:val="24"/>
          <w:vertAlign w:val="subscript"/>
          <w:lang w:eastAsia="zh-CN" w:bidi="ar"/>
        </w:rPr>
        <w:t>2</w:t>
      </w:r>
      <w:r>
        <w:rPr>
          <w:rFonts w:hint="default" w:ascii="Times New Roman" w:hAnsi="Times New Roman" w:cs="Times New Roman"/>
          <w:sz w:val="24"/>
          <w:szCs w:val="24"/>
          <w:lang w:eastAsia="zh-CN" w:bidi="ar"/>
        </w:rPr>
        <w:t>·2H</w:t>
      </w:r>
      <w:r>
        <w:rPr>
          <w:rFonts w:hint="default" w:ascii="Times New Roman" w:hAnsi="Times New Roman" w:cs="Times New Roman"/>
          <w:sz w:val="24"/>
          <w:szCs w:val="24"/>
          <w:vertAlign w:val="subscript"/>
          <w:lang w:eastAsia="zh-CN" w:bidi="ar"/>
        </w:rPr>
        <w:t>2</w:t>
      </w:r>
      <w:r>
        <w:rPr>
          <w:rFonts w:hint="default" w:ascii="Times New Roman" w:hAnsi="Times New Roman" w:cs="Times New Roman"/>
          <w:sz w:val="24"/>
          <w:szCs w:val="24"/>
          <w:lang w:eastAsia="zh-CN" w:bidi="ar"/>
        </w:rPr>
        <w:t>O, 98%), molybdenum acetylacetonate (C</w:t>
      </w:r>
      <w:r>
        <w:rPr>
          <w:rFonts w:hint="default" w:ascii="Times New Roman" w:hAnsi="Times New Roman" w:cs="Times New Roman"/>
          <w:sz w:val="24"/>
          <w:szCs w:val="24"/>
          <w:vertAlign w:val="subscript"/>
          <w:lang w:eastAsia="zh-CN" w:bidi="ar"/>
        </w:rPr>
        <w:t>10</w:t>
      </w:r>
      <w:r>
        <w:rPr>
          <w:rFonts w:hint="default" w:ascii="Times New Roman" w:hAnsi="Times New Roman" w:cs="Times New Roman"/>
          <w:sz w:val="24"/>
          <w:szCs w:val="24"/>
          <w:lang w:eastAsia="zh-CN" w:bidi="ar"/>
        </w:rPr>
        <w:t>H</w:t>
      </w:r>
      <w:r>
        <w:rPr>
          <w:rFonts w:hint="default" w:ascii="Times New Roman" w:hAnsi="Times New Roman" w:cs="Times New Roman"/>
          <w:sz w:val="24"/>
          <w:szCs w:val="24"/>
          <w:vertAlign w:val="subscript"/>
          <w:lang w:eastAsia="zh-CN" w:bidi="ar"/>
        </w:rPr>
        <w:t>14</w:t>
      </w:r>
      <w:r>
        <w:rPr>
          <w:rFonts w:hint="default" w:ascii="Times New Roman" w:hAnsi="Times New Roman" w:cs="Times New Roman"/>
          <w:sz w:val="24"/>
          <w:szCs w:val="24"/>
          <w:lang w:eastAsia="zh-CN" w:bidi="ar"/>
        </w:rPr>
        <w:t>MoO</w:t>
      </w:r>
      <w:r>
        <w:rPr>
          <w:rFonts w:hint="default" w:ascii="Times New Roman" w:hAnsi="Times New Roman" w:cs="Times New Roman"/>
          <w:sz w:val="24"/>
          <w:szCs w:val="24"/>
          <w:vertAlign w:val="subscript"/>
          <w:lang w:eastAsia="zh-CN" w:bidi="ar"/>
        </w:rPr>
        <w:t>6</w:t>
      </w:r>
      <w:r>
        <w:rPr>
          <w:rFonts w:hint="default" w:ascii="Times New Roman" w:hAnsi="Times New Roman" w:cs="Times New Roman"/>
          <w:sz w:val="24"/>
          <w:szCs w:val="24"/>
          <w:lang w:eastAsia="zh-CN" w:bidi="ar"/>
        </w:rPr>
        <w:t>), cerium acetylacetonate (Ce(C</w:t>
      </w:r>
      <w:r>
        <w:rPr>
          <w:rFonts w:hint="default" w:ascii="Times New Roman" w:hAnsi="Times New Roman" w:cs="Times New Roman"/>
          <w:sz w:val="24"/>
          <w:szCs w:val="24"/>
          <w:vertAlign w:val="subscript"/>
          <w:lang w:eastAsia="zh-CN" w:bidi="ar"/>
        </w:rPr>
        <w:t>5</w:t>
      </w:r>
      <w:r>
        <w:rPr>
          <w:rFonts w:hint="default" w:ascii="Times New Roman" w:hAnsi="Times New Roman" w:cs="Times New Roman"/>
          <w:sz w:val="24"/>
          <w:szCs w:val="24"/>
          <w:lang w:eastAsia="zh-CN" w:bidi="ar"/>
        </w:rPr>
        <w:t>H</w:t>
      </w:r>
      <w:r>
        <w:rPr>
          <w:rFonts w:hint="default" w:ascii="Times New Roman" w:hAnsi="Times New Roman" w:cs="Times New Roman"/>
          <w:sz w:val="24"/>
          <w:szCs w:val="24"/>
          <w:vertAlign w:val="subscript"/>
          <w:lang w:eastAsia="zh-CN" w:bidi="ar"/>
        </w:rPr>
        <w:t>7</w:t>
      </w:r>
      <w:r>
        <w:rPr>
          <w:rFonts w:hint="default" w:ascii="Times New Roman" w:hAnsi="Times New Roman" w:cs="Times New Roman"/>
          <w:sz w:val="24"/>
          <w:szCs w:val="24"/>
          <w:lang w:eastAsia="zh-CN" w:bidi="ar"/>
        </w:rPr>
        <w:t>O</w:t>
      </w:r>
      <w:r>
        <w:rPr>
          <w:rFonts w:hint="default" w:ascii="Times New Roman" w:hAnsi="Times New Roman" w:cs="Times New Roman"/>
          <w:sz w:val="24"/>
          <w:szCs w:val="24"/>
          <w:vertAlign w:val="subscript"/>
          <w:lang w:eastAsia="zh-CN" w:bidi="ar"/>
        </w:rPr>
        <w:t>2</w:t>
      </w:r>
      <w:r>
        <w:rPr>
          <w:rFonts w:hint="default" w:ascii="Times New Roman" w:hAnsi="Times New Roman" w:cs="Times New Roman"/>
          <w:sz w:val="24"/>
          <w:szCs w:val="24"/>
          <w:lang w:eastAsia="zh-CN" w:bidi="ar"/>
        </w:rPr>
        <w:t>)</w:t>
      </w:r>
      <w:r>
        <w:rPr>
          <w:rFonts w:hint="default" w:ascii="Times New Roman" w:hAnsi="Times New Roman" w:cs="Times New Roman"/>
          <w:sz w:val="24"/>
          <w:szCs w:val="24"/>
          <w:vertAlign w:val="subscript"/>
          <w:lang w:eastAsia="zh-CN" w:bidi="ar"/>
        </w:rPr>
        <w:t>3</w:t>
      </w:r>
      <w:r>
        <w:rPr>
          <w:rFonts w:hint="default" w:ascii="Times New Roman" w:hAnsi="Times New Roman" w:cs="Times New Roman"/>
          <w:sz w:val="24"/>
          <w:szCs w:val="24"/>
          <w:lang w:eastAsia="zh-CN" w:bidi="ar"/>
        </w:rPr>
        <w:t>·xH</w:t>
      </w:r>
      <w:r>
        <w:rPr>
          <w:rFonts w:hint="default" w:ascii="Times New Roman" w:hAnsi="Times New Roman" w:cs="Times New Roman"/>
          <w:sz w:val="24"/>
          <w:szCs w:val="24"/>
          <w:vertAlign w:val="subscript"/>
          <w:lang w:eastAsia="zh-CN" w:bidi="ar"/>
        </w:rPr>
        <w:t>2</w:t>
      </w:r>
      <w:r>
        <w:rPr>
          <w:rFonts w:hint="default" w:ascii="Times New Roman" w:hAnsi="Times New Roman" w:cs="Times New Roman"/>
          <w:sz w:val="24"/>
          <w:szCs w:val="24"/>
          <w:lang w:eastAsia="zh-CN" w:bidi="ar"/>
        </w:rPr>
        <w:t>O), sodium molybdate, 2-aminoterephthalic acid (98%), N, N-dimethylformamide (C</w:t>
      </w:r>
      <w:r>
        <w:rPr>
          <w:rFonts w:hint="default" w:ascii="Times New Roman" w:hAnsi="Times New Roman" w:cs="Times New Roman"/>
          <w:sz w:val="24"/>
          <w:szCs w:val="24"/>
          <w:vertAlign w:val="subscript"/>
          <w:lang w:eastAsia="zh-CN" w:bidi="ar"/>
        </w:rPr>
        <w:t>3</w:t>
      </w:r>
      <w:r>
        <w:rPr>
          <w:rFonts w:hint="default" w:ascii="Times New Roman" w:hAnsi="Times New Roman" w:cs="Times New Roman"/>
          <w:sz w:val="24"/>
          <w:szCs w:val="24"/>
          <w:lang w:eastAsia="zh-CN" w:bidi="ar"/>
        </w:rPr>
        <w:t>H</w:t>
      </w:r>
      <w:r>
        <w:rPr>
          <w:rFonts w:hint="default" w:ascii="Times New Roman" w:hAnsi="Times New Roman" w:cs="Times New Roman"/>
          <w:sz w:val="24"/>
          <w:szCs w:val="24"/>
          <w:vertAlign w:val="subscript"/>
          <w:lang w:eastAsia="zh-CN" w:bidi="ar"/>
        </w:rPr>
        <w:t>7</w:t>
      </w:r>
      <w:r>
        <w:rPr>
          <w:rFonts w:hint="default" w:ascii="Times New Roman" w:hAnsi="Times New Roman" w:cs="Times New Roman"/>
          <w:sz w:val="24"/>
          <w:szCs w:val="24"/>
          <w:lang w:eastAsia="zh-CN" w:bidi="ar"/>
        </w:rPr>
        <w:t xml:space="preserve">NO, 99.5%), triethanolamine (TEA, 98%), BPS (99%), and phosphonitrilic chloride trimer (98%) were acquired from Aladdin Biochemical Technology Co., Ltd. </w:t>
      </w:r>
      <w:r>
        <w:rPr>
          <w:rFonts w:hint="default" w:ascii="Times New Roman" w:hAnsi="Times New Roman" w:cs="Times New Roman"/>
          <w:sz w:val="24"/>
          <w:szCs w:val="24"/>
          <w:lang w:val="en-US" w:eastAsia="zh-CN" w:bidi="ar"/>
        </w:rPr>
        <w:t>Further, TMB, TEMP (AR), DMPO (AR), DTNB (98%), GSH (98%), PI (98%), alcein AM (97%), TA, dimethyl sulfoxide (98%), and glutaric dialdehyde (25%) were purchased from Aladdin (Shanghai, China). In addition, MTT (97%), fluorescein isothiocyanate (FITC), DCFH-DA, singlet oxygen sensor green, tris(4,7-diphenyl-1,10-phenanthroline)-ruthenium(II) dichloride ([Ru(dpp)</w:t>
      </w:r>
      <w:r>
        <w:rPr>
          <w:rFonts w:hint="default" w:ascii="Times New Roman" w:hAnsi="Times New Roman" w:cs="Times New Roman"/>
          <w:sz w:val="24"/>
          <w:szCs w:val="24"/>
          <w:vertAlign w:val="subscript"/>
          <w:lang w:val="en-US" w:eastAsia="zh-CN" w:bidi="ar"/>
        </w:rPr>
        <w:t>3</w:t>
      </w:r>
      <w:r>
        <w:rPr>
          <w:rFonts w:hint="default" w:ascii="Times New Roman" w:hAnsi="Times New Roman" w:cs="Times New Roman"/>
          <w:sz w:val="24"/>
          <w:szCs w:val="24"/>
          <w:lang w:val="en-US" w:eastAsia="zh-CN" w:bidi="ar"/>
        </w:rPr>
        <w:t>]</w:t>
      </w:r>
      <w:r>
        <w:rPr>
          <w:rFonts w:hint="default" w:ascii="Times New Roman" w:hAnsi="Times New Roman" w:cs="Times New Roman"/>
          <w:sz w:val="24"/>
          <w:szCs w:val="24"/>
          <w:vertAlign w:val="superscript"/>
          <w:lang w:val="en-US" w:eastAsia="zh-CN" w:bidi="ar"/>
        </w:rPr>
        <w:t>2+</w:t>
      </w:r>
      <w:r>
        <w:rPr>
          <w:rFonts w:hint="default" w:ascii="Times New Roman" w:hAnsi="Times New Roman" w:cs="Times New Roman"/>
          <w:sz w:val="24"/>
          <w:szCs w:val="24"/>
          <w:lang w:val="en-US" w:eastAsia="zh-CN" w:bidi="ar"/>
        </w:rPr>
        <w:t>Cl</w:t>
      </w:r>
      <w:r>
        <w:rPr>
          <w:rFonts w:hint="default" w:ascii="Times New Roman" w:hAnsi="Times New Roman" w:cs="Times New Roman"/>
          <w:sz w:val="24"/>
          <w:szCs w:val="24"/>
          <w:vertAlign w:val="subscript"/>
          <w:lang w:val="en-US" w:eastAsia="zh-CN" w:bidi="ar"/>
        </w:rPr>
        <w:t>2</w:t>
      </w:r>
      <w:r>
        <w:rPr>
          <w:rFonts w:hint="default" w:ascii="Times New Roman" w:hAnsi="Times New Roman" w:cs="Times New Roman"/>
          <w:sz w:val="24"/>
          <w:szCs w:val="24"/>
          <w:lang w:val="en-US" w:eastAsia="zh-CN" w:bidi="ar"/>
        </w:rPr>
        <w:t>), AO</w:t>
      </w:r>
      <w:r>
        <w:rPr>
          <w:rFonts w:hint="default" w:ascii="Times New Roman" w:hAnsi="Times New Roman" w:eastAsia="宋体" w:cs="Times New Roman"/>
          <w:sz w:val="24"/>
          <w:szCs w:val="24"/>
          <w:lang w:val="en-US" w:eastAsia="zh-CN" w:bidi="ar"/>
        </w:rPr>
        <w:t xml:space="preserve">, </w:t>
      </w:r>
      <w:r>
        <w:rPr>
          <w:rFonts w:hint="default" w:ascii="Times New Roman" w:hAnsi="Times New Roman" w:cs="Times New Roman"/>
          <w:sz w:val="24"/>
          <w:szCs w:val="24"/>
          <w:lang w:val="en-US" w:eastAsia="zh-CN" w:bidi="ar"/>
        </w:rPr>
        <w:t>and JC-1 staining kit were supplied by Beyotime Co., Ltd. The RPMI cell medium and PBS were purchased from Thermo Fisher Scientific.</w:t>
      </w:r>
    </w:p>
    <w:p w14:paraId="1034B390">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en-US" w:eastAsia="zh-CN" w:bidi="ar"/>
        </w:rPr>
      </w:pPr>
    </w:p>
    <w:bookmarkEnd w:id="9"/>
    <w:bookmarkEnd w:id="10"/>
    <w:p w14:paraId="31162E41">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b/>
          <w:color w:val="000000" w:themeColor="text1"/>
          <w:sz w:val="24"/>
          <w:szCs w:val="24"/>
          <w:lang w:val="en-US" w:eastAsia="zh-CN"/>
          <w14:textFill>
            <w14:solidFill>
              <w14:schemeClr w14:val="tx1"/>
            </w14:solidFill>
          </w14:textFill>
        </w:rPr>
        <w:t>Preparation of MIL-101(Fe)</w:t>
      </w:r>
    </w:p>
    <w:p w14:paraId="3AF9534C">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en-US" w:eastAsia="zh-CN" w:bidi="ar"/>
        </w:rPr>
      </w:pPr>
      <w:r>
        <w:rPr>
          <w:rFonts w:hint="default" w:ascii="Times New Roman" w:hAnsi="Times New Roman" w:cs="Times New Roman"/>
          <w:sz w:val="24"/>
          <w:szCs w:val="24"/>
          <w:lang w:val="en-US" w:eastAsia="zh-CN" w:bidi="ar"/>
        </w:rPr>
        <w:t>Fe(NO</w:t>
      </w:r>
      <w:r>
        <w:rPr>
          <w:rFonts w:hint="default" w:ascii="Times New Roman" w:hAnsi="Times New Roman" w:cs="Times New Roman"/>
          <w:sz w:val="24"/>
          <w:szCs w:val="24"/>
          <w:vertAlign w:val="subscript"/>
          <w:lang w:val="en-US" w:eastAsia="zh-CN" w:bidi="ar"/>
        </w:rPr>
        <w:t>3</w:t>
      </w:r>
      <w:r>
        <w:rPr>
          <w:rFonts w:hint="default" w:ascii="Times New Roman" w:hAnsi="Times New Roman" w:cs="Times New Roman"/>
          <w:sz w:val="24"/>
          <w:szCs w:val="24"/>
          <w:lang w:val="en-US" w:eastAsia="zh-CN" w:bidi="ar"/>
        </w:rPr>
        <w:t>)</w:t>
      </w:r>
      <w:r>
        <w:rPr>
          <w:rFonts w:hint="default" w:ascii="Times New Roman" w:hAnsi="Times New Roman" w:cs="Times New Roman"/>
          <w:sz w:val="24"/>
          <w:szCs w:val="24"/>
          <w:vertAlign w:val="subscript"/>
          <w:lang w:val="en-US" w:eastAsia="zh-CN" w:bidi="ar"/>
        </w:rPr>
        <w:t>3</w:t>
      </w:r>
      <w:r>
        <w:rPr>
          <w:rFonts w:hint="default" w:ascii="Times New Roman" w:hAnsi="Times New Roman" w:cs="Times New Roman"/>
          <w:sz w:val="24"/>
          <w:szCs w:val="24"/>
          <w:lang w:val="en-US" w:eastAsia="zh-CN" w:bidi="ar"/>
        </w:rPr>
        <w:t>·9H</w:t>
      </w:r>
      <w:r>
        <w:rPr>
          <w:rFonts w:hint="default" w:ascii="Times New Roman" w:hAnsi="Times New Roman" w:cs="Times New Roman"/>
          <w:sz w:val="24"/>
          <w:szCs w:val="24"/>
          <w:vertAlign w:val="subscript"/>
          <w:lang w:val="en-US" w:eastAsia="zh-CN" w:bidi="ar"/>
        </w:rPr>
        <w:t>2</w:t>
      </w:r>
      <w:r>
        <w:rPr>
          <w:rFonts w:hint="default" w:ascii="Times New Roman" w:hAnsi="Times New Roman" w:cs="Times New Roman"/>
          <w:sz w:val="24"/>
          <w:szCs w:val="24"/>
          <w:lang w:val="en-US" w:eastAsia="zh-CN" w:bidi="ar"/>
        </w:rPr>
        <w:t xml:space="preserve">O, 2-aminoterephthalic acid, and deionized water (DI water) with the molar ratio of 1:1:5 were mixed for 2 </w:t>
      </w:r>
      <w:r>
        <w:rPr>
          <w:rFonts w:hint="default" w:ascii="Times New Roman" w:hAnsi="Times New Roman" w:eastAsia="宋体" w:cs="Times New Roman"/>
          <w:sz w:val="24"/>
          <w:szCs w:val="24"/>
          <w:lang w:val="en-US" w:eastAsia="zh-CN" w:bidi="ar"/>
        </w:rPr>
        <w:t>h</w:t>
      </w:r>
      <w:r>
        <w:rPr>
          <w:rFonts w:hint="default" w:ascii="Times New Roman" w:hAnsi="Times New Roman" w:cs="Times New Roman"/>
          <w:sz w:val="24"/>
          <w:szCs w:val="24"/>
          <w:lang w:val="en-US" w:eastAsia="zh-CN" w:bidi="ar"/>
        </w:rPr>
        <w:t xml:space="preserve"> at 4°C (denoted as A solutions). Then, the solutions were transferred to a Teflon-lined hydrothermal autoclave reactor and heated to 150°C for 12 </w:t>
      </w:r>
      <w:r>
        <w:rPr>
          <w:rFonts w:hint="default" w:ascii="Times New Roman" w:hAnsi="Times New Roman" w:eastAsia="宋体" w:cs="Times New Roman"/>
          <w:sz w:val="24"/>
          <w:szCs w:val="24"/>
          <w:lang w:val="en-US" w:eastAsia="zh-CN" w:bidi="ar"/>
        </w:rPr>
        <w:t>h</w:t>
      </w:r>
      <w:r>
        <w:rPr>
          <w:rFonts w:hint="default" w:ascii="Times New Roman" w:hAnsi="Times New Roman" w:cs="Times New Roman"/>
          <w:sz w:val="24"/>
          <w:szCs w:val="24"/>
          <w:lang w:val="en-US" w:eastAsia="zh-CN" w:bidi="ar"/>
        </w:rPr>
        <w:t>. Finally, MIL-101(Fe) nanoparticles were obtained by centrifugation (10,000 rpm for 10 min).</w:t>
      </w:r>
    </w:p>
    <w:p w14:paraId="228FE666">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en-US" w:eastAsia="zh-CN" w:bidi="ar"/>
        </w:rPr>
      </w:pPr>
    </w:p>
    <w:p w14:paraId="09FD62BB">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b/>
          <w:color w:val="000000" w:themeColor="text1"/>
          <w:sz w:val="24"/>
          <w:szCs w:val="24"/>
          <w:lang w:val="en-US" w:eastAsia="zh-CN"/>
          <w14:textFill>
            <w14:solidFill>
              <w14:schemeClr w14:val="tx1"/>
            </w14:solidFill>
          </w14:textFill>
        </w:rPr>
        <w:t>Fabrication of CM@MIL@PZS-1, CM@MIL@PZS-2, CM@MIL@PZS-3.1 and CM@MIL@PZS-3.2.</w:t>
      </w:r>
    </w:p>
    <w:p w14:paraId="58C1446C">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en-US" w:eastAsia="zh-CN" w:bidi="ar"/>
        </w:rPr>
      </w:pPr>
      <w:r>
        <w:rPr>
          <w:rFonts w:hint="default" w:ascii="Times New Roman" w:hAnsi="Times New Roman" w:cs="Times New Roman"/>
          <w:sz w:val="24"/>
          <w:szCs w:val="24"/>
          <w:lang w:val="en-US" w:eastAsia="zh-CN" w:bidi="ar"/>
        </w:rPr>
        <w:t>The as-synthesized MIL, BPS, and phosphonitrilic chloride trimers were dissolved separately in methanol. Solutions were mixed and stirred for 1 h. Then, TEA was added to the mixture. The CM@MIL@PZS-1, CM@MIL@PZS-2, and CM@MIL@PZS-3.1 were prepared by dissolving molybdenum chloride/cerium chloride, sodium molybdate/cerium chloride, and molybdenum acetylacetonate/cerium acetylacetonate, respectively, in equimolar amounts in a water/methanol mixed solvent, followed by adding to the mixture and stirring for 18 h. The CM@MIL@PZS-3.2 were synthesized by adjusting the amount of heterogeneous metal substances added. Catalysts were obtained after centrifugation and vacuum drying.</w:t>
      </w:r>
    </w:p>
    <w:p w14:paraId="71771D24">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en-US" w:eastAsia="zh-CN" w:bidi="ar"/>
        </w:rPr>
      </w:pPr>
    </w:p>
    <w:p w14:paraId="096ACEAF">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b/>
          <w:color w:val="000000" w:themeColor="text1"/>
          <w:sz w:val="24"/>
          <w:szCs w:val="24"/>
          <w:lang w:val="en-US" w:eastAsia="zh-CN"/>
          <w14:textFill>
            <w14:solidFill>
              <w14:schemeClr w14:val="tx1"/>
            </w14:solidFill>
          </w14:textFill>
        </w:rPr>
        <w:t>Preparation of CF MESACs, MF MESACs, and CMF HESACs.</w:t>
      </w:r>
    </w:p>
    <w:p w14:paraId="6187D52E">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en-US" w:eastAsia="zh-CN" w:bidi="ar"/>
        </w:rPr>
      </w:pPr>
      <w:r>
        <w:rPr>
          <w:rFonts w:hint="default" w:ascii="Times New Roman" w:hAnsi="Times New Roman" w:cs="Times New Roman"/>
          <w:sz w:val="24"/>
          <w:szCs w:val="24"/>
          <w:lang w:val="en-US" w:eastAsia="zh-CN" w:bidi="ar"/>
        </w:rPr>
        <w:t>The CMF HESACs catalysts were obtained after calcining for 3 h at 400°C. The CF MESACs and MF MESACs catalysts were synthesized through the same process, which differs from the addition of elements.</w:t>
      </w:r>
    </w:p>
    <w:p w14:paraId="58DC52F2">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en-US" w:eastAsia="zh-CN" w:bidi="ar"/>
        </w:rPr>
      </w:pPr>
    </w:p>
    <w:p w14:paraId="330A3C19">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en-US" w:eastAsia="zh-CN"/>
        </w:rPr>
      </w:pPr>
      <w:r>
        <w:rPr>
          <w:rFonts w:hint="default" w:ascii="Times New Roman" w:hAnsi="Times New Roman" w:cs="Times New Roman" w:eastAsiaTheme="minorEastAsia"/>
          <w:b/>
          <w:sz w:val="24"/>
          <w:szCs w:val="24"/>
          <w:lang w:eastAsia="zh-CN"/>
        </w:rPr>
        <w:t>Characterization</w:t>
      </w:r>
    </w:p>
    <w:p w14:paraId="2AB0649F">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bidi="ar"/>
        </w:rPr>
      </w:pPr>
      <w:r>
        <w:rPr>
          <w:rFonts w:hint="default" w:ascii="Times New Roman" w:hAnsi="Times New Roman" w:cs="Times New Roman"/>
          <w:sz w:val="24"/>
          <w:szCs w:val="24"/>
          <w:lang w:bidi="ar"/>
        </w:rPr>
        <w:t>TEM (Tecnai T20), XRD (Rigaku DMAX-2400), and FTIR (Nicolet Avatar 360) were used to characterize the morphology and crystalline structure. The XPS spectra were obtained using an ESCALAB 250 instrument for elemental valence analysis. ICP-OES was performed using an iCAP 6000 series spectrometer. TGA was performed using an HS-TGA-103 thermogravimetric analyzer. Zeta potentials were measured using a Malvern Zetasizer Nano XS900 system. UV-</w:t>
      </w:r>
      <w:r>
        <w:rPr>
          <w:rFonts w:hint="default" w:ascii="Times New Roman" w:hAnsi="Times New Roman" w:eastAsia="宋体" w:cs="Times New Roman"/>
          <w:sz w:val="24"/>
          <w:szCs w:val="24"/>
          <w:lang w:val="en-US" w:eastAsia="zh-CN" w:bidi="ar"/>
        </w:rPr>
        <w:t>V</w:t>
      </w:r>
      <w:r>
        <w:rPr>
          <w:rFonts w:hint="default" w:ascii="Times New Roman" w:hAnsi="Times New Roman" w:cs="Times New Roman"/>
          <w:sz w:val="24"/>
          <w:szCs w:val="24"/>
          <w:lang w:bidi="ar"/>
        </w:rPr>
        <w:t>is absorbance spectra were obtained using a UV-1601 spectrophotometer, and the ESR spectra were obtained using an EMX1598 spectrometer. CLSM images were acquired by Leica SP8 instruments. FCM was performed using BD Accuri C6.</w:t>
      </w:r>
    </w:p>
    <w:p w14:paraId="0272A433">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bidi="ar"/>
        </w:rPr>
      </w:pPr>
    </w:p>
    <w:p w14:paraId="4C1103EC">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en-US" w:eastAsia="zh-CN"/>
        </w:rPr>
      </w:pPr>
      <w:r>
        <w:rPr>
          <w:rFonts w:hint="default" w:ascii="Times New Roman" w:hAnsi="Times New Roman" w:cs="Times New Roman" w:eastAsiaTheme="minorEastAsia"/>
          <w:b/>
          <w:sz w:val="24"/>
          <w:szCs w:val="24"/>
          <w:lang w:val="en-US" w:eastAsia="zh-CN"/>
        </w:rPr>
        <w:t>DFT Calculations</w:t>
      </w:r>
    </w:p>
    <w:p w14:paraId="43D05E9C">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val="en-US" w:eastAsia="zh-CN" w:bidi="ar"/>
        </w:rPr>
        <w:t>We used the DFT as implemented in the Vienna Ab initio simulation package in all calculations. The exchange-correlation potential is described by using the generalized gradient approximation of Perdew-Burke-Ernzerhof (GGA-PBE). The projector augmented-wave (PAW) method is employed to treat interactions between ion cores and valence electrons. The plane-wave cutoff energy was fixed to 500 eV. Given structural models were relaxed until the Hellmann–Feynman forces were smaller than −0.02 eV/Å and the change in energy was smaller than 10</w:t>
      </w:r>
      <w:r>
        <w:rPr>
          <w:rFonts w:hint="default" w:ascii="Times New Roman" w:hAnsi="Times New Roman" w:eastAsia="宋体" w:cs="Times New Roman"/>
          <w:sz w:val="24"/>
          <w:szCs w:val="24"/>
          <w:vertAlign w:val="superscript"/>
          <w:lang w:val="en-US" w:eastAsia="zh-CN" w:bidi="ar"/>
        </w:rPr>
        <w:t>–5</w:t>
      </w:r>
      <w:r>
        <w:rPr>
          <w:rFonts w:hint="default" w:ascii="Times New Roman" w:hAnsi="Times New Roman" w:eastAsia="宋体" w:cs="Times New Roman"/>
          <w:sz w:val="24"/>
          <w:szCs w:val="24"/>
          <w:lang w:val="en-US" w:eastAsia="zh-CN" w:bidi="ar"/>
        </w:rPr>
        <w:t xml:space="preserve"> eV. We constructed a 30 Å × 30 Å × 30 Å vacuum layer box to counteract the periodic effects of the reaction. During the relaxation, the Brillouin zone was represented by a Γ-centered k-point grid of 1×1×1. Grimme’s DFT-D3 methodology was used to describe the dispersion interactions among all the atoms in adsorption models. </w:t>
      </w:r>
    </w:p>
    <w:p w14:paraId="523D92F3">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p>
    <w:p w14:paraId="2BCA5366">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de" w:eastAsia="zh-CN"/>
        </w:rPr>
      </w:pPr>
      <w:bookmarkStart w:id="11" w:name="_Hlk124867740"/>
      <w:bookmarkStart w:id="12" w:name="OLE_LINK133"/>
      <w:bookmarkStart w:id="13" w:name="OLE_LINK134"/>
      <w:bookmarkStart w:id="14" w:name="_Hlk180636819"/>
      <w:bookmarkStart w:id="15" w:name="OLE_LINK420"/>
      <w:r>
        <w:rPr>
          <w:rFonts w:hint="default" w:ascii="Times New Roman" w:hAnsi="Times New Roman" w:cs="Times New Roman" w:eastAsiaTheme="minorEastAsia"/>
          <w:b/>
          <w:sz w:val="24"/>
          <w:szCs w:val="24"/>
          <w:lang w:val="de" w:eastAsia="zh-CN"/>
        </w:rPr>
        <w:t>ROS-Generated Activity</w:t>
      </w:r>
      <w:bookmarkEnd w:id="11"/>
    </w:p>
    <w:p w14:paraId="0BEE49E6">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r>
        <w:rPr>
          <w:rFonts w:hint="default" w:ascii="Times New Roman" w:hAnsi="Times New Roman" w:cs="Times New Roman"/>
          <w:sz w:val="24"/>
          <w:szCs w:val="24"/>
          <w:lang w:val="de" w:eastAsia="zh-CN" w:bidi="ar"/>
        </w:rPr>
        <w:t xml:space="preserve">The ROS-generated activity evaluations of as-synthesized </w:t>
      </w:r>
      <w:r>
        <w:rPr>
          <w:rFonts w:hint="default" w:ascii="Times New Roman" w:hAnsi="Times New Roman" w:eastAsia="宋体" w:cs="Times New Roman"/>
          <w:sz w:val="24"/>
          <w:szCs w:val="24"/>
          <w:lang w:val="en-US" w:eastAsia="zh-CN" w:bidi="ar"/>
        </w:rPr>
        <w:t>catalysts</w:t>
      </w:r>
      <w:r>
        <w:rPr>
          <w:rFonts w:hint="default" w:ascii="Times New Roman" w:hAnsi="Times New Roman" w:cs="Times New Roman"/>
          <w:sz w:val="24"/>
          <w:szCs w:val="24"/>
          <w:lang w:val="de" w:eastAsia="zh-CN" w:bidi="ar"/>
        </w:rPr>
        <w:t xml:space="preserve"> were conducted using TMB as substrates in the presence of H</w:t>
      </w:r>
      <w:r>
        <w:rPr>
          <w:rFonts w:hint="default" w:ascii="Times New Roman" w:hAnsi="Times New Roman" w:cs="Times New Roman"/>
          <w:sz w:val="24"/>
          <w:szCs w:val="24"/>
          <w:vertAlign w:val="subscript"/>
          <w:lang w:val="de" w:eastAsia="zh-CN" w:bidi="ar"/>
        </w:rPr>
        <w:t>2</w:t>
      </w:r>
      <w:r>
        <w:rPr>
          <w:rFonts w:hint="default" w:ascii="Times New Roman" w:hAnsi="Times New Roman" w:cs="Times New Roman"/>
          <w:sz w:val="24"/>
          <w:szCs w:val="24"/>
          <w:lang w:val="de" w:eastAsia="zh-CN" w:bidi="ar"/>
        </w:rPr>
        <w:t>O</w:t>
      </w:r>
      <w:r>
        <w:rPr>
          <w:rFonts w:hint="default" w:ascii="Times New Roman" w:hAnsi="Times New Roman" w:cs="Times New Roman"/>
          <w:sz w:val="24"/>
          <w:szCs w:val="24"/>
          <w:vertAlign w:val="subscript"/>
          <w:lang w:val="de" w:eastAsia="zh-CN" w:bidi="ar"/>
        </w:rPr>
        <w:t>2</w:t>
      </w:r>
      <w:r>
        <w:rPr>
          <w:rFonts w:hint="default" w:ascii="Times New Roman" w:hAnsi="Times New Roman" w:cs="Times New Roman"/>
          <w:sz w:val="24"/>
          <w:szCs w:val="24"/>
          <w:lang w:val="de" w:eastAsia="zh-CN" w:bidi="ar"/>
        </w:rPr>
        <w:t xml:space="preserve"> in PBS solution. To evaluate the enzymatic activity kinetics, as-synthesized </w:t>
      </w:r>
      <w:r>
        <w:rPr>
          <w:rFonts w:hint="default" w:ascii="Times New Roman" w:hAnsi="Times New Roman" w:cs="Times New Roman"/>
          <w:sz w:val="24"/>
          <w:szCs w:val="24"/>
          <w:lang w:val="en-US" w:eastAsia="zh-CN" w:bidi="ar"/>
        </w:rPr>
        <w:t>catalysts</w:t>
      </w:r>
      <w:r>
        <w:rPr>
          <w:rFonts w:hint="default" w:ascii="Times New Roman" w:hAnsi="Times New Roman" w:cs="Times New Roman"/>
          <w:sz w:val="24"/>
          <w:szCs w:val="24"/>
          <w:lang w:val="de" w:eastAsia="zh-CN" w:bidi="ar"/>
        </w:rPr>
        <w:t>, TMB, and H</w:t>
      </w:r>
      <w:r>
        <w:rPr>
          <w:rFonts w:hint="default" w:ascii="Times New Roman" w:hAnsi="Times New Roman" w:cs="Times New Roman"/>
          <w:sz w:val="24"/>
          <w:szCs w:val="24"/>
          <w:vertAlign w:val="subscript"/>
          <w:lang w:val="de" w:eastAsia="zh-CN" w:bidi="ar"/>
        </w:rPr>
        <w:t>2</w:t>
      </w:r>
      <w:r>
        <w:rPr>
          <w:rFonts w:hint="default" w:ascii="Times New Roman" w:hAnsi="Times New Roman" w:cs="Times New Roman"/>
          <w:sz w:val="24"/>
          <w:szCs w:val="24"/>
          <w:lang w:val="de" w:eastAsia="zh-CN" w:bidi="ar"/>
        </w:rPr>
        <w:t>O</w:t>
      </w:r>
      <w:r>
        <w:rPr>
          <w:rFonts w:hint="default" w:ascii="Times New Roman" w:hAnsi="Times New Roman" w:cs="Times New Roman"/>
          <w:sz w:val="24"/>
          <w:szCs w:val="24"/>
          <w:vertAlign w:val="subscript"/>
          <w:lang w:val="de" w:eastAsia="zh-CN" w:bidi="ar"/>
        </w:rPr>
        <w:t>2</w:t>
      </w:r>
      <w:r>
        <w:rPr>
          <w:rFonts w:hint="default" w:ascii="Times New Roman" w:hAnsi="Times New Roman" w:cs="Times New Roman"/>
          <w:sz w:val="24"/>
          <w:szCs w:val="24"/>
          <w:lang w:val="de" w:eastAsia="zh-CN" w:bidi="ar"/>
        </w:rPr>
        <w:t xml:space="preserve"> were added to PBS solution at room temperature and under irradiation, followed by measuring the absorbance at 652 nm after different reaction times. The Michaelis-Menten constant was calculated based on the Michaelis-Menten saturation curve.</w:t>
      </w:r>
    </w:p>
    <w:p w14:paraId="5612C40C">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p>
    <w:p w14:paraId="4F95A7DD">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de" w:eastAsia="zh-CN"/>
        </w:rPr>
      </w:pPr>
      <w:r>
        <w:rPr>
          <w:rFonts w:hint="default" w:ascii="Times New Roman" w:hAnsi="Times New Roman" w:cs="Times New Roman" w:eastAsiaTheme="minorEastAsia"/>
          <w:b/>
          <w:sz w:val="24"/>
          <w:szCs w:val="24"/>
          <w:lang w:val="de" w:eastAsia="zh-CN"/>
        </w:rPr>
        <w:t>The GSH-Depleted Activity</w:t>
      </w:r>
    </w:p>
    <w:p w14:paraId="3B55A2AD">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r>
        <w:rPr>
          <w:rFonts w:hint="default" w:ascii="Times New Roman" w:hAnsi="Times New Roman" w:cs="Times New Roman"/>
          <w:sz w:val="24"/>
          <w:szCs w:val="24"/>
          <w:lang w:val="de" w:eastAsia="zh-CN" w:bidi="ar"/>
        </w:rPr>
        <w:t>Evaluations of the as-synthesized catalysts were conducted using DTNB as a substrate in the presence of GSH in a PBS solution. After being irradiated with various times of NIR, the absorbance intensity of different groups was recorded after a specific reaction time.</w:t>
      </w:r>
      <w:bookmarkStart w:id="16" w:name="OLE_LINK81"/>
    </w:p>
    <w:p w14:paraId="323F7DB7">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p>
    <w:p w14:paraId="5F4E9512">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de" w:eastAsia="zh-CN"/>
        </w:rPr>
      </w:pPr>
      <w:r>
        <w:rPr>
          <w:rFonts w:hint="default" w:ascii="Times New Roman" w:hAnsi="Times New Roman" w:cs="Times New Roman" w:eastAsiaTheme="minorEastAsia"/>
          <w:b/>
          <w:sz w:val="24"/>
          <w:szCs w:val="24"/>
          <w:lang w:val="de" w:eastAsia="zh-CN"/>
        </w:rPr>
        <w:t>The O</w:t>
      </w:r>
      <w:r>
        <w:rPr>
          <w:rFonts w:hint="default" w:ascii="Times New Roman" w:hAnsi="Times New Roman" w:cs="Times New Roman" w:eastAsiaTheme="minorEastAsia"/>
          <w:b/>
          <w:sz w:val="24"/>
          <w:szCs w:val="24"/>
          <w:vertAlign w:val="subscript"/>
          <w:lang w:val="de" w:eastAsia="zh-CN"/>
        </w:rPr>
        <w:t>2</w:t>
      </w:r>
      <w:r>
        <w:rPr>
          <w:rFonts w:hint="default" w:ascii="Times New Roman" w:hAnsi="Times New Roman" w:cs="Times New Roman" w:eastAsiaTheme="minorEastAsia"/>
          <w:b/>
          <w:sz w:val="24"/>
          <w:szCs w:val="24"/>
          <w:lang w:val="en-US" w:eastAsia="zh-CN"/>
        </w:rPr>
        <w:t xml:space="preserve"> </w:t>
      </w:r>
      <w:r>
        <w:rPr>
          <w:rFonts w:hint="default" w:ascii="Times New Roman" w:hAnsi="Times New Roman" w:cs="Times New Roman" w:eastAsiaTheme="minorEastAsia"/>
          <w:b/>
          <w:sz w:val="24"/>
          <w:szCs w:val="24"/>
          <w:lang w:val="de" w:eastAsia="zh-CN"/>
        </w:rPr>
        <w:t>generation Performances</w:t>
      </w:r>
      <w:bookmarkEnd w:id="16"/>
    </w:p>
    <w:p w14:paraId="64B9C5A7">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cs="Times New Roman"/>
          <w:sz w:val="24"/>
          <w:szCs w:val="24"/>
          <w:lang w:val="de" w:eastAsia="zh-CN" w:bidi="ar"/>
        </w:rPr>
        <w:t xml:space="preserve">The as-synthesized </w:t>
      </w:r>
      <w:r>
        <w:rPr>
          <w:rFonts w:hint="default" w:ascii="Times New Roman" w:hAnsi="Times New Roman" w:cs="Times New Roman"/>
          <w:sz w:val="24"/>
          <w:szCs w:val="24"/>
          <w:lang w:val="en-US" w:eastAsia="zh-CN" w:bidi="ar"/>
        </w:rPr>
        <w:t xml:space="preserve">catalysts </w:t>
      </w:r>
      <w:r>
        <w:rPr>
          <w:rFonts w:hint="default" w:ascii="Times New Roman" w:hAnsi="Times New Roman" w:cs="Times New Roman"/>
          <w:sz w:val="24"/>
          <w:szCs w:val="24"/>
          <w:lang w:val="de" w:eastAsia="zh-CN" w:bidi="ar"/>
        </w:rPr>
        <w:t>were dispersed in PBS under an N</w:t>
      </w:r>
      <w:r>
        <w:rPr>
          <w:rFonts w:hint="default" w:ascii="Times New Roman" w:hAnsi="Times New Roman" w:cs="Times New Roman"/>
          <w:sz w:val="24"/>
          <w:szCs w:val="24"/>
          <w:vertAlign w:val="subscript"/>
          <w:lang w:val="de" w:eastAsia="zh-CN" w:bidi="ar"/>
        </w:rPr>
        <w:t>2</w:t>
      </w:r>
      <w:r>
        <w:rPr>
          <w:rFonts w:hint="default" w:ascii="Times New Roman" w:hAnsi="Times New Roman" w:cs="Times New Roman"/>
          <w:sz w:val="24"/>
          <w:szCs w:val="24"/>
          <w:lang w:val="de" w:eastAsia="zh-CN" w:bidi="ar"/>
        </w:rPr>
        <w:t xml:space="preserve"> environment for 30 min to reduce their oxygen content. After mixing with H</w:t>
      </w:r>
      <w:r>
        <w:rPr>
          <w:rFonts w:hint="default" w:ascii="Times New Roman" w:hAnsi="Times New Roman" w:cs="Times New Roman"/>
          <w:sz w:val="24"/>
          <w:szCs w:val="24"/>
          <w:vertAlign w:val="subscript"/>
          <w:lang w:val="de" w:eastAsia="zh-CN" w:bidi="ar"/>
        </w:rPr>
        <w:t>2</w:t>
      </w:r>
      <w:r>
        <w:rPr>
          <w:rFonts w:hint="default" w:ascii="Times New Roman" w:hAnsi="Times New Roman" w:cs="Times New Roman"/>
          <w:sz w:val="24"/>
          <w:szCs w:val="24"/>
          <w:lang w:val="de" w:eastAsia="zh-CN" w:bidi="ar"/>
        </w:rPr>
        <w:t>O</w:t>
      </w:r>
      <w:r>
        <w:rPr>
          <w:rFonts w:hint="default" w:ascii="Times New Roman" w:hAnsi="Times New Roman" w:cs="Times New Roman"/>
          <w:sz w:val="24"/>
          <w:szCs w:val="24"/>
          <w:vertAlign w:val="subscript"/>
          <w:lang w:val="de" w:eastAsia="zh-CN" w:bidi="ar"/>
        </w:rPr>
        <w:t>2</w:t>
      </w:r>
      <w:r>
        <w:rPr>
          <w:rFonts w:hint="default" w:ascii="Times New Roman" w:hAnsi="Times New Roman" w:cs="Times New Roman"/>
          <w:sz w:val="24"/>
          <w:szCs w:val="24"/>
          <w:lang w:val="de" w:eastAsia="zh-CN" w:bidi="ar"/>
        </w:rPr>
        <w:t>, a dissolved O</w:t>
      </w:r>
      <w:r>
        <w:rPr>
          <w:rFonts w:hint="default" w:ascii="Times New Roman" w:hAnsi="Times New Roman" w:cs="Times New Roman"/>
          <w:sz w:val="24"/>
          <w:szCs w:val="24"/>
          <w:vertAlign w:val="subscript"/>
          <w:lang w:val="de" w:eastAsia="zh-CN" w:bidi="ar"/>
        </w:rPr>
        <w:t>2</w:t>
      </w:r>
      <w:r>
        <w:rPr>
          <w:rFonts w:hint="default" w:ascii="Times New Roman" w:hAnsi="Times New Roman" w:cs="Times New Roman"/>
          <w:sz w:val="24"/>
          <w:szCs w:val="24"/>
          <w:lang w:val="de" w:eastAsia="zh-CN" w:bidi="ar"/>
        </w:rPr>
        <w:t xml:space="preserve"> meter probe was sealed tight in the mixture and tested for its O</w:t>
      </w:r>
      <w:r>
        <w:rPr>
          <w:rFonts w:hint="default" w:ascii="Times New Roman" w:hAnsi="Times New Roman" w:cs="Times New Roman"/>
          <w:sz w:val="24"/>
          <w:szCs w:val="24"/>
          <w:vertAlign w:val="subscript"/>
          <w:lang w:val="de" w:eastAsia="zh-CN" w:bidi="ar"/>
        </w:rPr>
        <w:t>2</w:t>
      </w:r>
      <w:r>
        <w:rPr>
          <w:rFonts w:hint="default" w:ascii="Times New Roman" w:hAnsi="Times New Roman" w:cs="Times New Roman"/>
          <w:sz w:val="24"/>
          <w:szCs w:val="24"/>
          <w:lang w:val="de" w:eastAsia="zh-CN" w:bidi="ar"/>
        </w:rPr>
        <w:t xml:space="preserve"> solubility (mg L</w:t>
      </w:r>
      <w:r>
        <w:rPr>
          <w:rFonts w:hint="default" w:ascii="Times New Roman" w:hAnsi="Times New Roman" w:cs="Times New Roman"/>
          <w:sz w:val="24"/>
          <w:szCs w:val="24"/>
          <w:vertAlign w:val="superscript"/>
          <w:lang w:val="de" w:eastAsia="zh-CN" w:bidi="ar"/>
        </w:rPr>
        <w:t>−1</w:t>
      </w:r>
      <w:r>
        <w:rPr>
          <w:rFonts w:hint="default" w:ascii="Times New Roman" w:hAnsi="Times New Roman" w:cs="Times New Roman"/>
          <w:sz w:val="24"/>
          <w:szCs w:val="24"/>
          <w:lang w:val="de" w:eastAsia="zh-CN" w:bidi="ar"/>
        </w:rPr>
        <w:t>)</w:t>
      </w:r>
      <w:r>
        <w:rPr>
          <w:rFonts w:hint="default" w:ascii="Times New Roman" w:hAnsi="Times New Roman" w:eastAsia="宋体" w:cs="Times New Roman"/>
          <w:sz w:val="24"/>
          <w:szCs w:val="24"/>
          <w:lang w:val="en-US" w:eastAsia="zh-CN" w:bidi="ar"/>
        </w:rPr>
        <w:t>.</w:t>
      </w:r>
    </w:p>
    <w:p w14:paraId="5599FCFA">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p>
    <w:p w14:paraId="45E08A02">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de" w:eastAsia="zh-CN"/>
        </w:rPr>
      </w:pPr>
      <w:r>
        <w:rPr>
          <w:rFonts w:hint="default" w:ascii="Times New Roman" w:hAnsi="Times New Roman" w:cs="Times New Roman" w:eastAsiaTheme="minorEastAsia"/>
          <w:b/>
          <w:sz w:val="24"/>
          <w:szCs w:val="24"/>
          <w:lang w:val="de" w:eastAsia="zh-CN"/>
        </w:rPr>
        <w:t>Photothermal Effect Evaluation</w:t>
      </w:r>
      <w:bookmarkStart w:id="17" w:name="_Hlk124867788"/>
    </w:p>
    <w:p w14:paraId="521B4F9C">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r>
        <w:rPr>
          <w:rFonts w:hint="default" w:ascii="Times New Roman" w:hAnsi="Times New Roman" w:cs="Times New Roman"/>
          <w:sz w:val="24"/>
          <w:szCs w:val="24"/>
          <w:lang w:val="de" w:eastAsia="zh-CN" w:bidi="ar"/>
        </w:rPr>
        <w:t xml:space="preserve">The </w:t>
      </w:r>
      <w:r>
        <w:rPr>
          <w:rFonts w:hint="default" w:ascii="Times New Roman" w:hAnsi="Times New Roman" w:cs="Times New Roman"/>
          <w:sz w:val="24"/>
          <w:szCs w:val="24"/>
          <w:lang w:val="en-US" w:eastAsia="zh-CN" w:bidi="ar"/>
        </w:rPr>
        <w:t>CMF HESACs catalysts</w:t>
      </w:r>
      <w:r>
        <w:rPr>
          <w:rFonts w:hint="default" w:ascii="Times New Roman" w:hAnsi="Times New Roman" w:cs="Times New Roman"/>
          <w:sz w:val="24"/>
          <w:szCs w:val="24"/>
          <w:lang w:val="de" w:eastAsia="zh-CN" w:bidi="ar"/>
        </w:rPr>
        <w:t xml:space="preserve"> were tested under 808 nm irradiation for </w:t>
      </w:r>
      <w:r>
        <w:rPr>
          <w:rFonts w:hint="default" w:ascii="Times New Roman" w:hAnsi="Times New Roman" w:cs="Times New Roman"/>
          <w:sz w:val="24"/>
          <w:szCs w:val="24"/>
          <w:lang w:val="en-US" w:eastAsia="zh-CN" w:bidi="ar"/>
        </w:rPr>
        <w:t>10</w:t>
      </w:r>
      <w:r>
        <w:rPr>
          <w:rFonts w:hint="default" w:ascii="Times New Roman" w:hAnsi="Times New Roman" w:cs="Times New Roman"/>
          <w:sz w:val="24"/>
          <w:szCs w:val="24"/>
          <w:lang w:val="de" w:eastAsia="zh-CN" w:bidi="ar"/>
        </w:rPr>
        <w:t xml:space="preserve"> min. Images were taken by a thermal camera. UV absorbance performances of </w:t>
      </w:r>
      <w:r>
        <w:rPr>
          <w:rFonts w:hint="default" w:ascii="Times New Roman" w:hAnsi="Times New Roman" w:cs="Times New Roman"/>
          <w:sz w:val="24"/>
          <w:szCs w:val="24"/>
          <w:lang w:val="en-US" w:eastAsia="zh-CN" w:bidi="ar"/>
        </w:rPr>
        <w:t xml:space="preserve">MIL, CM@MIL@PZS, and CMF HESACs catalysts </w:t>
      </w:r>
      <w:r>
        <w:rPr>
          <w:rFonts w:hint="default" w:ascii="Times New Roman" w:hAnsi="Times New Roman" w:cs="Times New Roman"/>
          <w:sz w:val="24"/>
          <w:szCs w:val="24"/>
          <w:lang w:val="de" w:eastAsia="zh-CN" w:bidi="ar"/>
        </w:rPr>
        <w:t>were first tested with UV-</w:t>
      </w:r>
      <w:r>
        <w:rPr>
          <w:rFonts w:hint="default" w:ascii="Times New Roman" w:hAnsi="Times New Roman" w:cs="Times New Roman"/>
          <w:sz w:val="24"/>
          <w:szCs w:val="24"/>
          <w:lang w:val="en-US" w:eastAsia="zh-CN" w:bidi="ar"/>
        </w:rPr>
        <w:t>V</w:t>
      </w:r>
      <w:r>
        <w:rPr>
          <w:rFonts w:hint="default" w:ascii="Times New Roman" w:hAnsi="Times New Roman" w:cs="Times New Roman"/>
          <w:sz w:val="24"/>
          <w:szCs w:val="24"/>
          <w:lang w:val="de" w:eastAsia="zh-CN" w:bidi="ar"/>
        </w:rPr>
        <w:t xml:space="preserve">is. Temperature changes caused by different laser intensities were revealed using 1.0 mL of </w:t>
      </w:r>
      <w:r>
        <w:rPr>
          <w:rFonts w:hint="default" w:ascii="Times New Roman" w:hAnsi="Times New Roman" w:cs="Times New Roman"/>
          <w:sz w:val="24"/>
          <w:szCs w:val="24"/>
          <w:lang w:val="en-US" w:eastAsia="zh-CN" w:bidi="ar"/>
        </w:rPr>
        <w:t>CMF HESACs</w:t>
      </w:r>
      <w:r>
        <w:rPr>
          <w:rFonts w:hint="default" w:ascii="Times New Roman" w:hAnsi="Times New Roman" w:cs="Times New Roman"/>
          <w:sz w:val="24"/>
          <w:szCs w:val="24"/>
          <w:lang w:val="de" w:eastAsia="zh-CN" w:bidi="ar"/>
        </w:rPr>
        <w:t xml:space="preserve"> solution. Under laser irradiation (808 nm, 0.8 W cm</w:t>
      </w:r>
      <w:r>
        <w:rPr>
          <w:rFonts w:hint="default" w:ascii="Times New Roman" w:hAnsi="Times New Roman" w:cs="Times New Roman"/>
          <w:sz w:val="24"/>
          <w:szCs w:val="24"/>
          <w:vertAlign w:val="superscript"/>
          <w:lang w:val="de" w:eastAsia="zh-CN" w:bidi="ar"/>
        </w:rPr>
        <w:t>–2</w:t>
      </w:r>
      <w:r>
        <w:rPr>
          <w:rFonts w:hint="default" w:ascii="Times New Roman" w:hAnsi="Times New Roman" w:cs="Times New Roman"/>
          <w:sz w:val="24"/>
          <w:szCs w:val="24"/>
          <w:lang w:val="de" w:eastAsia="zh-CN" w:bidi="ar"/>
        </w:rPr>
        <w:t>), solutions at various concentrations (25, 50, 100, 200, 300, and 400 μg mL</w:t>
      </w:r>
      <w:r>
        <w:rPr>
          <w:rFonts w:hint="default" w:ascii="Times New Roman" w:hAnsi="Times New Roman" w:cs="Times New Roman"/>
          <w:sz w:val="24"/>
          <w:szCs w:val="24"/>
          <w:vertAlign w:val="superscript"/>
          <w:lang w:val="de" w:eastAsia="zh-CN" w:bidi="ar"/>
        </w:rPr>
        <w:t>–1</w:t>
      </w:r>
      <w:r>
        <w:rPr>
          <w:rFonts w:hint="default" w:ascii="Times New Roman" w:hAnsi="Times New Roman" w:cs="Times New Roman"/>
          <w:sz w:val="24"/>
          <w:szCs w:val="24"/>
          <w:lang w:val="de" w:eastAsia="zh-CN" w:bidi="ar"/>
        </w:rPr>
        <w:t>) were tested. According to the studies of Roper’s report, the photothermal conversion efficiency (</w:t>
      </w:r>
      <w:r>
        <w:rPr>
          <w:rFonts w:hint="default" w:ascii="Times New Roman" w:hAnsi="Times New Roman" w:cs="Times New Roman"/>
          <w:i/>
          <w:iCs/>
          <w:sz w:val="24"/>
          <w:szCs w:val="24"/>
          <w:lang w:val="de" w:eastAsia="zh-CN" w:bidi="ar"/>
        </w:rPr>
        <w:t>η</w:t>
      </w:r>
      <w:r>
        <w:rPr>
          <w:rFonts w:hint="default" w:ascii="Times New Roman" w:hAnsi="Times New Roman" w:cs="Times New Roman"/>
          <w:sz w:val="24"/>
          <w:szCs w:val="24"/>
          <w:lang w:val="de" w:eastAsia="zh-CN" w:bidi="ar"/>
        </w:rPr>
        <w:t>) was calculated by:</w:t>
      </w:r>
    </w:p>
    <w:bookmarkEnd w:id="17"/>
    <w:p w14:paraId="7CC9E830">
      <w:pPr>
        <w:keepNext w:val="0"/>
        <w:keepLines w:val="0"/>
        <w:pageBreakBefore w:val="0"/>
        <w:widowControl/>
        <w:kinsoku/>
        <w:wordWrap/>
        <w:overflowPunct/>
        <w:topLinePunct w:val="0"/>
        <w:autoSpaceDN/>
        <w:bidi w:val="0"/>
        <w:adjustRightInd w:val="0"/>
        <w:snapToGrid w:val="0"/>
        <w:spacing w:line="360" w:lineRule="auto"/>
        <w:ind w:firstLine="240" w:firstLineChars="100"/>
        <w:jc w:val="center"/>
        <w:textAlignment w:val="auto"/>
        <w:rPr>
          <w:rFonts w:hint="default" w:ascii="Times New Roman" w:hAnsi="Times New Roman" w:eastAsia="宋体" w:cs="Times New Roman"/>
          <w:kern w:val="2"/>
          <w:sz w:val="24"/>
          <w:szCs w:val="24"/>
          <w:lang w:val="de" w:eastAsia="zh-CN"/>
        </w:rPr>
      </w:pPr>
      <m:oMathPara>
        <m:oMath>
          <m:r>
            <m:rPr>
              <m:nor/>
            </m:rPr>
            <w:rPr>
              <w:rFonts w:hint="default" w:ascii="Times New Roman" w:hAnsi="Times New Roman" w:eastAsia="Yu Gothic" w:cs="Times New Roman"/>
              <w:b w:val="0"/>
              <w:bCs w:val="0"/>
              <w:i/>
              <w:iCs/>
              <w:sz w:val="24"/>
              <w:szCs w:val="24"/>
              <w:lang w:val="de"/>
            </w:rPr>
            <m:t>η</m:t>
          </m:r>
          <m:r>
            <m:rPr>
              <m:nor/>
              <m:sty m:val="p"/>
            </m:rPr>
            <w:rPr>
              <w:rFonts w:hint="default" w:ascii="Times New Roman" w:hAnsi="Times New Roman" w:eastAsia="Yu Gothic" w:cs="Times New Roman"/>
              <w:b w:val="0"/>
              <w:i w:val="0"/>
              <w:sz w:val="24"/>
              <w:szCs w:val="24"/>
              <w:lang w:val="de"/>
            </w:rPr>
            <m:t xml:space="preserve"> </m:t>
          </m:r>
          <m:r>
            <m:rPr>
              <m:nor/>
              <m:sty m:val="p"/>
            </m:rPr>
            <w:rPr>
              <w:rFonts w:hint="default" w:ascii="Times New Roman" w:hAnsi="Times New Roman" w:cs="Times New Roman"/>
              <w:b w:val="0"/>
              <w:i w:val="0"/>
              <w:sz w:val="24"/>
              <w:szCs w:val="24"/>
              <w:lang w:val="de"/>
            </w:rPr>
            <m:t xml:space="preserve">= </m:t>
          </m:r>
          <m:f>
            <m:fPr>
              <m:ctrlPr>
                <w:rPr>
                  <w:rFonts w:hint="default" w:ascii="Cambria Math" w:hAnsi="Cambria Math" w:cs="Times New Roman"/>
                  <w:sz w:val="24"/>
                  <w:szCs w:val="24"/>
                  <w:lang w:val="de"/>
                </w:rPr>
              </m:ctrlPr>
            </m:fPr>
            <m:num>
              <m:r>
                <m:rPr>
                  <m:nor/>
                </m:rPr>
                <w:rPr>
                  <w:rFonts w:hint="default" w:ascii="Times New Roman" w:hAnsi="Times New Roman" w:cs="Times New Roman"/>
                  <w:b w:val="0"/>
                  <w:bCs w:val="0"/>
                  <w:i/>
                  <w:iCs/>
                  <w:sz w:val="24"/>
                  <w:szCs w:val="24"/>
                  <w:lang w:val="de"/>
                </w:rPr>
                <m:t>hs</m:t>
              </m:r>
              <m:d>
                <m:dPr>
                  <m:ctrlPr>
                    <w:rPr>
                      <w:rFonts w:hint="default" w:ascii="Cambria Math" w:hAnsi="Cambria Math" w:cs="Times New Roman"/>
                      <w:sz w:val="24"/>
                      <w:szCs w:val="24"/>
                      <w:lang w:val="de"/>
                    </w:rPr>
                  </m:ctrlPr>
                </m:dPr>
                <m:e>
                  <m:sSub>
                    <m:sSubPr>
                      <m:ctrlPr>
                        <w:rPr>
                          <w:rFonts w:hint="default" w:ascii="Cambria Math" w:hAnsi="Cambria Math" w:cs="Times New Roman"/>
                          <w:sz w:val="24"/>
                          <w:szCs w:val="24"/>
                          <w:lang w:val="de"/>
                        </w:rPr>
                      </m:ctrlPr>
                    </m:sSubPr>
                    <m:e>
                      <m:r>
                        <m:rPr>
                          <m:nor/>
                        </m:rPr>
                        <w:rPr>
                          <w:rFonts w:hint="default" w:ascii="Times New Roman" w:hAnsi="Times New Roman" w:cs="Times New Roman"/>
                          <w:b w:val="0"/>
                          <w:bCs w:val="0"/>
                          <w:i/>
                          <w:iCs/>
                          <w:sz w:val="24"/>
                          <w:szCs w:val="24"/>
                          <w:lang w:val="de"/>
                        </w:rPr>
                        <m:t>T</m:t>
                      </m:r>
                      <m:ctrlPr>
                        <w:rPr>
                          <w:rFonts w:hint="default" w:ascii="Cambria Math" w:hAnsi="Cambria Math" w:cs="Times New Roman"/>
                          <w:sz w:val="24"/>
                          <w:szCs w:val="24"/>
                          <w:lang w:val="de"/>
                        </w:rPr>
                      </m:ctrlPr>
                    </m:e>
                    <m:sub>
                      <m:r>
                        <m:rPr>
                          <m:nor/>
                          <m:sty m:val="p"/>
                        </m:rPr>
                        <w:rPr>
                          <w:rFonts w:hint="default" w:ascii="Times New Roman" w:hAnsi="Times New Roman" w:eastAsia="宋体" w:cs="Times New Roman"/>
                          <w:b w:val="0"/>
                          <w:i w:val="0"/>
                          <w:sz w:val="24"/>
                          <w:szCs w:val="24"/>
                          <w:lang w:val="en-US" w:eastAsia="zh-CN"/>
                        </w:rPr>
                        <m:t>M</m:t>
                      </m:r>
                      <m:r>
                        <m:rPr>
                          <m:nor/>
                          <m:sty m:val="p"/>
                        </m:rPr>
                        <w:rPr>
                          <w:rFonts w:hint="default" w:ascii="Times New Roman" w:hAnsi="Times New Roman" w:cs="Times New Roman"/>
                          <w:b w:val="0"/>
                          <w:i w:val="0"/>
                          <w:sz w:val="24"/>
                          <w:szCs w:val="24"/>
                          <w:lang w:val="de"/>
                        </w:rPr>
                        <m:t>ax</m:t>
                      </m:r>
                      <m:ctrlPr>
                        <w:rPr>
                          <w:rFonts w:hint="default" w:ascii="Cambria Math" w:hAnsi="Cambria Math" w:cs="Times New Roman"/>
                          <w:sz w:val="24"/>
                          <w:szCs w:val="24"/>
                          <w:lang w:val="de"/>
                        </w:rPr>
                      </m:ctrlPr>
                    </m:sub>
                  </m:sSub>
                  <m:r>
                    <m:rPr>
                      <m:nor/>
                      <m:sty m:val="p"/>
                    </m:rPr>
                    <w:rPr>
                      <w:rFonts w:hint="default" w:ascii="Times New Roman" w:hAnsi="Times New Roman" w:cs="Times New Roman"/>
                      <w:b w:val="0"/>
                      <w:i w:val="0"/>
                      <w:sz w:val="24"/>
                      <w:szCs w:val="24"/>
                      <w:lang w:val="de"/>
                    </w:rPr>
                    <m:t>-</m:t>
                  </m:r>
                  <m:sSub>
                    <m:sSubPr>
                      <m:ctrlPr>
                        <w:rPr>
                          <w:rFonts w:hint="default" w:ascii="Cambria Math" w:hAnsi="Cambria Math" w:cs="Times New Roman"/>
                          <w:sz w:val="24"/>
                          <w:szCs w:val="24"/>
                          <w:lang w:val="de"/>
                        </w:rPr>
                      </m:ctrlPr>
                    </m:sSubPr>
                    <m:e>
                      <m:r>
                        <m:rPr>
                          <m:nor/>
                        </m:rPr>
                        <w:rPr>
                          <w:rFonts w:hint="default" w:ascii="Times New Roman" w:hAnsi="Times New Roman" w:cs="Times New Roman"/>
                          <w:b w:val="0"/>
                          <w:bCs w:val="0"/>
                          <w:i/>
                          <w:iCs/>
                          <w:sz w:val="24"/>
                          <w:szCs w:val="24"/>
                          <w:lang w:val="de"/>
                        </w:rPr>
                        <m:t>T</m:t>
                      </m:r>
                      <m:ctrlPr>
                        <w:rPr>
                          <w:rFonts w:hint="default" w:ascii="Cambria Math" w:hAnsi="Cambria Math" w:cs="Times New Roman"/>
                          <w:sz w:val="24"/>
                          <w:szCs w:val="24"/>
                          <w:lang w:val="de"/>
                        </w:rPr>
                      </m:ctrlPr>
                    </m:e>
                    <m:sub>
                      <m:r>
                        <m:rPr>
                          <m:nor/>
                          <m:sty m:val="p"/>
                        </m:rPr>
                        <w:rPr>
                          <w:rFonts w:hint="default" w:ascii="Times New Roman" w:hAnsi="Times New Roman" w:eastAsia="宋体" w:cs="Times New Roman"/>
                          <w:b w:val="0"/>
                          <w:i w:val="0"/>
                          <w:sz w:val="24"/>
                          <w:szCs w:val="24"/>
                          <w:lang w:val="en-US" w:eastAsia="zh-CN"/>
                        </w:rPr>
                        <m:t>S</m:t>
                      </m:r>
                      <m:r>
                        <m:rPr>
                          <m:nor/>
                          <m:sty m:val="p"/>
                        </m:rPr>
                        <w:rPr>
                          <w:rFonts w:hint="default" w:ascii="Times New Roman" w:hAnsi="Times New Roman" w:cs="Times New Roman"/>
                          <w:b w:val="0"/>
                          <w:i w:val="0"/>
                          <w:sz w:val="24"/>
                          <w:szCs w:val="24"/>
                          <w:lang w:val="de"/>
                        </w:rPr>
                        <m:t>ur</m:t>
                      </m:r>
                      <m:ctrlPr>
                        <w:rPr>
                          <w:rFonts w:hint="default" w:ascii="Cambria Math" w:hAnsi="Cambria Math" w:cs="Times New Roman"/>
                          <w:sz w:val="24"/>
                          <w:szCs w:val="24"/>
                          <w:lang w:val="de"/>
                        </w:rPr>
                      </m:ctrlPr>
                    </m:sub>
                  </m:sSub>
                  <m:ctrlPr>
                    <w:rPr>
                      <w:rFonts w:hint="default" w:ascii="Cambria Math" w:hAnsi="Cambria Math" w:cs="Times New Roman"/>
                      <w:sz w:val="24"/>
                      <w:szCs w:val="24"/>
                      <w:lang w:val="de"/>
                    </w:rPr>
                  </m:ctrlPr>
                </m:e>
              </m:d>
              <m:r>
                <m:rPr>
                  <m:nor/>
                  <m:sty m:val="p"/>
                </m:rPr>
                <w:rPr>
                  <w:rFonts w:hint="default" w:ascii="Times New Roman" w:hAnsi="Times New Roman" w:cs="Times New Roman"/>
                  <w:b w:val="0"/>
                  <w:i w:val="0"/>
                  <w:sz w:val="24"/>
                  <w:szCs w:val="24"/>
                  <w:lang w:val="de"/>
                </w:rPr>
                <m:t>-</m:t>
              </m:r>
              <m:sSub>
                <m:sSubPr>
                  <m:ctrlPr>
                    <w:rPr>
                      <w:rFonts w:hint="default" w:ascii="Cambria Math" w:hAnsi="Cambria Math" w:cs="Times New Roman"/>
                      <w:sz w:val="24"/>
                      <w:szCs w:val="24"/>
                      <w:lang w:val="de"/>
                    </w:rPr>
                  </m:ctrlPr>
                </m:sSubPr>
                <m:e>
                  <m:r>
                    <m:rPr>
                      <m:nor/>
                    </m:rPr>
                    <w:rPr>
                      <w:rFonts w:hint="default" w:ascii="Times New Roman" w:hAnsi="Times New Roman" w:cs="Times New Roman"/>
                      <w:b w:val="0"/>
                      <w:bCs w:val="0"/>
                      <w:i/>
                      <w:iCs/>
                      <w:sz w:val="24"/>
                      <w:szCs w:val="24"/>
                      <w:lang w:val="de"/>
                    </w:rPr>
                    <m:t>Q</m:t>
                  </m:r>
                  <m:ctrlPr>
                    <w:rPr>
                      <w:rFonts w:hint="default" w:ascii="Cambria Math" w:hAnsi="Cambria Math" w:cs="Times New Roman"/>
                      <w:sz w:val="24"/>
                      <w:szCs w:val="24"/>
                      <w:lang w:val="de"/>
                    </w:rPr>
                  </m:ctrlPr>
                </m:e>
                <m:sub>
                  <m:r>
                    <m:rPr>
                      <m:nor/>
                      <m:sty m:val="p"/>
                    </m:rPr>
                    <w:rPr>
                      <w:rFonts w:hint="default" w:ascii="Times New Roman" w:hAnsi="Times New Roman" w:cs="Times New Roman"/>
                      <w:b w:val="0"/>
                      <w:i w:val="0"/>
                      <w:sz w:val="24"/>
                      <w:szCs w:val="24"/>
                      <w:lang w:val="de"/>
                    </w:rPr>
                    <m:t>dis</m:t>
                  </m:r>
                  <m:ctrlPr>
                    <w:rPr>
                      <w:rFonts w:hint="default" w:ascii="Cambria Math" w:hAnsi="Cambria Math" w:cs="Times New Roman"/>
                      <w:sz w:val="24"/>
                      <w:szCs w:val="24"/>
                      <w:lang w:val="de"/>
                    </w:rPr>
                  </m:ctrlPr>
                </m:sub>
              </m:sSub>
              <m:ctrlPr>
                <w:rPr>
                  <w:rFonts w:hint="default" w:ascii="Cambria Math" w:hAnsi="Cambria Math" w:cs="Times New Roman"/>
                  <w:sz w:val="24"/>
                  <w:szCs w:val="24"/>
                  <w:lang w:val="de"/>
                </w:rPr>
              </m:ctrlPr>
            </m:num>
            <m:den>
              <m:r>
                <m:rPr>
                  <m:nor/>
                </m:rPr>
                <w:rPr>
                  <w:rFonts w:hint="default" w:ascii="Times New Roman" w:hAnsi="Times New Roman" w:cs="Times New Roman"/>
                  <w:i/>
                  <w:iCs/>
                  <w:sz w:val="24"/>
                  <w:szCs w:val="24"/>
                  <w:lang w:val="de"/>
                </w:rPr>
                <m:t>I</m:t>
              </m:r>
              <m:r>
                <m:rPr>
                  <m:nor/>
                  <m:sty m:val="p"/>
                </m:rPr>
                <w:rPr>
                  <w:rFonts w:hint="default" w:ascii="Times New Roman" w:hAnsi="Times New Roman" w:cs="Times New Roman"/>
                  <w:b w:val="0"/>
                  <w:i w:val="0"/>
                  <w:sz w:val="24"/>
                  <w:szCs w:val="24"/>
                  <w:lang w:val="de"/>
                </w:rPr>
                <m:t>(1-</m:t>
              </m:r>
              <m:sSup>
                <m:sSupPr>
                  <m:ctrlPr>
                    <w:rPr>
                      <w:rFonts w:hint="default" w:ascii="Cambria Math" w:hAnsi="Cambria Math" w:cs="Times New Roman"/>
                      <w:sz w:val="24"/>
                      <w:szCs w:val="24"/>
                      <w:lang w:val="de"/>
                    </w:rPr>
                  </m:ctrlPr>
                </m:sSupPr>
                <m:e>
                  <m:r>
                    <m:rPr>
                      <m:nor/>
                      <m:sty m:val="p"/>
                    </m:rPr>
                    <w:rPr>
                      <w:rFonts w:hint="default" w:ascii="Times New Roman" w:hAnsi="Times New Roman" w:cs="Times New Roman"/>
                      <w:b w:val="0"/>
                      <w:i w:val="0"/>
                      <w:sz w:val="24"/>
                      <w:szCs w:val="24"/>
                      <w:lang w:val="de"/>
                    </w:rPr>
                    <m:t>10</m:t>
                  </m:r>
                  <m:ctrlPr>
                    <w:rPr>
                      <w:rFonts w:hint="default" w:ascii="Cambria Math" w:hAnsi="Cambria Math" w:cs="Times New Roman"/>
                      <w:sz w:val="24"/>
                      <w:szCs w:val="24"/>
                      <w:lang w:val="de"/>
                    </w:rPr>
                  </m:ctrlPr>
                </m:e>
                <m:sup>
                  <m:r>
                    <m:rPr>
                      <m:nor/>
                      <m:sty m:val="p"/>
                    </m:rPr>
                    <w:rPr>
                      <w:rFonts w:hint="default" w:ascii="Times New Roman" w:hAnsi="Times New Roman" w:cs="Times New Roman"/>
                      <w:b w:val="0"/>
                      <w:i w:val="0"/>
                      <w:sz w:val="24"/>
                      <w:szCs w:val="24"/>
                      <w:lang w:val="de"/>
                    </w:rPr>
                    <m:t>-</m:t>
                  </m:r>
                  <m:sSub>
                    <m:sSubPr>
                      <m:ctrlPr>
                        <w:rPr>
                          <w:rFonts w:hint="default" w:ascii="Cambria Math" w:hAnsi="Cambria Math" w:cs="Times New Roman"/>
                          <w:i/>
                          <w:iCs/>
                          <w:sz w:val="24"/>
                          <w:szCs w:val="24"/>
                          <w:lang w:val="de"/>
                        </w:rPr>
                      </m:ctrlPr>
                    </m:sSubPr>
                    <m:e>
                      <m:r>
                        <m:rPr>
                          <m:nor/>
                        </m:rPr>
                        <w:rPr>
                          <w:rFonts w:hint="default" w:ascii="Times New Roman" w:hAnsi="Times New Roman" w:cs="Times New Roman"/>
                          <w:i/>
                          <w:iCs/>
                          <w:sz w:val="24"/>
                          <w:szCs w:val="24"/>
                          <w:lang w:val="de"/>
                        </w:rPr>
                        <m:t>A</m:t>
                      </m:r>
                      <m:ctrlPr>
                        <w:rPr>
                          <w:rFonts w:hint="default" w:ascii="Cambria Math" w:hAnsi="Cambria Math" w:cs="Times New Roman"/>
                          <w:i/>
                          <w:iCs/>
                          <w:sz w:val="24"/>
                          <w:szCs w:val="24"/>
                          <w:lang w:val="de"/>
                        </w:rPr>
                      </m:ctrlPr>
                    </m:e>
                    <m:sub>
                      <m:r>
                        <m:rPr>
                          <m:nor/>
                        </m:rPr>
                        <w:rPr>
                          <w:rFonts w:hint="default" w:ascii="Times New Roman" w:hAnsi="Times New Roman" w:cs="Times New Roman"/>
                          <w:i/>
                          <w:iCs/>
                          <w:sz w:val="24"/>
                          <w:szCs w:val="24"/>
                          <w:lang w:val="de"/>
                        </w:rPr>
                        <m:t>λ</m:t>
                      </m:r>
                      <m:ctrlPr>
                        <w:rPr>
                          <w:rFonts w:hint="default" w:ascii="Cambria Math" w:hAnsi="Cambria Math" w:cs="Times New Roman"/>
                          <w:i/>
                          <w:iCs/>
                          <w:sz w:val="24"/>
                          <w:szCs w:val="24"/>
                          <w:lang w:val="de"/>
                        </w:rPr>
                      </m:ctrlPr>
                    </m:sub>
                  </m:sSub>
                  <m:ctrlPr>
                    <w:rPr>
                      <w:rFonts w:hint="default" w:ascii="Cambria Math" w:hAnsi="Cambria Math" w:cs="Times New Roman"/>
                      <w:sz w:val="24"/>
                      <w:szCs w:val="24"/>
                      <w:lang w:val="de"/>
                    </w:rPr>
                  </m:ctrlPr>
                </m:sup>
              </m:sSup>
              <m:r>
                <m:rPr>
                  <m:nor/>
                  <m:sty m:val="p"/>
                </m:rPr>
                <w:rPr>
                  <w:rFonts w:hint="default" w:ascii="Times New Roman" w:hAnsi="Times New Roman" w:cs="Times New Roman"/>
                  <w:b w:val="0"/>
                  <w:i w:val="0"/>
                  <w:sz w:val="24"/>
                  <w:szCs w:val="24"/>
                  <w:lang w:val="de"/>
                </w:rPr>
                <m:t>)</m:t>
              </m:r>
              <m:ctrlPr>
                <w:rPr>
                  <w:rFonts w:hint="default" w:ascii="Cambria Math" w:hAnsi="Cambria Math" w:cs="Times New Roman"/>
                  <w:sz w:val="24"/>
                  <w:szCs w:val="24"/>
                  <w:lang w:val="de"/>
                </w:rPr>
              </m:ctrlPr>
            </m:den>
          </m:f>
        </m:oMath>
      </m:oMathPara>
    </w:p>
    <w:p w14:paraId="68DD7571">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kern w:val="2"/>
          <w:sz w:val="24"/>
          <w:szCs w:val="24"/>
          <w:lang w:val="de" w:eastAsia="zh-CN"/>
        </w:rPr>
      </w:pPr>
      <w:r>
        <w:rPr>
          <w:rFonts w:hint="default" w:ascii="Times New Roman" w:hAnsi="Times New Roman" w:cs="Times New Roman"/>
          <w:sz w:val="24"/>
          <w:szCs w:val="24"/>
          <w:lang w:val="de" w:eastAsia="zh-CN" w:bidi="ar"/>
        </w:rPr>
        <w:t xml:space="preserve">where </w:t>
      </w:r>
      <w:r>
        <w:rPr>
          <w:rFonts w:hint="default" w:ascii="Times New Roman" w:hAnsi="Times New Roman" w:cs="Times New Roman"/>
          <w:i/>
          <w:iCs/>
          <w:sz w:val="24"/>
          <w:szCs w:val="24"/>
          <w:lang w:val="de" w:eastAsia="zh-CN" w:bidi="ar"/>
        </w:rPr>
        <w:t>T</w:t>
      </w:r>
      <w:r>
        <w:rPr>
          <w:rFonts w:hint="default" w:ascii="Times New Roman" w:hAnsi="Times New Roman" w:cs="Times New Roman"/>
          <w:sz w:val="24"/>
          <w:szCs w:val="24"/>
          <w:vertAlign w:val="subscript"/>
          <w:lang w:val="de" w:eastAsia="zh-CN" w:bidi="ar"/>
        </w:rPr>
        <w:t>max</w:t>
      </w:r>
      <w:r>
        <w:rPr>
          <w:rFonts w:hint="default" w:ascii="Times New Roman" w:hAnsi="Times New Roman" w:cs="Times New Roman"/>
          <w:sz w:val="24"/>
          <w:szCs w:val="24"/>
          <w:lang w:val="de" w:eastAsia="zh-CN" w:bidi="ar"/>
        </w:rPr>
        <w:t xml:space="preserve"> refers to the equilibrium temperature, </w:t>
      </w:r>
      <w:r>
        <w:rPr>
          <w:rFonts w:hint="default" w:ascii="Times New Roman" w:hAnsi="Times New Roman" w:cs="Times New Roman"/>
          <w:i/>
          <w:iCs/>
          <w:sz w:val="24"/>
          <w:szCs w:val="24"/>
          <w:lang w:val="de" w:eastAsia="zh-CN" w:bidi="ar"/>
        </w:rPr>
        <w:t>T</w:t>
      </w:r>
      <w:r>
        <w:rPr>
          <w:rFonts w:hint="default" w:ascii="Times New Roman" w:hAnsi="Times New Roman" w:cs="Times New Roman"/>
          <w:sz w:val="24"/>
          <w:szCs w:val="24"/>
          <w:vertAlign w:val="subscript"/>
          <w:lang w:val="de" w:eastAsia="zh-CN" w:bidi="ar"/>
        </w:rPr>
        <w:t xml:space="preserve">surr </w:t>
      </w:r>
      <w:r>
        <w:rPr>
          <w:rFonts w:hint="default" w:ascii="Times New Roman" w:hAnsi="Times New Roman" w:cs="Times New Roman"/>
          <w:sz w:val="24"/>
          <w:szCs w:val="24"/>
          <w:lang w:val="de" w:eastAsia="zh-CN" w:bidi="ar"/>
        </w:rPr>
        <w:t xml:space="preserve">refers to the ambient temperature, </w:t>
      </w:r>
      <w:r>
        <w:rPr>
          <w:rFonts w:hint="default" w:ascii="Times New Roman" w:hAnsi="Times New Roman" w:cs="Times New Roman"/>
          <w:i/>
          <w:iCs/>
          <w:sz w:val="24"/>
          <w:szCs w:val="24"/>
          <w:lang w:val="de" w:eastAsia="zh-CN" w:bidi="ar"/>
        </w:rPr>
        <w:t>h</w:t>
      </w:r>
      <w:r>
        <w:rPr>
          <w:rFonts w:hint="default" w:ascii="Times New Roman" w:hAnsi="Times New Roman" w:cs="Times New Roman"/>
          <w:sz w:val="24"/>
          <w:szCs w:val="24"/>
          <w:lang w:val="de" w:eastAsia="zh-CN" w:bidi="ar"/>
        </w:rPr>
        <w:t xml:space="preserve"> refers to the heat conversion coefficient, </w:t>
      </w:r>
      <w:r>
        <w:rPr>
          <w:rFonts w:hint="default" w:ascii="Times New Roman" w:hAnsi="Times New Roman" w:cs="Times New Roman"/>
          <w:i/>
          <w:iCs/>
          <w:sz w:val="24"/>
          <w:szCs w:val="24"/>
          <w:lang w:val="en-US" w:eastAsia="zh-CN" w:bidi="ar"/>
        </w:rPr>
        <w:t>s</w:t>
      </w:r>
      <w:r>
        <w:rPr>
          <w:rFonts w:hint="default" w:ascii="Times New Roman" w:hAnsi="Times New Roman" w:cs="Times New Roman"/>
          <w:sz w:val="24"/>
          <w:szCs w:val="24"/>
          <w:lang w:val="de" w:eastAsia="zh-CN" w:bidi="ar"/>
        </w:rPr>
        <w:t xml:space="preserve"> refers to the surface area of a container, </w:t>
      </w:r>
      <w:r>
        <w:rPr>
          <w:rFonts w:hint="default" w:ascii="Times New Roman" w:hAnsi="Times New Roman" w:cs="Times New Roman"/>
          <w:i/>
          <w:iCs/>
          <w:sz w:val="24"/>
          <w:szCs w:val="24"/>
          <w:lang w:val="de" w:eastAsia="zh-CN" w:bidi="ar"/>
        </w:rPr>
        <w:t>I</w:t>
      </w:r>
      <w:r>
        <w:rPr>
          <w:rFonts w:hint="default" w:ascii="Times New Roman" w:hAnsi="Times New Roman" w:cs="Times New Roman"/>
          <w:sz w:val="24"/>
          <w:szCs w:val="24"/>
          <w:lang w:val="de" w:eastAsia="zh-CN" w:bidi="ar"/>
        </w:rPr>
        <w:t xml:space="preserve"> represents the incident energy of the NIR laser (808 nm), and </w:t>
      </w:r>
      <w:r>
        <w:rPr>
          <w:rFonts w:hint="default" w:ascii="Times New Roman" w:hAnsi="Times New Roman" w:cs="Times New Roman"/>
          <w:b w:val="0"/>
          <w:bCs w:val="0"/>
          <w:i/>
          <w:iCs/>
          <w:sz w:val="24"/>
          <w:szCs w:val="24"/>
          <w:lang w:val="de" w:eastAsia="zh-CN" w:bidi="ar"/>
        </w:rPr>
        <w:t>A</w:t>
      </w:r>
      <w:r>
        <w:rPr>
          <w:rFonts w:hint="default" w:ascii="Times New Roman" w:hAnsi="Times New Roman" w:cs="Times New Roman"/>
          <w:b w:val="0"/>
          <w:bCs w:val="0"/>
          <w:i/>
          <w:iCs/>
          <w:sz w:val="24"/>
          <w:szCs w:val="24"/>
          <w:vertAlign w:val="subscript"/>
          <w:lang w:val="de" w:eastAsia="zh-CN" w:bidi="ar"/>
        </w:rPr>
        <w:t>λ</w:t>
      </w:r>
      <w:r>
        <w:rPr>
          <w:rFonts w:hint="default" w:ascii="Times New Roman" w:hAnsi="Times New Roman" w:cs="Times New Roman"/>
          <w:sz w:val="24"/>
          <w:szCs w:val="24"/>
          <w:lang w:val="de" w:eastAsia="zh-CN" w:bidi="ar"/>
        </w:rPr>
        <w:t xml:space="preserve"> represents the absorbance of </w:t>
      </w:r>
      <w:r>
        <w:rPr>
          <w:rFonts w:hint="default" w:ascii="Times New Roman" w:hAnsi="Times New Roman" w:cs="Times New Roman"/>
          <w:sz w:val="24"/>
          <w:szCs w:val="24"/>
          <w:lang w:val="en-US" w:eastAsia="zh-CN" w:bidi="ar"/>
        </w:rPr>
        <w:t xml:space="preserve">CMF HESACs catalysts </w:t>
      </w:r>
      <w:r>
        <w:rPr>
          <w:rFonts w:hint="default" w:ascii="Times New Roman" w:hAnsi="Times New Roman" w:cs="Times New Roman"/>
          <w:sz w:val="24"/>
          <w:szCs w:val="24"/>
          <w:lang w:val="de" w:eastAsia="zh-CN" w:bidi="ar"/>
        </w:rPr>
        <w:t xml:space="preserve">at 808 nm of NIR irradiation. In addition, </w:t>
      </w:r>
      <w:r>
        <w:rPr>
          <w:rFonts w:hint="default" w:ascii="Times New Roman" w:hAnsi="Times New Roman" w:cs="Times New Roman"/>
          <w:i/>
          <w:iCs/>
          <w:sz w:val="24"/>
          <w:szCs w:val="24"/>
          <w:lang w:val="de" w:eastAsia="zh-CN" w:bidi="ar"/>
        </w:rPr>
        <w:t>Q</w:t>
      </w:r>
      <w:r>
        <w:rPr>
          <w:rFonts w:hint="default" w:ascii="Times New Roman" w:hAnsi="Times New Roman" w:cs="Times New Roman"/>
          <w:sz w:val="24"/>
          <w:szCs w:val="24"/>
          <w:vertAlign w:val="subscript"/>
          <w:lang w:val="de" w:eastAsia="zh-CN" w:bidi="ar"/>
        </w:rPr>
        <w:t>Dis</w:t>
      </w:r>
      <w:r>
        <w:rPr>
          <w:rFonts w:hint="default" w:ascii="Times New Roman" w:hAnsi="Times New Roman" w:cs="Times New Roman"/>
          <w:sz w:val="24"/>
          <w:szCs w:val="24"/>
          <w:lang w:val="de" w:eastAsia="zh-CN" w:bidi="ar"/>
        </w:rPr>
        <w:t xml:space="preserve"> represents the baseline energy input of the sample cell, and the specific formula is </w:t>
      </w:r>
      <w:r>
        <w:rPr>
          <w:rFonts w:hint="default" w:ascii="Times New Roman" w:hAnsi="Times New Roman" w:cs="Times New Roman"/>
          <w:i/>
          <w:iCs/>
          <w:sz w:val="24"/>
          <w:szCs w:val="24"/>
          <w:lang w:val="de" w:eastAsia="zh-CN" w:bidi="ar"/>
        </w:rPr>
        <w:t>Q</w:t>
      </w:r>
      <w:r>
        <w:rPr>
          <w:rFonts w:hint="default" w:ascii="Times New Roman" w:hAnsi="Times New Roman" w:cs="Times New Roman"/>
          <w:sz w:val="24"/>
          <w:szCs w:val="24"/>
          <w:vertAlign w:val="subscript"/>
          <w:lang w:val="de" w:eastAsia="zh-CN" w:bidi="ar"/>
        </w:rPr>
        <w:t>Dis</w:t>
      </w:r>
      <w:r>
        <w:rPr>
          <w:rFonts w:hint="default" w:ascii="Times New Roman" w:hAnsi="Times New Roman" w:cs="Times New Roman"/>
          <w:sz w:val="24"/>
          <w:szCs w:val="24"/>
          <w:lang w:val="de" w:eastAsia="zh-CN" w:bidi="ar"/>
        </w:rPr>
        <w:t xml:space="preserve"> = 5.4 × 10</w:t>
      </w:r>
      <w:r>
        <w:rPr>
          <w:rFonts w:hint="default" w:ascii="Times New Roman" w:hAnsi="Times New Roman" w:cs="Times New Roman"/>
          <w:sz w:val="24"/>
          <w:szCs w:val="24"/>
          <w:vertAlign w:val="superscript"/>
          <w:lang w:val="de" w:eastAsia="zh-CN" w:bidi="ar"/>
        </w:rPr>
        <w:t>–4</w:t>
      </w:r>
      <w:r>
        <w:rPr>
          <w:rFonts w:hint="default" w:ascii="Times New Roman" w:hAnsi="Times New Roman" w:cs="Times New Roman"/>
          <w:i/>
          <w:iCs/>
          <w:sz w:val="24"/>
          <w:szCs w:val="24"/>
          <w:lang w:val="de" w:eastAsia="zh-CN" w:bidi="ar"/>
        </w:rPr>
        <w:t>I</w:t>
      </w:r>
      <w:r>
        <w:rPr>
          <w:rFonts w:hint="default" w:ascii="Times New Roman" w:hAnsi="Times New Roman" w:cs="Times New Roman"/>
          <w:sz w:val="24"/>
          <w:szCs w:val="24"/>
          <w:lang w:val="de" w:eastAsia="zh-CN" w:bidi="ar"/>
        </w:rPr>
        <w:t xml:space="preserve">. The value of </w:t>
      </w:r>
      <w:r>
        <w:rPr>
          <w:rFonts w:hint="default" w:ascii="Times New Roman" w:hAnsi="Times New Roman" w:cs="Times New Roman"/>
          <w:i/>
          <w:iCs/>
          <w:sz w:val="24"/>
          <w:szCs w:val="24"/>
          <w:lang w:val="de" w:eastAsia="zh-CN" w:bidi="ar"/>
        </w:rPr>
        <w:t>h</w:t>
      </w:r>
      <w:r>
        <w:rPr>
          <w:rFonts w:hint="default" w:ascii="Times New Roman" w:hAnsi="Times New Roman" w:cs="Times New Roman"/>
          <w:i/>
          <w:iCs/>
          <w:sz w:val="24"/>
          <w:szCs w:val="24"/>
          <w:lang w:val="en-US" w:eastAsia="zh-CN" w:bidi="ar"/>
        </w:rPr>
        <w:t>s</w:t>
      </w:r>
      <w:r>
        <w:rPr>
          <w:rFonts w:hint="default" w:ascii="Times New Roman" w:hAnsi="Times New Roman" w:cs="Times New Roman"/>
          <w:i/>
          <w:iCs/>
          <w:sz w:val="24"/>
          <w:szCs w:val="24"/>
          <w:lang w:val="de" w:eastAsia="zh-CN" w:bidi="ar"/>
        </w:rPr>
        <w:t xml:space="preserve"> </w:t>
      </w:r>
      <w:r>
        <w:rPr>
          <w:rFonts w:hint="default" w:ascii="Times New Roman" w:hAnsi="Times New Roman" w:cs="Times New Roman"/>
          <w:sz w:val="24"/>
          <w:szCs w:val="24"/>
          <w:lang w:val="de" w:eastAsia="zh-CN" w:bidi="ar"/>
        </w:rPr>
        <w:t>was calculated by:</w:t>
      </w:r>
    </w:p>
    <w:p w14:paraId="12EF6192">
      <w:pPr>
        <w:keepNext w:val="0"/>
        <w:keepLines w:val="0"/>
        <w:pageBreakBefore w:val="0"/>
        <w:widowControl/>
        <w:kinsoku/>
        <w:wordWrap/>
        <w:overflowPunct/>
        <w:topLinePunct w:val="0"/>
        <w:autoSpaceDN/>
        <w:bidi w:val="0"/>
        <w:adjustRightInd w:val="0"/>
        <w:snapToGrid w:val="0"/>
        <w:spacing w:line="360" w:lineRule="auto"/>
        <w:ind w:firstLine="240" w:firstLineChars="100"/>
        <w:jc w:val="center"/>
        <w:textAlignment w:val="auto"/>
        <w:rPr>
          <w:rFonts w:hint="default" w:ascii="Times New Roman" w:hAnsi="Times New Roman" w:eastAsia="宋体" w:cs="Times New Roman"/>
          <w:kern w:val="2"/>
          <w:sz w:val="24"/>
          <w:szCs w:val="24"/>
          <w:lang w:val="en-US" w:eastAsia="zh-CN"/>
        </w:rPr>
      </w:pPr>
      <m:oMathPara>
        <m:oMath>
          <m:r>
            <m:rPr>
              <m:nor/>
            </m:rPr>
            <w:rPr>
              <w:rFonts w:hint="default" w:ascii="Times New Roman" w:hAnsi="Times New Roman" w:cs="Times New Roman"/>
              <w:i/>
              <w:iCs/>
              <w:sz w:val="24"/>
              <w:szCs w:val="24"/>
              <w:lang w:bidi="ar"/>
            </w:rPr>
            <m:t>hs</m:t>
          </m:r>
          <m:r>
            <m:rPr>
              <m:nor/>
              <m:sty m:val="p"/>
            </m:rPr>
            <w:rPr>
              <w:rFonts w:hint="default" w:ascii="Times New Roman" w:hAnsi="Times New Roman" w:eastAsia="宋体" w:cs="Times New Roman"/>
              <w:b w:val="0"/>
              <w:i w:val="0"/>
              <w:iCs/>
              <w:sz w:val="24"/>
              <w:szCs w:val="24"/>
              <w:lang w:val="en-US" w:eastAsia="zh-CN" w:bidi="ar"/>
            </w:rPr>
            <m:t xml:space="preserve"> </m:t>
          </m:r>
          <m:r>
            <m:rPr>
              <m:nor/>
              <m:sty m:val="p"/>
            </m:rPr>
            <w:rPr>
              <w:rFonts w:hint="default" w:ascii="Times New Roman" w:hAnsi="Times New Roman" w:cs="Times New Roman"/>
              <w:b w:val="0"/>
              <w:i w:val="0"/>
              <w:sz w:val="24"/>
              <w:szCs w:val="24"/>
              <w:lang w:bidi="ar"/>
            </w:rPr>
            <m:t xml:space="preserve">= </m:t>
          </m:r>
          <m:f>
            <m:fPr>
              <m:ctrlPr>
                <w:rPr>
                  <w:rFonts w:hint="default" w:ascii="Cambria Math" w:hAnsi="Cambria Math" w:cs="Times New Roman"/>
                  <w:sz w:val="24"/>
                  <w:szCs w:val="24"/>
                  <w:lang w:bidi="ar"/>
                </w:rPr>
              </m:ctrlPr>
            </m:fPr>
            <m:num>
              <m:sSub>
                <m:sSubPr>
                  <m:ctrlPr>
                    <w:rPr>
                      <w:rFonts w:hint="default" w:ascii="Cambria Math" w:hAnsi="Cambria Math" w:cs="Times New Roman"/>
                      <w:sz w:val="24"/>
                      <w:szCs w:val="24"/>
                      <w:lang w:bidi="ar"/>
                    </w:rPr>
                  </m:ctrlPr>
                </m:sSubPr>
                <m:e>
                  <m:r>
                    <m:rPr>
                      <m:nor/>
                    </m:rPr>
                    <w:rPr>
                      <w:rFonts w:hint="default" w:ascii="Times New Roman" w:hAnsi="Times New Roman" w:cs="Times New Roman"/>
                      <w:i/>
                      <w:iCs/>
                      <w:sz w:val="24"/>
                      <w:szCs w:val="24"/>
                      <w:lang w:bidi="ar"/>
                    </w:rPr>
                    <m:t>mC</m:t>
                  </m:r>
                  <m:ctrlPr>
                    <w:rPr>
                      <w:rFonts w:hint="default" w:ascii="Cambria Math" w:hAnsi="Cambria Math" w:cs="Times New Roman"/>
                      <w:sz w:val="24"/>
                      <w:szCs w:val="24"/>
                      <w:lang w:bidi="ar"/>
                    </w:rPr>
                  </m:ctrlPr>
                </m:e>
                <m:sub>
                  <m:r>
                    <m:rPr>
                      <m:nor/>
                      <m:sty m:val="p"/>
                    </m:rPr>
                    <w:rPr>
                      <w:rFonts w:hint="default" w:ascii="Times New Roman" w:hAnsi="Times New Roman" w:cs="Times New Roman"/>
                      <w:b w:val="0"/>
                      <w:i w:val="0"/>
                      <w:sz w:val="24"/>
                      <w:szCs w:val="24"/>
                      <w:lang w:bidi="ar"/>
                    </w:rPr>
                    <m:t>water</m:t>
                  </m:r>
                  <m:ctrlPr>
                    <w:rPr>
                      <w:rFonts w:hint="default" w:ascii="Cambria Math" w:hAnsi="Cambria Math" w:cs="Times New Roman"/>
                      <w:sz w:val="24"/>
                      <w:szCs w:val="24"/>
                      <w:lang w:bidi="ar"/>
                    </w:rPr>
                  </m:ctrlPr>
                </m:sub>
              </m:sSub>
              <m:ctrlPr>
                <w:rPr>
                  <w:rFonts w:hint="default" w:ascii="Cambria Math" w:hAnsi="Cambria Math" w:cs="Times New Roman"/>
                  <w:sz w:val="24"/>
                  <w:szCs w:val="24"/>
                  <w:lang w:bidi="ar"/>
                </w:rPr>
              </m:ctrlPr>
            </m:num>
            <m:den>
              <m:sSub>
                <m:sSubPr>
                  <m:ctrlPr>
                    <w:rPr>
                      <w:rFonts w:hint="default" w:ascii="Cambria Math" w:hAnsi="Cambria Math" w:cs="Times New Roman"/>
                      <w:i/>
                      <w:iCs/>
                      <w:sz w:val="24"/>
                      <w:szCs w:val="24"/>
                      <w:lang w:bidi="ar"/>
                    </w:rPr>
                  </m:ctrlPr>
                </m:sSubPr>
                <m:e>
                  <m:r>
                    <m:rPr>
                      <m:nor/>
                    </m:rPr>
                    <w:rPr>
                      <w:rFonts w:hint="default" w:ascii="Times New Roman" w:hAnsi="Times New Roman" w:cs="Times New Roman"/>
                      <w:i/>
                      <w:iCs/>
                      <w:sz w:val="24"/>
                      <w:szCs w:val="24"/>
                      <w:lang w:bidi="ar"/>
                    </w:rPr>
                    <m:t>τ</m:t>
                  </m:r>
                  <m:ctrlPr>
                    <w:rPr>
                      <w:rFonts w:hint="default" w:ascii="Cambria Math" w:hAnsi="Cambria Math" w:cs="Times New Roman"/>
                      <w:i/>
                      <w:iCs/>
                      <w:sz w:val="24"/>
                      <w:szCs w:val="24"/>
                      <w:lang w:bidi="ar"/>
                    </w:rPr>
                  </m:ctrlPr>
                </m:e>
                <m:sub>
                  <m:r>
                    <m:rPr>
                      <m:nor/>
                    </m:rPr>
                    <w:rPr>
                      <w:rFonts w:hint="default" w:ascii="Times New Roman" w:hAnsi="Times New Roman" w:cs="Times New Roman"/>
                      <w:i/>
                      <w:iCs/>
                      <w:sz w:val="24"/>
                      <w:szCs w:val="24"/>
                      <w:lang w:bidi="ar"/>
                    </w:rPr>
                    <m:t>s</m:t>
                  </m:r>
                  <m:ctrlPr>
                    <w:rPr>
                      <w:rFonts w:hint="default" w:ascii="Cambria Math" w:hAnsi="Cambria Math" w:cs="Times New Roman"/>
                      <w:i/>
                      <w:iCs/>
                      <w:sz w:val="24"/>
                      <w:szCs w:val="24"/>
                      <w:lang w:bidi="ar"/>
                    </w:rPr>
                  </m:ctrlPr>
                </m:sub>
              </m:sSub>
              <m:ctrlPr>
                <w:rPr>
                  <w:rFonts w:hint="default" w:ascii="Cambria Math" w:hAnsi="Cambria Math" w:cs="Times New Roman"/>
                  <w:sz w:val="24"/>
                  <w:szCs w:val="24"/>
                  <w:lang w:bidi="ar"/>
                </w:rPr>
              </m:ctrlPr>
            </m:den>
          </m:f>
        </m:oMath>
      </m:oMathPara>
    </w:p>
    <w:p w14:paraId="047ED8A3">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r>
        <w:rPr>
          <w:rFonts w:hint="default" w:ascii="Times New Roman" w:hAnsi="Times New Roman" w:cs="Times New Roman"/>
          <w:sz w:val="24"/>
          <w:szCs w:val="24"/>
          <w:lang w:val="de" w:eastAsia="zh-CN" w:bidi="ar"/>
        </w:rPr>
        <w:t xml:space="preserve">where m is the mass of the sample, </w:t>
      </w:r>
      <w:r>
        <w:rPr>
          <w:rFonts w:hint="default" w:ascii="Times New Roman" w:hAnsi="Times New Roman" w:cs="Times New Roman"/>
          <w:i/>
          <w:iCs/>
          <w:sz w:val="24"/>
          <w:szCs w:val="24"/>
          <w:lang w:val="de" w:eastAsia="zh-CN" w:bidi="ar"/>
        </w:rPr>
        <w:t>C</w:t>
      </w:r>
      <w:r>
        <w:rPr>
          <w:rFonts w:hint="default" w:ascii="Times New Roman" w:hAnsi="Times New Roman" w:cs="Times New Roman"/>
          <w:sz w:val="24"/>
          <w:szCs w:val="24"/>
          <w:vertAlign w:val="subscript"/>
          <w:lang w:val="de" w:eastAsia="zh-CN" w:bidi="ar"/>
        </w:rPr>
        <w:t>water</w:t>
      </w:r>
      <w:r>
        <w:rPr>
          <w:rFonts w:hint="default" w:ascii="Times New Roman" w:hAnsi="Times New Roman" w:cs="Times New Roman"/>
          <w:sz w:val="24"/>
          <w:szCs w:val="24"/>
          <w:lang w:val="de" w:eastAsia="zh-CN" w:bidi="ar"/>
        </w:rPr>
        <w:t xml:space="preserve"> is the heat capacity of water (4.2 J g</w:t>
      </w:r>
      <w:r>
        <w:rPr>
          <w:rFonts w:hint="default" w:ascii="Times New Roman" w:hAnsi="Times New Roman" w:cs="Times New Roman"/>
          <w:sz w:val="24"/>
          <w:szCs w:val="24"/>
          <w:vertAlign w:val="superscript"/>
          <w:lang w:val="de" w:eastAsia="zh-CN" w:bidi="ar"/>
        </w:rPr>
        <w:t>–1</w:t>
      </w:r>
      <w:r>
        <w:rPr>
          <w:rFonts w:hint="default" w:ascii="Times New Roman" w:hAnsi="Times New Roman" w:cs="Times New Roman"/>
          <w:sz w:val="24"/>
          <w:szCs w:val="24"/>
          <w:lang w:val="de" w:eastAsia="zh-CN" w:bidi="ar"/>
        </w:rPr>
        <w:t xml:space="preserve"> K</w:t>
      </w:r>
      <w:r>
        <w:rPr>
          <w:rFonts w:hint="default" w:ascii="Times New Roman" w:hAnsi="Times New Roman" w:cs="Times New Roman"/>
          <w:sz w:val="24"/>
          <w:szCs w:val="24"/>
          <w:vertAlign w:val="superscript"/>
          <w:lang w:val="de" w:eastAsia="zh-CN" w:bidi="ar"/>
        </w:rPr>
        <w:t>–1</w:t>
      </w:r>
      <w:r>
        <w:rPr>
          <w:rFonts w:hint="default" w:ascii="Times New Roman" w:hAnsi="Times New Roman" w:cs="Times New Roman"/>
          <w:sz w:val="24"/>
          <w:szCs w:val="24"/>
          <w:lang w:val="de" w:eastAsia="zh-CN" w:bidi="ar"/>
        </w:rPr>
        <w:t>), and τ</w:t>
      </w:r>
      <w:r>
        <w:rPr>
          <w:rFonts w:hint="default" w:ascii="Times New Roman" w:hAnsi="Times New Roman" w:cs="Times New Roman"/>
          <w:sz w:val="24"/>
          <w:szCs w:val="24"/>
          <w:vertAlign w:val="subscript"/>
          <w:lang w:val="de" w:eastAsia="zh-CN" w:bidi="ar"/>
        </w:rPr>
        <w:t>s</w:t>
      </w:r>
      <w:r>
        <w:rPr>
          <w:rFonts w:hint="default" w:ascii="Times New Roman" w:hAnsi="Times New Roman" w:cs="Times New Roman"/>
          <w:sz w:val="24"/>
          <w:szCs w:val="24"/>
          <w:lang w:val="de" w:eastAsia="zh-CN" w:bidi="ar"/>
        </w:rPr>
        <w:t xml:space="preserve"> is the time constant of the system. Substituting </w:t>
      </w:r>
      <w:r>
        <w:rPr>
          <w:rFonts w:hint="default" w:ascii="Times New Roman" w:hAnsi="Times New Roman" w:cs="Times New Roman"/>
          <w:i/>
          <w:iCs/>
          <w:sz w:val="24"/>
          <w:szCs w:val="24"/>
          <w:lang w:val="de" w:eastAsia="zh-CN" w:bidi="ar"/>
        </w:rPr>
        <w:t>h</w:t>
      </w:r>
      <w:r>
        <w:rPr>
          <w:rFonts w:hint="default" w:ascii="Times New Roman" w:hAnsi="Times New Roman" w:cs="Times New Roman"/>
          <w:i/>
          <w:iCs/>
          <w:sz w:val="24"/>
          <w:szCs w:val="24"/>
          <w:lang w:val="en-US" w:eastAsia="zh-CN" w:bidi="ar"/>
        </w:rPr>
        <w:t>s</w:t>
      </w:r>
      <w:r>
        <w:rPr>
          <w:rFonts w:hint="default" w:ascii="Times New Roman" w:hAnsi="Times New Roman" w:cs="Times New Roman"/>
          <w:sz w:val="24"/>
          <w:szCs w:val="24"/>
          <w:lang w:val="de" w:eastAsia="zh-CN" w:bidi="ar"/>
        </w:rPr>
        <w:t xml:space="preserve"> into</w:t>
      </w:r>
      <w:r>
        <w:rPr>
          <w:rFonts w:hint="default" w:ascii="Times New Roman" w:hAnsi="Times New Roman" w:eastAsia="宋体" w:cs="Times New Roman"/>
          <w:sz w:val="24"/>
          <w:szCs w:val="24"/>
          <w:lang w:val="de" w:eastAsia="zh-CN" w:bidi="ar"/>
        </w:rPr>
        <w:t xml:space="preserve"> the</w:t>
      </w:r>
      <w:r>
        <w:rPr>
          <w:rFonts w:hint="default" w:ascii="Times New Roman" w:hAnsi="Times New Roman" w:cs="Times New Roman"/>
          <w:sz w:val="24"/>
          <w:szCs w:val="24"/>
          <w:lang w:val="de" w:eastAsia="zh-CN" w:bidi="ar"/>
        </w:rPr>
        <w:t xml:space="preserve"> </w:t>
      </w:r>
      <w:r>
        <w:rPr>
          <w:rFonts w:hint="default" w:ascii="Times New Roman" w:hAnsi="Times New Roman" w:cs="Times New Roman"/>
          <w:i/>
          <w:iCs/>
          <w:sz w:val="24"/>
          <w:szCs w:val="24"/>
          <w:lang w:val="de" w:eastAsia="zh-CN" w:bidi="ar"/>
        </w:rPr>
        <w:t>η</w:t>
      </w:r>
      <w:r>
        <w:rPr>
          <w:rFonts w:hint="default" w:ascii="Times New Roman" w:hAnsi="Times New Roman" w:cs="Times New Roman"/>
          <w:sz w:val="24"/>
          <w:szCs w:val="24"/>
          <w:lang w:val="de" w:eastAsia="zh-CN" w:bidi="ar"/>
        </w:rPr>
        <w:t xml:space="preserve"> equation, the conversion efficiency is obtained. Then, the stability was tested with </w:t>
      </w:r>
      <w:r>
        <w:rPr>
          <w:rFonts w:hint="default" w:ascii="Times New Roman" w:hAnsi="Times New Roman" w:cs="Times New Roman"/>
          <w:sz w:val="24"/>
          <w:szCs w:val="24"/>
          <w:lang w:val="en-US" w:eastAsia="zh-CN" w:bidi="ar"/>
        </w:rPr>
        <w:t>three</w:t>
      </w:r>
      <w:r>
        <w:rPr>
          <w:rFonts w:hint="default" w:ascii="Times New Roman" w:hAnsi="Times New Roman" w:cs="Times New Roman"/>
          <w:sz w:val="24"/>
          <w:szCs w:val="24"/>
          <w:lang w:val="de" w:eastAsia="zh-CN" w:bidi="ar"/>
        </w:rPr>
        <w:t xml:space="preserve"> cycles of laser on-off experiments. The </w:t>
      </w:r>
      <w:r>
        <w:rPr>
          <w:rFonts w:hint="default" w:ascii="Times New Roman" w:hAnsi="Times New Roman" w:cs="Times New Roman"/>
          <w:i/>
          <w:iCs/>
          <w:sz w:val="24"/>
          <w:szCs w:val="24"/>
          <w:lang w:val="de" w:eastAsia="zh-CN" w:bidi="ar"/>
        </w:rPr>
        <w:t>in vivo</w:t>
      </w:r>
      <w:r>
        <w:rPr>
          <w:rFonts w:hint="default" w:ascii="Times New Roman" w:hAnsi="Times New Roman" w:cs="Times New Roman"/>
          <w:sz w:val="24"/>
          <w:szCs w:val="24"/>
          <w:lang w:val="de" w:eastAsia="zh-CN" w:bidi="ar"/>
        </w:rPr>
        <w:t xml:space="preserve"> photothermal abilities were tested with </w:t>
      </w:r>
      <w:r>
        <w:rPr>
          <w:rFonts w:hint="default" w:ascii="Times New Roman" w:hAnsi="Times New Roman" w:cs="Times New Roman"/>
          <w:sz w:val="24"/>
          <w:szCs w:val="24"/>
          <w:lang w:val="en-US" w:eastAsia="zh-CN" w:bidi="ar"/>
        </w:rPr>
        <w:t>CMF HESACs</w:t>
      </w:r>
      <w:r>
        <w:rPr>
          <w:rFonts w:hint="default" w:ascii="Times New Roman" w:hAnsi="Times New Roman" w:cs="Times New Roman"/>
          <w:sz w:val="24"/>
          <w:szCs w:val="24"/>
          <w:lang w:val="de" w:eastAsia="zh-CN" w:bidi="ar"/>
        </w:rPr>
        <w:t>. After</w:t>
      </w:r>
      <w:r>
        <w:rPr>
          <w:rFonts w:hint="default" w:ascii="Times New Roman" w:hAnsi="Times New Roman" w:eastAsia="宋体" w:cs="Times New Roman"/>
          <w:sz w:val="24"/>
          <w:szCs w:val="24"/>
          <w:lang w:val="de" w:eastAsia="zh-CN" w:bidi="ar"/>
        </w:rPr>
        <w:t xml:space="preserve"> the</w:t>
      </w:r>
      <w:r>
        <w:rPr>
          <w:rFonts w:hint="default" w:ascii="Times New Roman" w:hAnsi="Times New Roman" w:cs="Times New Roman"/>
          <w:sz w:val="24"/>
          <w:szCs w:val="24"/>
          <w:lang w:val="en-US" w:eastAsia="zh-CN" w:bidi="ar"/>
        </w:rPr>
        <w:t xml:space="preserve"> catalysts</w:t>
      </w:r>
      <w:r>
        <w:rPr>
          <w:rFonts w:hint="default" w:ascii="Times New Roman" w:hAnsi="Times New Roman" w:cs="Times New Roman"/>
          <w:sz w:val="24"/>
          <w:szCs w:val="24"/>
          <w:lang w:val="de" w:eastAsia="zh-CN" w:bidi="ar"/>
        </w:rPr>
        <w:t xml:space="preserve"> were injected, NIR irradiation was given for </w:t>
      </w:r>
      <w:r>
        <w:rPr>
          <w:rFonts w:hint="default" w:ascii="Times New Roman" w:hAnsi="Times New Roman" w:cs="Times New Roman"/>
          <w:sz w:val="24"/>
          <w:szCs w:val="24"/>
          <w:lang w:val="en-US" w:eastAsia="zh-CN" w:bidi="ar"/>
        </w:rPr>
        <w:t>3 min</w:t>
      </w:r>
      <w:r>
        <w:rPr>
          <w:rFonts w:hint="default" w:ascii="Times New Roman" w:hAnsi="Times New Roman" w:cs="Times New Roman"/>
          <w:sz w:val="24"/>
          <w:szCs w:val="24"/>
          <w:lang w:val="de" w:eastAsia="zh-CN" w:bidi="ar"/>
        </w:rPr>
        <w:t>.</w:t>
      </w:r>
    </w:p>
    <w:p w14:paraId="41748530">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p>
    <w:p w14:paraId="11499A58">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de" w:eastAsia="zh-CN"/>
        </w:rPr>
      </w:pPr>
      <w:r>
        <w:rPr>
          <w:rFonts w:hint="default" w:ascii="Times New Roman" w:hAnsi="Times New Roman" w:cs="Times New Roman" w:eastAsiaTheme="minorEastAsia"/>
          <w:b/>
          <w:sz w:val="24"/>
          <w:szCs w:val="24"/>
          <w:lang w:val="de" w:eastAsia="zh-CN"/>
        </w:rPr>
        <w:t>Cell culture</w:t>
      </w:r>
    </w:p>
    <w:p w14:paraId="4FB2CD20">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r>
        <w:rPr>
          <w:rFonts w:hint="default" w:ascii="Times New Roman" w:hAnsi="Times New Roman" w:cs="Times New Roman"/>
          <w:sz w:val="24"/>
          <w:szCs w:val="24"/>
          <w:lang w:val="de" w:eastAsia="zh-CN" w:bidi="ar"/>
        </w:rPr>
        <w:t xml:space="preserve">The CT26 mammary and L929 fibroblast cell lines were seeded in the </w:t>
      </w:r>
      <w:r>
        <w:rPr>
          <w:rFonts w:hint="default" w:ascii="Times New Roman" w:hAnsi="Times New Roman" w:eastAsia="宋体" w:cs="Times New Roman"/>
          <w:sz w:val="24"/>
          <w:szCs w:val="24"/>
          <w:lang w:val="en-US" w:eastAsia="zh-CN" w:bidi="ar"/>
        </w:rPr>
        <w:t>cell</w:t>
      </w:r>
      <w:r>
        <w:rPr>
          <w:rFonts w:hint="default" w:ascii="Times New Roman" w:hAnsi="Times New Roman" w:cs="Times New Roman"/>
          <w:sz w:val="24"/>
          <w:szCs w:val="24"/>
          <w:lang w:val="de" w:eastAsia="zh-CN" w:bidi="ar"/>
        </w:rPr>
        <w:t xml:space="preserve"> medium. The cell lines were incubated at 37°C under an atmosphere of 5% CO</w:t>
      </w:r>
      <w:r>
        <w:rPr>
          <w:rFonts w:hint="default" w:ascii="Times New Roman" w:hAnsi="Times New Roman" w:cs="Times New Roman"/>
          <w:sz w:val="24"/>
          <w:szCs w:val="24"/>
          <w:vertAlign w:val="subscript"/>
          <w:lang w:val="de" w:eastAsia="zh-CN" w:bidi="ar"/>
        </w:rPr>
        <w:t>2</w:t>
      </w:r>
      <w:r>
        <w:rPr>
          <w:rFonts w:hint="default" w:ascii="Times New Roman" w:hAnsi="Times New Roman" w:cs="Times New Roman"/>
          <w:sz w:val="24"/>
          <w:szCs w:val="24"/>
          <w:lang w:val="de" w:eastAsia="zh-CN" w:bidi="ar"/>
        </w:rPr>
        <w:t>.</w:t>
      </w:r>
    </w:p>
    <w:p w14:paraId="69350BA0">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p>
    <w:p w14:paraId="19743672">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de" w:eastAsia="zh-CN"/>
        </w:rPr>
      </w:pPr>
      <w:r>
        <w:rPr>
          <w:rFonts w:hint="default" w:ascii="Times New Roman" w:hAnsi="Times New Roman" w:cs="Times New Roman" w:eastAsiaTheme="minorEastAsia"/>
          <w:b/>
          <w:i/>
          <w:iCs/>
          <w:sz w:val="24"/>
          <w:szCs w:val="24"/>
          <w:lang w:val="de" w:eastAsia="zh-CN"/>
        </w:rPr>
        <w:t>In Vitro</w:t>
      </w:r>
      <w:r>
        <w:rPr>
          <w:rFonts w:hint="default" w:ascii="Times New Roman" w:hAnsi="Times New Roman" w:cs="Times New Roman" w:eastAsiaTheme="minorEastAsia"/>
          <w:b/>
          <w:sz w:val="24"/>
          <w:szCs w:val="24"/>
          <w:lang w:val="de" w:eastAsia="zh-CN"/>
        </w:rPr>
        <w:t xml:space="preserve"> Cytotoxicity Evaluation</w:t>
      </w:r>
    </w:p>
    <w:p w14:paraId="1A596385">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r>
        <w:rPr>
          <w:rFonts w:hint="default" w:ascii="Times New Roman" w:hAnsi="Times New Roman" w:cs="Times New Roman"/>
          <w:sz w:val="24"/>
          <w:szCs w:val="24"/>
          <w:lang w:val="de" w:eastAsia="zh-CN" w:bidi="ar"/>
        </w:rPr>
        <w:t xml:space="preserve">The cytotoxicity effect of </w:t>
      </w:r>
      <w:r>
        <w:rPr>
          <w:rFonts w:hint="default" w:ascii="Times New Roman" w:hAnsi="Times New Roman" w:cs="Times New Roman"/>
          <w:sz w:val="24"/>
          <w:szCs w:val="24"/>
          <w:lang w:val="en-US" w:eastAsia="zh-CN" w:bidi="ar"/>
        </w:rPr>
        <w:t>CM</w:t>
      </w:r>
      <w:r>
        <w:rPr>
          <w:rFonts w:hint="default" w:ascii="Times New Roman" w:hAnsi="Times New Roman" w:cs="Times New Roman"/>
          <w:sz w:val="24"/>
          <w:szCs w:val="24"/>
          <w:lang w:val="de" w:eastAsia="zh-CN" w:bidi="ar"/>
        </w:rPr>
        <w:t>@MIL@PZS</w:t>
      </w:r>
      <w:r>
        <w:rPr>
          <w:rFonts w:hint="default" w:ascii="Times New Roman" w:hAnsi="Times New Roman" w:cs="Times New Roman"/>
          <w:sz w:val="24"/>
          <w:szCs w:val="24"/>
          <w:lang w:val="en-US" w:eastAsia="zh-CN" w:bidi="ar"/>
        </w:rPr>
        <w:t xml:space="preserve"> </w:t>
      </w:r>
      <w:r>
        <w:rPr>
          <w:rFonts w:hint="default" w:ascii="Times New Roman" w:hAnsi="Times New Roman" w:cs="Times New Roman"/>
          <w:sz w:val="24"/>
          <w:szCs w:val="24"/>
          <w:lang w:val="de" w:eastAsia="zh-CN" w:bidi="ar"/>
        </w:rPr>
        <w:t>and C</w:t>
      </w:r>
      <w:r>
        <w:rPr>
          <w:rFonts w:hint="default" w:ascii="Times New Roman" w:hAnsi="Times New Roman" w:cs="Times New Roman"/>
          <w:sz w:val="24"/>
          <w:szCs w:val="24"/>
          <w:lang w:val="en-US" w:eastAsia="zh-CN" w:bidi="ar"/>
        </w:rPr>
        <w:t>MF</w:t>
      </w:r>
      <w:r>
        <w:rPr>
          <w:rFonts w:hint="default" w:ascii="Times New Roman" w:hAnsi="Times New Roman" w:cs="Times New Roman"/>
          <w:sz w:val="24"/>
          <w:szCs w:val="24"/>
          <w:lang w:val="de" w:eastAsia="zh-CN" w:bidi="ar"/>
        </w:rPr>
        <w:t xml:space="preserve"> </w:t>
      </w:r>
      <w:r>
        <w:rPr>
          <w:rFonts w:hint="default" w:ascii="Times New Roman" w:hAnsi="Times New Roman" w:cs="Times New Roman"/>
          <w:sz w:val="24"/>
          <w:szCs w:val="24"/>
          <w:lang w:val="en-US" w:eastAsia="zh-CN" w:bidi="ar"/>
        </w:rPr>
        <w:t>HESACs</w:t>
      </w:r>
      <w:r>
        <w:rPr>
          <w:rFonts w:hint="default" w:ascii="Times New Roman" w:hAnsi="Times New Roman" w:cs="Times New Roman"/>
          <w:sz w:val="24"/>
          <w:szCs w:val="24"/>
          <w:lang w:val="de" w:eastAsia="zh-CN" w:bidi="ar"/>
        </w:rPr>
        <w:t xml:space="preserve"> catalysts was studied</w:t>
      </w:r>
      <w:r>
        <w:rPr>
          <w:rFonts w:hint="default" w:ascii="Times New Roman" w:hAnsi="Times New Roman" w:cs="Times New Roman"/>
          <w:i/>
          <w:iCs/>
          <w:sz w:val="24"/>
          <w:szCs w:val="24"/>
          <w:lang w:val="de" w:eastAsia="zh-CN" w:bidi="ar"/>
        </w:rPr>
        <w:t xml:space="preserve"> via </w:t>
      </w:r>
      <w:r>
        <w:rPr>
          <w:rFonts w:hint="default" w:ascii="Times New Roman" w:hAnsi="Times New Roman" w:cs="Times New Roman"/>
          <w:sz w:val="24"/>
          <w:szCs w:val="24"/>
          <w:lang w:val="de" w:eastAsia="zh-CN" w:bidi="ar"/>
        </w:rPr>
        <w:t>the MTT assay. CT26 cells were pre-seeded into a 96-well plate at 4 × 10</w:t>
      </w:r>
      <w:r>
        <w:rPr>
          <w:rFonts w:hint="default" w:ascii="Times New Roman" w:hAnsi="Times New Roman" w:cs="Times New Roman"/>
          <w:sz w:val="24"/>
          <w:szCs w:val="24"/>
          <w:vertAlign w:val="superscript"/>
          <w:lang w:val="de" w:eastAsia="zh-CN" w:bidi="ar"/>
        </w:rPr>
        <w:t>3</w:t>
      </w:r>
      <w:r>
        <w:rPr>
          <w:rFonts w:hint="default" w:ascii="Times New Roman" w:hAnsi="Times New Roman" w:cs="Times New Roman"/>
          <w:sz w:val="24"/>
          <w:szCs w:val="24"/>
          <w:lang w:val="de" w:eastAsia="zh-CN" w:bidi="ar"/>
        </w:rPr>
        <w:t xml:space="preserve"> cells per well and treated with (1) Control, (2) NIR, (3) CM@MIL@PZS, (4) </w:t>
      </w:r>
      <w:r>
        <w:rPr>
          <w:rFonts w:hint="default" w:ascii="Times New Roman" w:hAnsi="Times New Roman" w:cs="Times New Roman"/>
          <w:sz w:val="24"/>
          <w:szCs w:val="24"/>
          <w:lang w:val="en-US" w:eastAsia="zh-CN" w:bidi="ar"/>
        </w:rPr>
        <w:t>CMF HESACs</w:t>
      </w:r>
      <w:r>
        <w:rPr>
          <w:rFonts w:hint="default" w:ascii="Times New Roman" w:hAnsi="Times New Roman" w:cs="Times New Roman"/>
          <w:sz w:val="24"/>
          <w:szCs w:val="24"/>
          <w:lang w:val="de" w:eastAsia="zh-CN" w:bidi="ar"/>
        </w:rPr>
        <w:t xml:space="preserve">, (5) CM@MIL@PZS + NIR, and (6) CMF HESACs + NIR. Groups with </w:t>
      </w:r>
      <w:r>
        <w:rPr>
          <w:rFonts w:hint="default" w:ascii="Times New Roman" w:hAnsi="Times New Roman" w:eastAsia="宋体" w:cs="Times New Roman"/>
          <w:sz w:val="24"/>
          <w:szCs w:val="24"/>
          <w:lang w:val="en-US" w:eastAsia="zh-CN" w:bidi="ar"/>
        </w:rPr>
        <w:t>catalysts</w:t>
      </w:r>
      <w:r>
        <w:rPr>
          <w:rFonts w:hint="default" w:ascii="Times New Roman" w:hAnsi="Times New Roman" w:cs="Times New Roman"/>
          <w:sz w:val="24"/>
          <w:szCs w:val="24"/>
          <w:lang w:val="de" w:eastAsia="zh-CN" w:bidi="ar"/>
        </w:rPr>
        <w:t xml:space="preserve"> were co-incubated with </w:t>
      </w:r>
      <w:r>
        <w:rPr>
          <w:rFonts w:hint="default" w:ascii="Times New Roman" w:hAnsi="Times New Roman" w:cs="Times New Roman"/>
          <w:sz w:val="24"/>
          <w:szCs w:val="24"/>
          <w:lang w:val="en-US" w:eastAsia="zh-CN" w:bidi="ar"/>
        </w:rPr>
        <w:t>catalysts</w:t>
      </w:r>
      <w:r>
        <w:rPr>
          <w:rFonts w:hint="default" w:ascii="Times New Roman" w:hAnsi="Times New Roman" w:cs="Times New Roman"/>
          <w:sz w:val="24"/>
          <w:szCs w:val="24"/>
          <w:lang w:val="de" w:eastAsia="zh-CN" w:bidi="ar"/>
        </w:rPr>
        <w:t xml:space="preserve"> for 4 </w:t>
      </w:r>
      <w:r>
        <w:rPr>
          <w:rFonts w:hint="default" w:ascii="Times New Roman" w:hAnsi="Times New Roman" w:eastAsia="宋体" w:cs="Times New Roman"/>
          <w:sz w:val="24"/>
          <w:szCs w:val="24"/>
          <w:lang w:val="de" w:eastAsia="zh-CN" w:bidi="ar"/>
        </w:rPr>
        <w:t>h</w:t>
      </w:r>
      <w:r>
        <w:rPr>
          <w:rFonts w:hint="default" w:ascii="Times New Roman" w:hAnsi="Times New Roman" w:cs="Times New Roman"/>
          <w:sz w:val="24"/>
          <w:szCs w:val="24"/>
          <w:lang w:val="de" w:eastAsia="zh-CN" w:bidi="ar"/>
        </w:rPr>
        <w:t xml:space="preserve">. Groups that contained NIR were irradiated with </w:t>
      </w:r>
      <w:r>
        <w:rPr>
          <w:rFonts w:hint="default" w:ascii="Times New Roman" w:hAnsi="Times New Roman" w:eastAsia="宋体" w:cs="Times New Roman"/>
          <w:sz w:val="24"/>
          <w:szCs w:val="24"/>
          <w:lang w:val="de" w:eastAsia="zh-CN" w:bidi="ar"/>
        </w:rPr>
        <w:t xml:space="preserve">an </w:t>
      </w:r>
      <w:r>
        <w:rPr>
          <w:rFonts w:hint="default" w:ascii="Times New Roman" w:hAnsi="Times New Roman" w:cs="Times New Roman"/>
          <w:sz w:val="24"/>
          <w:szCs w:val="24"/>
          <w:lang w:val="de" w:eastAsia="zh-CN" w:bidi="ar"/>
        </w:rPr>
        <w:t>NIR laser for 5 min. After removing the catalysts, the cells were incubated overnight at 37°C. The CT26 cells were washed with PBS, 20 µL of MTT solution (5 mg mL</w:t>
      </w:r>
      <w:r>
        <w:rPr>
          <w:rFonts w:hint="default" w:ascii="Times New Roman" w:hAnsi="Times New Roman" w:cs="Times New Roman"/>
          <w:sz w:val="24"/>
          <w:szCs w:val="24"/>
          <w:vertAlign w:val="superscript"/>
          <w:lang w:val="de" w:eastAsia="zh-CN" w:bidi="ar"/>
        </w:rPr>
        <w:t>–1</w:t>
      </w:r>
      <w:r>
        <w:rPr>
          <w:rFonts w:hint="default" w:ascii="Times New Roman" w:hAnsi="Times New Roman" w:cs="Times New Roman"/>
          <w:sz w:val="24"/>
          <w:szCs w:val="24"/>
          <w:lang w:val="de" w:eastAsia="zh-CN" w:bidi="ar"/>
        </w:rPr>
        <w:t xml:space="preserve">) added to each well, and stained for 4 </w:t>
      </w:r>
      <w:r>
        <w:rPr>
          <w:rFonts w:hint="default" w:ascii="Times New Roman" w:hAnsi="Times New Roman" w:eastAsia="宋体" w:cs="Times New Roman"/>
          <w:sz w:val="24"/>
          <w:szCs w:val="24"/>
          <w:lang w:val="de" w:eastAsia="zh-CN" w:bidi="ar"/>
        </w:rPr>
        <w:t>h</w:t>
      </w:r>
      <w:r>
        <w:rPr>
          <w:rFonts w:hint="default" w:ascii="Times New Roman" w:hAnsi="Times New Roman" w:cs="Times New Roman"/>
          <w:sz w:val="24"/>
          <w:szCs w:val="24"/>
          <w:lang w:val="de" w:eastAsia="zh-CN" w:bidi="ar"/>
        </w:rPr>
        <w:t xml:space="preserve">. The MTT solution was removed, and 150 µL DMSO was added for 10 min. Then, the living cells were counted with the absorbance of each well at 490 nm. The biocompatibility assay of L929 fibroblast cells was conducted with </w:t>
      </w:r>
      <w:r>
        <w:rPr>
          <w:rFonts w:hint="default" w:ascii="Times New Roman" w:hAnsi="Times New Roman" w:cs="Times New Roman"/>
          <w:sz w:val="24"/>
          <w:szCs w:val="24"/>
          <w:lang w:val="en-US" w:eastAsia="zh-CN" w:bidi="ar"/>
        </w:rPr>
        <w:t>CMF HESACs catalyst</w:t>
      </w:r>
      <w:r>
        <w:rPr>
          <w:rFonts w:hint="default" w:ascii="Times New Roman" w:hAnsi="Times New Roman" w:cs="Times New Roman"/>
          <w:sz w:val="24"/>
          <w:szCs w:val="24"/>
          <w:lang w:val="de" w:eastAsia="zh-CN" w:bidi="ar"/>
        </w:rPr>
        <w:t>s under the same experimental conditions.</w:t>
      </w:r>
    </w:p>
    <w:p w14:paraId="27C8B42A">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p>
    <w:p w14:paraId="724BB051">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de" w:eastAsia="zh-CN"/>
        </w:rPr>
      </w:pPr>
      <w:r>
        <w:rPr>
          <w:rFonts w:hint="default" w:ascii="Times New Roman" w:hAnsi="Times New Roman" w:cs="Times New Roman" w:eastAsiaTheme="minorEastAsia"/>
          <w:b/>
          <w:i/>
          <w:iCs/>
          <w:sz w:val="24"/>
          <w:szCs w:val="24"/>
          <w:lang w:val="de" w:eastAsia="zh-CN"/>
        </w:rPr>
        <w:t>In Vitro</w:t>
      </w:r>
      <w:r>
        <w:rPr>
          <w:rFonts w:hint="default" w:ascii="Times New Roman" w:hAnsi="Times New Roman" w:cs="Times New Roman" w:eastAsiaTheme="minorEastAsia"/>
          <w:b/>
          <w:sz w:val="24"/>
          <w:szCs w:val="24"/>
          <w:lang w:val="de" w:eastAsia="zh-CN"/>
        </w:rPr>
        <w:t xml:space="preserve"> ROS Detection</w:t>
      </w:r>
    </w:p>
    <w:p w14:paraId="5CB80CCF">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r>
        <w:rPr>
          <w:rFonts w:hint="default" w:ascii="Times New Roman" w:hAnsi="Times New Roman" w:cs="Times New Roman"/>
          <w:sz w:val="24"/>
          <w:szCs w:val="24"/>
          <w:lang w:val="de" w:eastAsia="zh-CN" w:bidi="ar"/>
        </w:rPr>
        <w:t xml:space="preserve">Cells were grown in </w:t>
      </w:r>
      <w:r>
        <w:rPr>
          <w:rFonts w:hint="default" w:ascii="Times New Roman" w:hAnsi="Times New Roman" w:cs="Times New Roman"/>
          <w:sz w:val="24"/>
          <w:szCs w:val="24"/>
          <w:lang w:val="en-US" w:eastAsia="zh-CN" w:bidi="ar"/>
        </w:rPr>
        <w:t>6</w:t>
      </w:r>
      <w:r>
        <w:rPr>
          <w:rFonts w:hint="default" w:ascii="Times New Roman" w:hAnsi="Times New Roman" w:cs="Times New Roman"/>
          <w:sz w:val="24"/>
          <w:szCs w:val="24"/>
          <w:lang w:val="de" w:eastAsia="zh-CN" w:bidi="ar"/>
        </w:rPr>
        <w:t>-well plates. Subsequently, treatment groups were set as (1) Control, (2) NIR, (3) CM@MIL@PZS, (4) CMF HESACs, (5) CM@MIL@PZS + NIR, and (6) CMF HESACs + NIR</w:t>
      </w:r>
      <w:r>
        <w:rPr>
          <w:rFonts w:hint="default" w:ascii="Times New Roman" w:hAnsi="Times New Roman" w:cs="Times New Roman"/>
          <w:sz w:val="24"/>
          <w:szCs w:val="24"/>
          <w:lang w:val="en-US" w:eastAsia="zh-CN" w:bidi="ar"/>
        </w:rPr>
        <w:t>.</w:t>
      </w:r>
      <w:r>
        <w:rPr>
          <w:rFonts w:hint="default" w:ascii="Times New Roman" w:hAnsi="Times New Roman" w:cs="Times New Roman"/>
          <w:sz w:val="24"/>
          <w:szCs w:val="24"/>
          <w:lang w:val="de" w:eastAsia="zh-CN" w:bidi="ar"/>
        </w:rPr>
        <w:t xml:space="preserve"> After co-incubation with </w:t>
      </w:r>
      <w:r>
        <w:rPr>
          <w:rFonts w:hint="default" w:ascii="Times New Roman" w:hAnsi="Times New Roman" w:cs="Times New Roman"/>
          <w:sz w:val="24"/>
          <w:szCs w:val="24"/>
          <w:lang w:val="en-US" w:eastAsia="zh-CN" w:bidi="ar"/>
        </w:rPr>
        <w:t>catalysts</w:t>
      </w:r>
      <w:r>
        <w:rPr>
          <w:rFonts w:hint="default" w:ascii="Times New Roman" w:hAnsi="Times New Roman" w:cs="Times New Roman"/>
          <w:sz w:val="24"/>
          <w:szCs w:val="24"/>
          <w:lang w:val="de" w:eastAsia="zh-CN" w:bidi="ar"/>
        </w:rPr>
        <w:t xml:space="preserve"> for 4 </w:t>
      </w:r>
      <w:r>
        <w:rPr>
          <w:rFonts w:hint="default" w:ascii="Times New Roman" w:hAnsi="Times New Roman" w:eastAsia="宋体" w:cs="Times New Roman"/>
          <w:sz w:val="24"/>
          <w:szCs w:val="24"/>
          <w:lang w:val="de" w:eastAsia="zh-CN" w:bidi="ar"/>
        </w:rPr>
        <w:t>h</w:t>
      </w:r>
      <w:r>
        <w:rPr>
          <w:rFonts w:hint="default" w:ascii="Times New Roman" w:hAnsi="Times New Roman" w:cs="Times New Roman"/>
          <w:sz w:val="24"/>
          <w:szCs w:val="24"/>
          <w:lang w:val="de" w:eastAsia="zh-CN" w:bidi="ar"/>
        </w:rPr>
        <w:t xml:space="preserve">, cells were gently </w:t>
      </w:r>
      <w:r>
        <w:rPr>
          <w:rFonts w:hint="default" w:ascii="Times New Roman" w:hAnsi="Times New Roman" w:cs="Times New Roman"/>
          <w:sz w:val="24"/>
          <w:szCs w:val="24"/>
          <w:lang w:val="en-US" w:eastAsia="zh-CN" w:bidi="ar"/>
        </w:rPr>
        <w:t>d</w:t>
      </w:r>
      <w:r>
        <w:rPr>
          <w:rFonts w:hint="default" w:ascii="Times New Roman" w:hAnsi="Times New Roman" w:cs="Times New Roman"/>
          <w:sz w:val="24"/>
          <w:szCs w:val="24"/>
          <w:lang w:val="de" w:eastAsia="zh-CN" w:bidi="ar"/>
        </w:rPr>
        <w:t>igested</w:t>
      </w:r>
      <w:r>
        <w:rPr>
          <w:rFonts w:hint="default" w:ascii="Times New Roman" w:hAnsi="Times New Roman" w:cs="Times New Roman"/>
          <w:sz w:val="24"/>
          <w:szCs w:val="24"/>
          <w:lang w:val="en-US" w:eastAsia="zh-CN" w:bidi="ar"/>
        </w:rPr>
        <w:t xml:space="preserve"> and </w:t>
      </w:r>
      <w:r>
        <w:rPr>
          <w:rFonts w:hint="default" w:ascii="Times New Roman" w:hAnsi="Times New Roman" w:cs="Times New Roman"/>
          <w:sz w:val="24"/>
          <w:szCs w:val="24"/>
          <w:lang w:val="de" w:eastAsia="zh-CN" w:bidi="ar"/>
        </w:rPr>
        <w:t>washed with PBS. Then, add 1 mL of DCFH-DA (2 μg mL</w:t>
      </w:r>
      <w:r>
        <w:rPr>
          <w:rFonts w:hint="default" w:ascii="Times New Roman" w:hAnsi="Times New Roman" w:cs="Times New Roman"/>
          <w:sz w:val="24"/>
          <w:szCs w:val="24"/>
          <w:vertAlign w:val="superscript"/>
          <w:lang w:val="de" w:eastAsia="zh-CN" w:bidi="ar"/>
        </w:rPr>
        <w:t>–1</w:t>
      </w:r>
      <w:r>
        <w:rPr>
          <w:rFonts w:hint="default" w:ascii="Times New Roman" w:hAnsi="Times New Roman" w:cs="Times New Roman"/>
          <w:sz w:val="24"/>
          <w:szCs w:val="24"/>
          <w:lang w:val="de" w:eastAsia="zh-CN" w:bidi="ar"/>
        </w:rPr>
        <w:t xml:space="preserve">) in each </w:t>
      </w:r>
      <w:r>
        <w:rPr>
          <w:rFonts w:hint="default" w:ascii="Times New Roman" w:hAnsi="Times New Roman" w:cs="Times New Roman"/>
          <w:sz w:val="24"/>
          <w:szCs w:val="24"/>
          <w:lang w:val="en-US" w:eastAsia="zh-CN" w:bidi="ar"/>
        </w:rPr>
        <w:t>group</w:t>
      </w:r>
      <w:r>
        <w:rPr>
          <w:rFonts w:hint="default" w:ascii="Times New Roman" w:hAnsi="Times New Roman" w:cs="Times New Roman"/>
          <w:sz w:val="24"/>
          <w:szCs w:val="24"/>
          <w:lang w:val="de" w:eastAsia="zh-CN" w:bidi="ar"/>
        </w:rPr>
        <w:t xml:space="preserve"> and stain for 20 min. Finally, the cells were washed with PBS and analyzed using flow cytometry (FCM).</w:t>
      </w:r>
    </w:p>
    <w:p w14:paraId="08DF5AD6">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p>
    <w:p w14:paraId="1BD044EE">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de" w:eastAsia="zh-CN"/>
        </w:rPr>
      </w:pPr>
      <w:r>
        <w:rPr>
          <w:rFonts w:hint="default" w:ascii="Times New Roman" w:hAnsi="Times New Roman" w:cs="Times New Roman" w:eastAsiaTheme="minorEastAsia"/>
          <w:b/>
          <w:sz w:val="24"/>
          <w:szCs w:val="24"/>
          <w:lang w:val="de" w:eastAsia="zh-CN"/>
        </w:rPr>
        <w:t>Mitochondrial Integrity Assay</w:t>
      </w:r>
    </w:p>
    <w:p w14:paraId="1FF12F3C">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r>
        <w:rPr>
          <w:rFonts w:hint="default" w:ascii="Times New Roman" w:hAnsi="Times New Roman" w:cs="Times New Roman"/>
          <w:sz w:val="24"/>
          <w:szCs w:val="24"/>
          <w:lang w:val="de" w:eastAsia="zh-CN" w:bidi="ar"/>
        </w:rPr>
        <w:t xml:space="preserve">For the mitochondrial integrity assay, CT26 cells underwent the same treatments as </w:t>
      </w:r>
      <w:r>
        <w:rPr>
          <w:rFonts w:hint="default" w:ascii="Times New Roman" w:hAnsi="Times New Roman" w:cs="Times New Roman"/>
          <w:i/>
          <w:iCs/>
          <w:sz w:val="24"/>
          <w:szCs w:val="24"/>
          <w:lang w:val="de" w:eastAsia="zh-CN" w:bidi="ar"/>
        </w:rPr>
        <w:t>in vitro</w:t>
      </w:r>
      <w:r>
        <w:rPr>
          <w:rFonts w:hint="default" w:ascii="Times New Roman" w:hAnsi="Times New Roman" w:cs="Times New Roman"/>
          <w:sz w:val="24"/>
          <w:szCs w:val="24"/>
          <w:lang w:val="de" w:eastAsia="zh-CN" w:bidi="ar"/>
        </w:rPr>
        <w:t xml:space="preserve"> ROS detection. Then, according to the manufacturer's protocol, they were incubated with JC-1 staining solution and photographed by CLSM in the green channel for J-monomers and the red channel for J-aggregates separately.</w:t>
      </w:r>
    </w:p>
    <w:p w14:paraId="2B8D4839">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p>
    <w:p w14:paraId="02ADE34C">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de" w:eastAsia="zh-CN"/>
        </w:rPr>
      </w:pPr>
      <w:r>
        <w:rPr>
          <w:rFonts w:hint="default" w:ascii="Times New Roman" w:hAnsi="Times New Roman" w:cs="Times New Roman" w:eastAsiaTheme="minorEastAsia"/>
          <w:b/>
          <w:sz w:val="24"/>
          <w:szCs w:val="24"/>
          <w:lang w:val="de" w:eastAsia="zh-CN"/>
        </w:rPr>
        <w:t>Assessment of Lysosomal Membrane Integrity</w:t>
      </w:r>
    </w:p>
    <w:p w14:paraId="63F58D8F">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r>
        <w:rPr>
          <w:rFonts w:hint="default" w:ascii="Times New Roman" w:hAnsi="Times New Roman" w:cs="Times New Roman"/>
          <w:sz w:val="24"/>
          <w:szCs w:val="24"/>
          <w:lang w:val="de" w:eastAsia="zh-CN" w:bidi="ar"/>
        </w:rPr>
        <w:t>CT26 cells were randomly seeded in a 6-well plate (1 × 10</w:t>
      </w:r>
      <w:r>
        <w:rPr>
          <w:rFonts w:hint="default" w:ascii="Times New Roman" w:hAnsi="Times New Roman" w:cs="Times New Roman"/>
          <w:sz w:val="24"/>
          <w:szCs w:val="24"/>
          <w:vertAlign w:val="superscript"/>
          <w:lang w:val="de" w:eastAsia="zh-CN" w:bidi="ar"/>
        </w:rPr>
        <w:t>5</w:t>
      </w:r>
      <w:r>
        <w:rPr>
          <w:rFonts w:hint="default" w:ascii="Times New Roman" w:hAnsi="Times New Roman" w:cs="Times New Roman"/>
          <w:sz w:val="24"/>
          <w:szCs w:val="24"/>
          <w:lang w:val="de" w:eastAsia="zh-CN" w:bidi="ar"/>
        </w:rPr>
        <w:t xml:space="preserve"> cells per well) and allowed to adhere for 24 </w:t>
      </w:r>
      <w:r>
        <w:rPr>
          <w:rFonts w:hint="default" w:ascii="Times New Roman" w:hAnsi="Times New Roman" w:eastAsia="宋体" w:cs="Times New Roman"/>
          <w:sz w:val="24"/>
          <w:szCs w:val="24"/>
          <w:lang w:val="de" w:eastAsia="zh-CN" w:bidi="ar"/>
        </w:rPr>
        <w:t>h</w:t>
      </w:r>
      <w:r>
        <w:rPr>
          <w:rFonts w:hint="default" w:ascii="Times New Roman" w:hAnsi="Times New Roman" w:cs="Times New Roman"/>
          <w:sz w:val="24"/>
          <w:szCs w:val="24"/>
          <w:lang w:val="de" w:eastAsia="zh-CN" w:bidi="ar"/>
        </w:rPr>
        <w:t>. Subsequently, the medium was removed, and the disks were washed with PBS twice before treatment. After incubation, groups (2), (5), and (6) were exposed to NIR laser (0.8 W cm</w:t>
      </w:r>
      <w:r>
        <w:rPr>
          <w:rFonts w:hint="default" w:ascii="Times New Roman" w:hAnsi="Times New Roman" w:cs="Times New Roman"/>
          <w:sz w:val="24"/>
          <w:szCs w:val="24"/>
          <w:vertAlign w:val="superscript"/>
          <w:lang w:val="de" w:eastAsia="zh-CN" w:bidi="ar"/>
        </w:rPr>
        <w:t>−2</w:t>
      </w:r>
      <w:r>
        <w:rPr>
          <w:rFonts w:hint="default" w:ascii="Times New Roman" w:hAnsi="Times New Roman" w:cs="Times New Roman"/>
          <w:sz w:val="24"/>
          <w:szCs w:val="24"/>
          <w:lang w:val="de" w:eastAsia="zh-CN" w:bidi="ar"/>
        </w:rPr>
        <w:t>) for 5 min. After CT26 cells accepted the above treatments, 1 mL of AO solution (10 μM) was added and co-incubated for 20 min. Finally, the cells were washed thrice and imaged by a CLSM.</w:t>
      </w:r>
    </w:p>
    <w:p w14:paraId="07CB2035">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p>
    <w:p w14:paraId="5E449492">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en-US" w:eastAsia="zh-CN"/>
        </w:rPr>
      </w:pPr>
      <w:r>
        <w:rPr>
          <w:rFonts w:hint="default" w:ascii="Times New Roman" w:hAnsi="Times New Roman" w:cs="Times New Roman" w:eastAsiaTheme="minorEastAsia"/>
          <w:b/>
          <w:sz w:val="24"/>
          <w:szCs w:val="24"/>
          <w:lang w:val="en-US" w:eastAsia="zh-CN"/>
        </w:rPr>
        <w:t>Transcriptome Analyses</w:t>
      </w:r>
    </w:p>
    <w:p w14:paraId="08048BEB">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en-US" w:eastAsia="zh-CN" w:bidi="ar"/>
        </w:rPr>
      </w:pPr>
      <w:r>
        <w:rPr>
          <w:rFonts w:hint="default" w:ascii="Times New Roman" w:hAnsi="Times New Roman" w:cs="Times New Roman"/>
          <w:sz w:val="24"/>
          <w:szCs w:val="24"/>
          <w:lang w:val="en-US" w:eastAsia="zh-CN" w:bidi="ar"/>
        </w:rPr>
        <w:t>CT26 cells were divided into two groups: the experimental group treated with CMF HESACs + NIR and the control group without any treatment. The mRNA was extracted and sent to Novogene Co., Ltd. (Beijing, China) for transcriptomic analysis. For transcriptomics analysis, the genes with corrected P &lt; 0.05 and |foldchange| ≥ 2 were considered as DEGs.</w:t>
      </w:r>
    </w:p>
    <w:p w14:paraId="01B4E064">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en-US" w:eastAsia="zh-CN" w:bidi="ar"/>
        </w:rPr>
      </w:pPr>
    </w:p>
    <w:p w14:paraId="317878E9">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en-US" w:eastAsia="zh-CN"/>
        </w:rPr>
      </w:pPr>
      <w:r>
        <w:rPr>
          <w:rFonts w:hint="default" w:ascii="Times New Roman" w:hAnsi="Times New Roman" w:cs="Times New Roman" w:eastAsiaTheme="minorEastAsia"/>
          <w:b/>
          <w:sz w:val="24"/>
          <w:szCs w:val="24"/>
          <w:lang w:val="en-US" w:eastAsia="zh-CN"/>
        </w:rPr>
        <w:t>Western Blot Assays</w:t>
      </w:r>
    </w:p>
    <w:p w14:paraId="75C34182">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en-US" w:eastAsia="zh-CN" w:bidi="ar"/>
        </w:rPr>
      </w:pPr>
      <w:r>
        <w:rPr>
          <w:rFonts w:hint="default" w:ascii="Times New Roman" w:hAnsi="Times New Roman" w:cs="Times New Roman"/>
          <w:sz w:val="24"/>
          <w:szCs w:val="24"/>
          <w:lang w:val="en-US" w:eastAsia="zh-CN" w:bidi="ar"/>
        </w:rPr>
        <w:t>CT26 cells were pre-seeded in a 6-well culture plate (1 × 10</w:t>
      </w:r>
      <w:r>
        <w:rPr>
          <w:rFonts w:hint="default" w:ascii="Times New Roman" w:hAnsi="Times New Roman" w:cs="Times New Roman"/>
          <w:sz w:val="24"/>
          <w:szCs w:val="24"/>
          <w:vertAlign w:val="superscript"/>
          <w:lang w:val="en-US" w:eastAsia="zh-CN" w:bidi="ar"/>
        </w:rPr>
        <w:t>5</w:t>
      </w:r>
      <w:r>
        <w:rPr>
          <w:rFonts w:hint="default" w:ascii="Times New Roman" w:hAnsi="Times New Roman" w:cs="Times New Roman"/>
          <w:sz w:val="24"/>
          <w:szCs w:val="24"/>
          <w:lang w:val="en-US" w:eastAsia="zh-CN" w:bidi="ar"/>
        </w:rPr>
        <w:t xml:space="preserve"> cells per well). For caspase3 assays, ACSL4, and GPX4 assays, the experiment was divided into four groups: (1) control; (2) CM@MIL@PZS + NIR; (3) CMF HESACs + NIR; and (4) CMF HESACs + NIR + Fer-1 + Z-VAD-FMK. The CT26 cells were then collected using trypsin and lysed in a lysis buffer. Then, the proteins were separated by SDS-PAGE gel electrophoresis and then transferred to a polyvinylidene fluoride membrane. After blocking with 5% dried skimmed milk for 1 </w:t>
      </w:r>
      <w:r>
        <w:rPr>
          <w:rFonts w:hint="default" w:ascii="Times New Roman" w:hAnsi="Times New Roman" w:eastAsia="宋体" w:cs="Times New Roman"/>
          <w:sz w:val="24"/>
          <w:szCs w:val="24"/>
          <w:lang w:val="en-US" w:eastAsia="zh-CN" w:bidi="ar"/>
        </w:rPr>
        <w:t>h</w:t>
      </w:r>
      <w:r>
        <w:rPr>
          <w:rFonts w:hint="default" w:ascii="Times New Roman" w:hAnsi="Times New Roman" w:cs="Times New Roman"/>
          <w:sz w:val="24"/>
          <w:szCs w:val="24"/>
          <w:lang w:val="en-US" w:eastAsia="zh-CN" w:bidi="ar"/>
        </w:rPr>
        <w:t xml:space="preserve">, the samples were stained with the corresponding primary antibody overnight and anti-beta actin antibody as the loading control, followed by incubation with the goat anti-rabbit Dylight-800 or goat anti-mouse Dylight-680 antibody for 1 </w:t>
      </w:r>
      <w:r>
        <w:rPr>
          <w:rFonts w:hint="default" w:ascii="Times New Roman" w:hAnsi="Times New Roman" w:eastAsia="宋体" w:cs="Times New Roman"/>
          <w:sz w:val="24"/>
          <w:szCs w:val="24"/>
          <w:lang w:val="en-US" w:eastAsia="zh-CN" w:bidi="ar"/>
        </w:rPr>
        <w:t>h</w:t>
      </w:r>
      <w:r>
        <w:rPr>
          <w:rFonts w:hint="default" w:ascii="Times New Roman" w:hAnsi="Times New Roman" w:cs="Times New Roman"/>
          <w:sz w:val="24"/>
          <w:szCs w:val="24"/>
          <w:lang w:val="en-US" w:eastAsia="zh-CN" w:bidi="ar"/>
        </w:rPr>
        <w:t>. Afterward, the membrane was visualized by an Odyssey CLx Image Studio.</w:t>
      </w:r>
    </w:p>
    <w:p w14:paraId="7436697E">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p>
    <w:p w14:paraId="5EB50146">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de" w:eastAsia="zh-CN"/>
        </w:rPr>
      </w:pPr>
      <w:r>
        <w:rPr>
          <w:rFonts w:hint="default" w:ascii="Times New Roman" w:hAnsi="Times New Roman" w:cs="Times New Roman" w:eastAsiaTheme="minorEastAsia"/>
          <w:b/>
          <w:sz w:val="24"/>
          <w:szCs w:val="24"/>
          <w:lang w:val="de" w:eastAsia="zh-CN"/>
        </w:rPr>
        <w:t>Cellular GSH Detection</w:t>
      </w:r>
      <w:bookmarkStart w:id="18" w:name="_Hlk124867939"/>
    </w:p>
    <w:p w14:paraId="60FECDBE">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r>
        <w:rPr>
          <w:rFonts w:hint="default" w:ascii="Times New Roman" w:hAnsi="Times New Roman" w:cs="Times New Roman"/>
          <w:sz w:val="24"/>
          <w:szCs w:val="24"/>
          <w:lang w:val="de" w:eastAsia="zh-CN" w:bidi="ar"/>
        </w:rPr>
        <w:t>CT26 cells were seeded into 6-well culture plates at a density of 1 × 10</w:t>
      </w:r>
      <w:r>
        <w:rPr>
          <w:rFonts w:hint="default" w:ascii="Times New Roman" w:hAnsi="Times New Roman" w:cs="Times New Roman"/>
          <w:sz w:val="24"/>
          <w:szCs w:val="24"/>
          <w:vertAlign w:val="superscript"/>
          <w:lang w:val="de" w:eastAsia="zh-CN" w:bidi="ar"/>
        </w:rPr>
        <w:t>5</w:t>
      </w:r>
      <w:r>
        <w:rPr>
          <w:rFonts w:hint="default" w:ascii="Times New Roman" w:hAnsi="Times New Roman" w:cs="Times New Roman"/>
          <w:sz w:val="24"/>
          <w:szCs w:val="24"/>
          <w:lang w:val="de" w:eastAsia="zh-CN" w:bidi="ar"/>
        </w:rPr>
        <w:t xml:space="preserve"> per well. Subsequently, the medium was removed, and the disks were washed with PBS twice before treatment. Then, the intracellular GSH concentrations were detected using a commercial Thiol Tracker</w:t>
      </w:r>
      <w:r>
        <w:rPr>
          <w:rFonts w:hint="default" w:ascii="Times New Roman" w:hAnsi="Times New Roman" w:cs="Times New Roman"/>
          <w:sz w:val="24"/>
          <w:szCs w:val="24"/>
          <w:vertAlign w:val="superscript"/>
          <w:lang w:val="de" w:eastAsia="zh-CN" w:bidi="ar"/>
        </w:rPr>
        <w:t>TM</w:t>
      </w:r>
      <w:r>
        <w:rPr>
          <w:rFonts w:hint="default" w:ascii="Times New Roman" w:hAnsi="Times New Roman" w:cs="Times New Roman"/>
          <w:sz w:val="24"/>
          <w:szCs w:val="24"/>
          <w:lang w:val="de" w:eastAsia="zh-CN" w:bidi="ar"/>
        </w:rPr>
        <w:t xml:space="preserve"> Violet probe according to the manufacturer’s guidelines. Finally, the fluorescence images were recorded by a CLSM.</w:t>
      </w:r>
      <w:bookmarkEnd w:id="18"/>
    </w:p>
    <w:p w14:paraId="1CAD2F83">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p>
    <w:p w14:paraId="2A27E0C5">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de" w:eastAsia="zh-CN"/>
        </w:rPr>
      </w:pPr>
      <w:r>
        <w:rPr>
          <w:rFonts w:hint="default" w:ascii="Times New Roman" w:hAnsi="Times New Roman" w:cs="Times New Roman" w:eastAsiaTheme="minorEastAsia"/>
          <w:b/>
          <w:sz w:val="24"/>
          <w:szCs w:val="24"/>
          <w:lang w:val="de" w:eastAsia="zh-CN"/>
        </w:rPr>
        <w:t>Assessment of Lipid Peroxidation</w:t>
      </w:r>
    </w:p>
    <w:p w14:paraId="56E6AAE0">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sz w:val="24"/>
          <w:szCs w:val="24"/>
          <w:lang w:val="de" w:eastAsia="zh-CN" w:bidi="ar"/>
        </w:rPr>
      </w:pPr>
      <w:r>
        <w:rPr>
          <w:rFonts w:hint="default" w:ascii="Times New Roman" w:hAnsi="Times New Roman" w:cs="Times New Roman"/>
          <w:sz w:val="24"/>
          <w:szCs w:val="24"/>
          <w:lang w:val="de" w:eastAsia="zh-CN" w:bidi="ar"/>
        </w:rPr>
        <w:t>C</w:t>
      </w:r>
      <w:r>
        <w:rPr>
          <w:rFonts w:hint="default" w:ascii="Times New Roman" w:hAnsi="Times New Roman" w:cs="Times New Roman"/>
          <w:sz w:val="24"/>
          <w:szCs w:val="24"/>
          <w:lang w:val="en-US" w:eastAsia="zh-CN" w:bidi="ar"/>
        </w:rPr>
        <w:t>T</w:t>
      </w:r>
      <w:r>
        <w:rPr>
          <w:rFonts w:hint="default" w:ascii="Times New Roman" w:hAnsi="Times New Roman" w:cs="Times New Roman"/>
          <w:sz w:val="24"/>
          <w:szCs w:val="24"/>
          <w:lang w:val="de" w:eastAsia="zh-CN" w:bidi="ar"/>
        </w:rPr>
        <w:t xml:space="preserve">26 cells were seeded in 6-well plates for 12 </w:t>
      </w:r>
      <w:r>
        <w:rPr>
          <w:rFonts w:hint="default" w:ascii="Times New Roman" w:hAnsi="Times New Roman" w:eastAsia="宋体" w:cs="Times New Roman"/>
          <w:sz w:val="24"/>
          <w:szCs w:val="24"/>
          <w:lang w:val="de" w:eastAsia="zh-CN" w:bidi="ar"/>
        </w:rPr>
        <w:t>h</w:t>
      </w:r>
      <w:r>
        <w:rPr>
          <w:rFonts w:hint="default" w:ascii="Times New Roman" w:hAnsi="Times New Roman" w:cs="Times New Roman"/>
          <w:sz w:val="24"/>
          <w:szCs w:val="24"/>
          <w:lang w:val="de" w:eastAsia="zh-CN" w:bidi="ar"/>
        </w:rPr>
        <w:t xml:space="preserve"> and then exposed to the above protocol treatments. They were then cultured with C11-BODIPY</w:t>
      </w:r>
      <w:r>
        <w:rPr>
          <w:rFonts w:hint="default" w:ascii="Times New Roman" w:hAnsi="Times New Roman" w:eastAsia="宋体" w:cs="Times New Roman"/>
          <w:sz w:val="24"/>
          <w:szCs w:val="24"/>
          <w:lang w:val="en-US" w:eastAsia="zh-CN" w:bidi="ar"/>
        </w:rPr>
        <w:t xml:space="preserve"> </w:t>
      </w:r>
      <w:r>
        <w:rPr>
          <w:rFonts w:hint="default" w:ascii="Times New Roman" w:hAnsi="Times New Roman" w:cs="Times New Roman"/>
          <w:sz w:val="24"/>
          <w:szCs w:val="24"/>
          <w:lang w:val="de" w:eastAsia="zh-CN" w:bidi="ar"/>
        </w:rPr>
        <w:t>581/591 dye (10 μM) for 30 min. The cells were imaged using a CLSM.</w:t>
      </w:r>
    </w:p>
    <w:p w14:paraId="3E1FB3D5">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sz w:val="24"/>
          <w:szCs w:val="24"/>
          <w:lang w:val="de" w:eastAsia="zh-CN" w:bidi="ar"/>
        </w:rPr>
      </w:pPr>
    </w:p>
    <w:p w14:paraId="6A362DE3">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de" w:eastAsia="zh-CN"/>
        </w:rPr>
      </w:pPr>
      <w:r>
        <w:rPr>
          <w:rFonts w:hint="default" w:ascii="Times New Roman" w:hAnsi="Times New Roman" w:cs="Times New Roman" w:eastAsiaTheme="minorEastAsia"/>
          <w:b/>
          <w:sz w:val="24"/>
          <w:szCs w:val="24"/>
          <w:lang w:val="de" w:eastAsia="zh-CN"/>
        </w:rPr>
        <w:t>Apoptosis Assay</w:t>
      </w:r>
    </w:p>
    <w:p w14:paraId="3B8B477D">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kern w:val="2"/>
          <w:sz w:val="24"/>
          <w:szCs w:val="24"/>
          <w:lang w:val="de" w:eastAsia="zh-CN"/>
        </w:rPr>
      </w:pPr>
      <w:r>
        <w:rPr>
          <w:rFonts w:hint="default" w:ascii="Times New Roman" w:hAnsi="Times New Roman" w:cs="Times New Roman"/>
          <w:sz w:val="24"/>
          <w:szCs w:val="24"/>
          <w:lang w:val="de" w:eastAsia="zh-CN" w:bidi="ar"/>
        </w:rPr>
        <w:t>CT26 cells were randomly seeded in a 6-well plate (1 × 10</w:t>
      </w:r>
      <w:r>
        <w:rPr>
          <w:rFonts w:hint="default" w:ascii="Times New Roman" w:hAnsi="Times New Roman" w:cs="Times New Roman"/>
          <w:sz w:val="24"/>
          <w:szCs w:val="24"/>
          <w:vertAlign w:val="superscript"/>
          <w:lang w:val="de" w:eastAsia="zh-CN" w:bidi="ar"/>
        </w:rPr>
        <w:t>5</w:t>
      </w:r>
      <w:r>
        <w:rPr>
          <w:rFonts w:hint="default" w:ascii="Times New Roman" w:hAnsi="Times New Roman" w:cs="Times New Roman"/>
          <w:sz w:val="24"/>
          <w:szCs w:val="24"/>
          <w:lang w:val="de" w:eastAsia="zh-CN" w:bidi="ar"/>
        </w:rPr>
        <w:t xml:space="preserve"> cells per well) and allowed to adhere for 24 </w:t>
      </w:r>
      <w:r>
        <w:rPr>
          <w:rFonts w:hint="default" w:ascii="Times New Roman" w:hAnsi="Times New Roman" w:eastAsia="宋体" w:cs="Times New Roman"/>
          <w:sz w:val="24"/>
          <w:szCs w:val="24"/>
          <w:lang w:val="de" w:eastAsia="zh-CN" w:bidi="ar"/>
        </w:rPr>
        <w:t>h</w:t>
      </w:r>
      <w:r>
        <w:rPr>
          <w:rFonts w:hint="default" w:ascii="Times New Roman" w:hAnsi="Times New Roman" w:cs="Times New Roman"/>
          <w:sz w:val="24"/>
          <w:szCs w:val="24"/>
          <w:lang w:val="de" w:eastAsia="zh-CN" w:bidi="ar"/>
        </w:rPr>
        <w:t>. Subsequently, the medium was removed, and the disks were washed with PBS twice before treatment.</w:t>
      </w:r>
    </w:p>
    <w:p w14:paraId="69426112">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de" w:eastAsia="zh-CN"/>
        </w:rPr>
      </w:pPr>
      <w:r>
        <w:rPr>
          <w:rFonts w:hint="default" w:ascii="Times New Roman" w:hAnsi="Times New Roman" w:cs="Times New Roman" w:eastAsiaTheme="minorEastAsia"/>
          <w:b/>
          <w:i/>
          <w:iCs/>
          <w:sz w:val="24"/>
          <w:szCs w:val="24"/>
          <w:lang w:val="de" w:eastAsia="zh-CN"/>
        </w:rPr>
        <w:t>In Vivo</w:t>
      </w:r>
      <w:r>
        <w:rPr>
          <w:rFonts w:hint="default" w:ascii="Times New Roman" w:hAnsi="Times New Roman" w:cs="Times New Roman" w:eastAsiaTheme="minorEastAsia"/>
          <w:b/>
          <w:sz w:val="24"/>
          <w:szCs w:val="24"/>
          <w:lang w:val="de" w:eastAsia="zh-CN"/>
        </w:rPr>
        <w:t xml:space="preserve"> Biodistribution of As-synthesized Catalysts</w:t>
      </w:r>
    </w:p>
    <w:p w14:paraId="26D3BEEC">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de" w:eastAsia="zh-CN"/>
        </w:rPr>
      </w:pPr>
    </w:p>
    <w:p w14:paraId="3292E780">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r>
        <w:rPr>
          <w:rFonts w:hint="default" w:ascii="Times New Roman" w:hAnsi="Times New Roman" w:cs="Times New Roman"/>
          <w:sz w:val="24"/>
          <w:szCs w:val="24"/>
          <w:lang w:val="de" w:eastAsia="zh-CN" w:bidi="ar"/>
        </w:rPr>
        <w:t xml:space="preserve">Female BALB/c mice were </w:t>
      </w:r>
      <w:bookmarkStart w:id="19" w:name="OLE_LINK60"/>
      <w:r>
        <w:rPr>
          <w:rFonts w:hint="default" w:ascii="Times New Roman" w:hAnsi="Times New Roman" w:cs="Times New Roman"/>
          <w:sz w:val="24"/>
          <w:szCs w:val="24"/>
          <w:lang w:val="de" w:eastAsia="zh-CN" w:bidi="ar"/>
        </w:rPr>
        <w:t>intravenously (i.v.)</w:t>
      </w:r>
      <w:bookmarkEnd w:id="19"/>
      <w:r>
        <w:rPr>
          <w:rFonts w:hint="default" w:ascii="Times New Roman" w:hAnsi="Times New Roman" w:cs="Times New Roman"/>
          <w:sz w:val="24"/>
          <w:szCs w:val="24"/>
          <w:lang w:val="de" w:eastAsia="zh-CN" w:bidi="ar"/>
        </w:rPr>
        <w:t xml:space="preserve"> injected with </w:t>
      </w:r>
      <w:r>
        <w:rPr>
          <w:rFonts w:hint="default" w:ascii="Times New Roman" w:hAnsi="Times New Roman" w:cs="Times New Roman"/>
          <w:sz w:val="24"/>
          <w:szCs w:val="24"/>
          <w:lang w:val="en-US" w:eastAsia="zh-CN" w:bidi="ar"/>
        </w:rPr>
        <w:t>CMF HESACs catalysts</w:t>
      </w:r>
      <w:r>
        <w:rPr>
          <w:rFonts w:hint="default" w:ascii="Times New Roman" w:hAnsi="Times New Roman" w:cs="Times New Roman"/>
          <w:sz w:val="24"/>
          <w:szCs w:val="24"/>
          <w:lang w:val="de" w:eastAsia="zh-CN" w:bidi="ar"/>
        </w:rPr>
        <w:t xml:space="preserve"> (100 μL, 15 mg kg</w:t>
      </w:r>
      <w:r>
        <w:rPr>
          <w:rFonts w:hint="default" w:ascii="Times New Roman" w:hAnsi="Times New Roman" w:cs="Times New Roman"/>
          <w:sz w:val="24"/>
          <w:szCs w:val="24"/>
          <w:vertAlign w:val="superscript"/>
          <w:lang w:val="de" w:eastAsia="zh-CN" w:bidi="ar"/>
        </w:rPr>
        <w:t>−1</w:t>
      </w:r>
      <w:r>
        <w:rPr>
          <w:rFonts w:hint="default" w:ascii="Times New Roman" w:hAnsi="Times New Roman" w:cs="Times New Roman"/>
          <w:sz w:val="24"/>
          <w:szCs w:val="24"/>
          <w:lang w:val="de" w:eastAsia="zh-CN" w:bidi="ar"/>
        </w:rPr>
        <w:t>). At the planned time points (1, 3, 6, 12, 24, and 48 h), the mice were euthanized to collect the tumors and other major organs, including the liver, spleen, kidney, heart, lung, and tumor for biodistribution analysis</w:t>
      </w:r>
      <w:r>
        <w:rPr>
          <w:rFonts w:hint="default" w:ascii="Times New Roman" w:hAnsi="Times New Roman" w:cs="Times New Roman"/>
          <w:i/>
          <w:iCs/>
          <w:sz w:val="24"/>
          <w:szCs w:val="24"/>
          <w:lang w:val="de" w:eastAsia="zh-CN" w:bidi="ar"/>
        </w:rPr>
        <w:t xml:space="preserve"> via </w:t>
      </w:r>
      <w:r>
        <w:rPr>
          <w:rFonts w:hint="default" w:ascii="Times New Roman" w:hAnsi="Times New Roman" w:cs="Times New Roman"/>
          <w:sz w:val="24"/>
          <w:szCs w:val="24"/>
          <w:lang w:val="de" w:eastAsia="zh-CN" w:bidi="ar"/>
        </w:rPr>
        <w:t>ICP-OES.</w:t>
      </w:r>
    </w:p>
    <w:p w14:paraId="4475F3C8">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p>
    <w:p w14:paraId="48C7EBEC">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de" w:eastAsia="zh-CN"/>
        </w:rPr>
      </w:pPr>
      <w:r>
        <w:rPr>
          <w:rFonts w:hint="default" w:ascii="Times New Roman" w:hAnsi="Times New Roman" w:cs="Times New Roman" w:eastAsiaTheme="minorEastAsia"/>
          <w:b/>
          <w:i/>
          <w:iCs/>
          <w:sz w:val="24"/>
          <w:szCs w:val="24"/>
          <w:lang w:val="de" w:eastAsia="zh-CN"/>
        </w:rPr>
        <w:t>In Vivo</w:t>
      </w:r>
      <w:r>
        <w:rPr>
          <w:rFonts w:hint="default" w:ascii="Times New Roman" w:hAnsi="Times New Roman" w:cs="Times New Roman" w:eastAsiaTheme="minorEastAsia"/>
          <w:b/>
          <w:sz w:val="24"/>
          <w:szCs w:val="24"/>
          <w:lang w:val="de" w:eastAsia="zh-CN"/>
        </w:rPr>
        <w:t xml:space="preserve"> Therapeutic Evaluation</w:t>
      </w:r>
    </w:p>
    <w:p w14:paraId="38B28F15">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r>
        <w:rPr>
          <w:rFonts w:hint="default" w:ascii="Times New Roman" w:hAnsi="Times New Roman" w:cs="Times New Roman"/>
          <w:sz w:val="24"/>
          <w:szCs w:val="24"/>
          <w:lang w:val="de" w:eastAsia="zh-CN" w:bidi="ar"/>
        </w:rPr>
        <w:t xml:space="preserve">CT26 tumor-bearing mice were randomly divided into </w:t>
      </w:r>
      <w:r>
        <w:rPr>
          <w:rFonts w:hint="default" w:ascii="Times New Roman" w:hAnsi="Times New Roman" w:eastAsia="宋体" w:cs="Times New Roman"/>
          <w:sz w:val="24"/>
          <w:szCs w:val="24"/>
          <w:lang w:val="en-US" w:eastAsia="zh-CN" w:bidi="ar"/>
        </w:rPr>
        <w:t>six</w:t>
      </w:r>
      <w:r>
        <w:rPr>
          <w:rFonts w:hint="default" w:ascii="Times New Roman" w:hAnsi="Times New Roman" w:cs="Times New Roman"/>
          <w:sz w:val="24"/>
          <w:szCs w:val="24"/>
          <w:lang w:val="de" w:eastAsia="zh-CN" w:bidi="ar"/>
        </w:rPr>
        <w:t xml:space="preserve"> groups</w:t>
      </w:r>
      <w:r>
        <w:rPr>
          <w:rFonts w:hint="default" w:ascii="Times New Roman" w:hAnsi="Times New Roman" w:eastAsia="宋体" w:cs="Times New Roman"/>
          <w:sz w:val="24"/>
          <w:szCs w:val="24"/>
          <w:lang w:val="en-US" w:eastAsia="zh-CN" w:bidi="ar"/>
        </w:rPr>
        <w:t xml:space="preserve"> </w:t>
      </w:r>
      <w:r>
        <w:rPr>
          <w:rFonts w:hint="default" w:ascii="Times New Roman" w:hAnsi="Times New Roman" w:cs="Times New Roman"/>
          <w:sz w:val="24"/>
          <w:szCs w:val="24"/>
          <w:lang w:val="de" w:eastAsia="zh-CN" w:bidi="ar"/>
        </w:rPr>
        <w:t>as follows: (1) Control, (2) NIR, (3) CM@MIL@PZS, (4) CMF HESACs, (5) CM@MIL@PZS + NIR, and (6) CMF HESACs + NIR. Afterward, the body weights and tumor volume were recorded every 2 d. For the mice in the groups (3), (4), (5), and (6), 100 μL of various agents</w:t>
      </w:r>
      <w:r>
        <w:rPr>
          <w:rFonts w:hint="default" w:ascii="Times New Roman" w:hAnsi="Times New Roman" w:cs="Times New Roman"/>
          <w:sz w:val="24"/>
          <w:szCs w:val="24"/>
          <w:lang w:val="en-US" w:eastAsia="zh-CN" w:bidi="ar"/>
        </w:rPr>
        <w:t xml:space="preserve"> </w:t>
      </w:r>
      <w:r>
        <w:rPr>
          <w:rFonts w:hint="default" w:ascii="Times New Roman" w:hAnsi="Times New Roman" w:cs="Times New Roman"/>
          <w:sz w:val="24"/>
          <w:szCs w:val="24"/>
          <w:lang w:val="de" w:eastAsia="zh-CN" w:bidi="ar"/>
        </w:rPr>
        <w:t xml:space="preserve">were i.v. injected. At </w:t>
      </w:r>
      <w:r>
        <w:rPr>
          <w:rFonts w:hint="eastAsia" w:cs="Times New Roman"/>
          <w:sz w:val="24"/>
          <w:szCs w:val="24"/>
          <w:lang w:val="en-US" w:eastAsia="zh-CN" w:bidi="ar"/>
        </w:rPr>
        <w:t>4</w:t>
      </w:r>
      <w:r>
        <w:rPr>
          <w:rFonts w:hint="default" w:ascii="Times New Roman" w:hAnsi="Times New Roman" w:cs="Times New Roman"/>
          <w:sz w:val="24"/>
          <w:szCs w:val="24"/>
          <w:lang w:val="de" w:eastAsia="zh-CN" w:bidi="ar"/>
        </w:rPr>
        <w:t xml:space="preserve"> </w:t>
      </w:r>
      <w:r>
        <w:rPr>
          <w:rFonts w:hint="default" w:ascii="Times New Roman" w:hAnsi="Times New Roman" w:eastAsia="宋体" w:cs="Times New Roman"/>
          <w:sz w:val="24"/>
          <w:szCs w:val="24"/>
          <w:lang w:val="de" w:eastAsia="zh-CN" w:bidi="ar"/>
        </w:rPr>
        <w:t>h</w:t>
      </w:r>
      <w:r>
        <w:rPr>
          <w:rFonts w:hint="default" w:ascii="Times New Roman" w:hAnsi="Times New Roman" w:cs="Times New Roman"/>
          <w:sz w:val="24"/>
          <w:szCs w:val="24"/>
          <w:lang w:val="de" w:eastAsia="zh-CN" w:bidi="ar"/>
        </w:rPr>
        <w:t xml:space="preserve"> post-injection every time, the tumors of groups (2), (5), and (6) were irradiated with a NIR laser (0.8 W cm</w:t>
      </w:r>
      <w:r>
        <w:rPr>
          <w:rFonts w:hint="default" w:ascii="Times New Roman" w:hAnsi="Times New Roman" w:cs="Times New Roman"/>
          <w:sz w:val="24"/>
          <w:szCs w:val="24"/>
          <w:vertAlign w:val="superscript"/>
          <w:lang w:val="de" w:eastAsia="zh-CN" w:bidi="ar"/>
        </w:rPr>
        <w:t>−2</w:t>
      </w:r>
      <w:r>
        <w:rPr>
          <w:rFonts w:hint="default" w:ascii="Times New Roman" w:hAnsi="Times New Roman" w:cs="Times New Roman"/>
          <w:sz w:val="24"/>
          <w:szCs w:val="24"/>
          <w:lang w:val="de" w:eastAsia="zh-CN" w:bidi="ar"/>
        </w:rPr>
        <w:t>, 3 min). The tumor volume (mm</w:t>
      </w:r>
      <w:r>
        <w:rPr>
          <w:rFonts w:hint="default" w:ascii="Times New Roman" w:hAnsi="Times New Roman" w:cs="Times New Roman"/>
          <w:sz w:val="24"/>
          <w:szCs w:val="24"/>
          <w:vertAlign w:val="superscript"/>
          <w:lang w:val="de" w:eastAsia="zh-CN" w:bidi="ar"/>
        </w:rPr>
        <w:t>3</w:t>
      </w:r>
      <w:r>
        <w:rPr>
          <w:rFonts w:hint="default" w:ascii="Times New Roman" w:hAnsi="Times New Roman" w:cs="Times New Roman"/>
          <w:sz w:val="24"/>
          <w:szCs w:val="24"/>
          <w:lang w:val="de" w:eastAsia="zh-CN" w:bidi="ar"/>
        </w:rPr>
        <w:t>) was obtained according to V = lw</w:t>
      </w:r>
      <w:r>
        <w:rPr>
          <w:rFonts w:hint="default" w:ascii="Times New Roman" w:hAnsi="Times New Roman" w:cs="Times New Roman"/>
          <w:sz w:val="24"/>
          <w:szCs w:val="24"/>
          <w:vertAlign w:val="superscript"/>
          <w:lang w:val="de" w:eastAsia="zh-CN" w:bidi="ar"/>
        </w:rPr>
        <w:t>2</w:t>
      </w:r>
      <w:r>
        <w:rPr>
          <w:rFonts w:hint="default" w:ascii="Times New Roman" w:hAnsi="Times New Roman" w:cs="Times New Roman"/>
          <w:sz w:val="24"/>
          <w:szCs w:val="24"/>
          <w:lang w:val="de" w:eastAsia="zh-CN" w:bidi="ar"/>
        </w:rPr>
        <w:t xml:space="preserve">/2, in which w and l represent the width and length of the tumor, respectively. After 14 d of the treatment, female BALB/c mice from different experimental groups were sacrificed for histopathological analysis. To evaluate the </w:t>
      </w:r>
      <w:r>
        <w:rPr>
          <w:rFonts w:hint="default" w:ascii="Times New Roman" w:hAnsi="Times New Roman" w:cs="Times New Roman"/>
          <w:i/>
          <w:iCs/>
          <w:sz w:val="24"/>
          <w:szCs w:val="24"/>
          <w:lang w:val="de" w:eastAsia="zh-CN" w:bidi="ar"/>
        </w:rPr>
        <w:t>in vivo</w:t>
      </w:r>
      <w:r>
        <w:rPr>
          <w:rFonts w:hint="default" w:ascii="Times New Roman" w:hAnsi="Times New Roman" w:cs="Times New Roman"/>
          <w:sz w:val="24"/>
          <w:szCs w:val="24"/>
          <w:lang w:val="de" w:eastAsia="zh-CN" w:bidi="ar"/>
        </w:rPr>
        <w:t xml:space="preserve"> photothermal heating performance of as-synthesized </w:t>
      </w:r>
      <w:r>
        <w:rPr>
          <w:rFonts w:hint="default" w:ascii="Times New Roman" w:hAnsi="Times New Roman" w:eastAsia="宋体" w:cs="Times New Roman"/>
          <w:sz w:val="24"/>
          <w:szCs w:val="24"/>
          <w:lang w:val="en-US" w:eastAsia="zh-CN" w:bidi="ar"/>
        </w:rPr>
        <w:t>catalysts</w:t>
      </w:r>
      <w:r>
        <w:rPr>
          <w:rFonts w:hint="default" w:ascii="Times New Roman" w:hAnsi="Times New Roman" w:cs="Times New Roman"/>
          <w:sz w:val="24"/>
          <w:szCs w:val="24"/>
          <w:lang w:val="de" w:eastAsia="zh-CN" w:bidi="ar"/>
        </w:rPr>
        <w:t xml:space="preserve">, infrared thermal images and the temperature variation of mice were recorded at </w:t>
      </w:r>
      <w:r>
        <w:rPr>
          <w:rFonts w:hint="eastAsia" w:cs="Times New Roman"/>
          <w:sz w:val="24"/>
          <w:szCs w:val="24"/>
          <w:lang w:val="en-US" w:eastAsia="zh-CN" w:bidi="ar"/>
        </w:rPr>
        <w:t>4</w:t>
      </w:r>
      <w:r>
        <w:rPr>
          <w:rFonts w:hint="default" w:ascii="Times New Roman" w:hAnsi="Times New Roman" w:cs="Times New Roman"/>
          <w:sz w:val="24"/>
          <w:szCs w:val="24"/>
          <w:lang w:val="de" w:eastAsia="zh-CN" w:bidi="ar"/>
        </w:rPr>
        <w:t xml:space="preserve"> </w:t>
      </w:r>
      <w:r>
        <w:rPr>
          <w:rFonts w:hint="default" w:ascii="Times New Roman" w:hAnsi="Times New Roman" w:eastAsia="宋体" w:cs="Times New Roman"/>
          <w:sz w:val="24"/>
          <w:szCs w:val="24"/>
          <w:lang w:val="de" w:eastAsia="zh-CN" w:bidi="ar"/>
        </w:rPr>
        <w:t>h</w:t>
      </w:r>
      <w:r>
        <w:rPr>
          <w:rFonts w:hint="default" w:ascii="Times New Roman" w:hAnsi="Times New Roman" w:cs="Times New Roman"/>
          <w:sz w:val="24"/>
          <w:szCs w:val="24"/>
          <w:lang w:val="de" w:eastAsia="zh-CN" w:bidi="ar"/>
        </w:rPr>
        <w:t xml:space="preserve"> post-injection and irradiated with an NIR laser (0.8 W cm</w:t>
      </w:r>
      <w:r>
        <w:rPr>
          <w:rFonts w:hint="default" w:ascii="Times New Roman" w:hAnsi="Times New Roman" w:cs="Times New Roman"/>
          <w:sz w:val="24"/>
          <w:szCs w:val="24"/>
          <w:vertAlign w:val="superscript"/>
          <w:lang w:val="de" w:eastAsia="zh-CN" w:bidi="ar"/>
        </w:rPr>
        <w:t>−2</w:t>
      </w:r>
      <w:r>
        <w:rPr>
          <w:rFonts w:hint="default" w:ascii="Times New Roman" w:hAnsi="Times New Roman" w:cs="Times New Roman"/>
          <w:sz w:val="24"/>
          <w:szCs w:val="24"/>
          <w:lang w:val="de" w:eastAsia="zh-CN" w:bidi="ar"/>
        </w:rPr>
        <w:t>, 3 min) using an IR thermal camera.</w:t>
      </w:r>
    </w:p>
    <w:p w14:paraId="4CEB48EE">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p>
    <w:p w14:paraId="3527E402">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en-US" w:eastAsia="zh-CN"/>
        </w:rPr>
      </w:pPr>
      <w:r>
        <w:rPr>
          <w:rFonts w:hint="default" w:ascii="Times New Roman" w:hAnsi="Times New Roman" w:cs="Times New Roman" w:eastAsiaTheme="minorEastAsia"/>
          <w:b/>
          <w:sz w:val="24"/>
          <w:szCs w:val="24"/>
          <w:lang w:val="en-US" w:eastAsia="zh-CN"/>
        </w:rPr>
        <w:t>Animals and Tumor Model</w:t>
      </w:r>
    </w:p>
    <w:p w14:paraId="5662F039">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en-US" w:eastAsia="zh-CN" w:bidi="ar"/>
        </w:rPr>
      </w:pPr>
      <w:r>
        <w:rPr>
          <w:rFonts w:hint="default" w:ascii="Times New Roman" w:hAnsi="Times New Roman" w:cs="Times New Roman"/>
          <w:sz w:val="24"/>
          <w:szCs w:val="24"/>
          <w:lang w:val="en-US" w:eastAsia="zh-CN" w:bidi="ar"/>
        </w:rPr>
        <w:t>All animal experiments were approved by the Drug Safety Evaluation Centre of Harbin Medical University. Healthy male BALB/c nude mice (4–6 weeks old) were obtained from Liaoning Changsheng Biotechnology Co. To establish the xenograft model, CT26 cells (1 × 10</w:t>
      </w:r>
      <w:r>
        <w:rPr>
          <w:rFonts w:hint="default" w:ascii="Times New Roman" w:hAnsi="Times New Roman" w:cs="Times New Roman"/>
          <w:sz w:val="24"/>
          <w:szCs w:val="24"/>
          <w:vertAlign w:val="superscript"/>
          <w:lang w:val="en-US" w:eastAsia="zh-CN" w:bidi="ar"/>
        </w:rPr>
        <w:t>6</w:t>
      </w:r>
      <w:r>
        <w:rPr>
          <w:rFonts w:hint="default" w:ascii="Times New Roman" w:hAnsi="Times New Roman" w:cs="Times New Roman"/>
          <w:sz w:val="24"/>
          <w:szCs w:val="24"/>
          <w:lang w:val="en-US" w:eastAsia="zh-CN" w:bidi="ar"/>
        </w:rPr>
        <w:t xml:space="preserve">) were dispersed in 50 μL of PBS solution for subcutaneous injection into the right axillary fossa of the mice. All </w:t>
      </w:r>
      <w:r>
        <w:rPr>
          <w:rFonts w:hint="default" w:ascii="Times New Roman" w:hAnsi="Times New Roman" w:cs="Times New Roman"/>
          <w:i/>
          <w:iCs/>
          <w:sz w:val="24"/>
          <w:szCs w:val="24"/>
          <w:lang w:val="en-US" w:eastAsia="zh-CN" w:bidi="ar"/>
        </w:rPr>
        <w:t>in vivo</w:t>
      </w:r>
      <w:r>
        <w:rPr>
          <w:rFonts w:hint="default" w:ascii="Times New Roman" w:hAnsi="Times New Roman" w:cs="Times New Roman"/>
          <w:sz w:val="24"/>
          <w:szCs w:val="24"/>
          <w:lang w:val="en-US" w:eastAsia="zh-CN" w:bidi="ar"/>
        </w:rPr>
        <w:t xml:space="preserve"> experiments were initiated when the tumor volume reached 60−80 mm</w:t>
      </w:r>
      <w:r>
        <w:rPr>
          <w:rFonts w:hint="default" w:ascii="Times New Roman" w:hAnsi="Times New Roman" w:cs="Times New Roman"/>
          <w:sz w:val="24"/>
          <w:szCs w:val="24"/>
          <w:vertAlign w:val="superscript"/>
          <w:lang w:val="en-US" w:eastAsia="zh-CN" w:bidi="ar"/>
        </w:rPr>
        <w:t>3</w:t>
      </w:r>
      <w:r>
        <w:rPr>
          <w:rFonts w:hint="default" w:ascii="Times New Roman" w:hAnsi="Times New Roman" w:cs="Times New Roman"/>
          <w:sz w:val="24"/>
          <w:szCs w:val="24"/>
          <w:lang w:val="en-US" w:eastAsia="zh-CN" w:bidi="ar"/>
        </w:rPr>
        <w:t>.</w:t>
      </w:r>
    </w:p>
    <w:p w14:paraId="4CB47E1A">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p>
    <w:p w14:paraId="2CA6B032">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de" w:eastAsia="zh-CN"/>
        </w:rPr>
      </w:pPr>
      <w:r>
        <w:rPr>
          <w:rFonts w:hint="default" w:ascii="Times New Roman" w:hAnsi="Times New Roman" w:cs="Times New Roman" w:eastAsiaTheme="minorEastAsia"/>
          <w:b/>
          <w:sz w:val="24"/>
          <w:szCs w:val="24"/>
          <w:lang w:val="de" w:eastAsia="zh-CN"/>
        </w:rPr>
        <w:t>Histochemical Analyses</w:t>
      </w:r>
    </w:p>
    <w:p w14:paraId="11C240D0">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r>
        <w:rPr>
          <w:rFonts w:hint="default" w:ascii="Times New Roman" w:hAnsi="Times New Roman" w:cs="Times New Roman"/>
          <w:sz w:val="24"/>
          <w:szCs w:val="24"/>
          <w:lang w:val="de" w:eastAsia="zh-CN" w:bidi="ar"/>
        </w:rPr>
        <w:t>After the therapeutic process, tumor tissues of mice in each treatment group were collected, fixed in 37% formalin, and embedded in paraffin for 1 d. Then, paraffin-embedded tumor sections (4 μm) were cut using a microtome (Leica RM2235, Germany). For the pathological investigation, the obtained samples were stained with H&amp;E according to the standard protocol, and the slides were visualized on a CLSM.</w:t>
      </w:r>
      <w:bookmarkEnd w:id="12"/>
      <w:bookmarkEnd w:id="13"/>
      <w:bookmarkEnd w:id="14"/>
      <w:bookmarkEnd w:id="15"/>
    </w:p>
    <w:p w14:paraId="3B8D8633">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de" w:eastAsia="zh-CN" w:bidi="ar"/>
        </w:rPr>
      </w:pPr>
    </w:p>
    <w:p w14:paraId="643D2C73">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en-US" w:eastAsia="zh-CN"/>
        </w:rPr>
      </w:pPr>
      <w:r>
        <w:rPr>
          <w:rFonts w:hint="default" w:ascii="Times New Roman" w:hAnsi="Times New Roman" w:cs="Times New Roman" w:eastAsiaTheme="minorEastAsia"/>
          <w:b/>
          <w:sz w:val="24"/>
          <w:szCs w:val="24"/>
          <w:lang w:val="en-US" w:eastAsia="zh-CN"/>
        </w:rPr>
        <w:t>Animals and Tumor Model</w:t>
      </w:r>
    </w:p>
    <w:p w14:paraId="19DF1D28">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en-US" w:eastAsia="zh-CN" w:bidi="ar"/>
        </w:rPr>
      </w:pPr>
      <w:r>
        <w:rPr>
          <w:rFonts w:hint="default" w:ascii="Times New Roman" w:hAnsi="Times New Roman" w:cs="Times New Roman"/>
          <w:sz w:val="24"/>
          <w:szCs w:val="24"/>
          <w:lang w:val="en-US" w:eastAsia="zh-CN" w:bidi="ar"/>
        </w:rPr>
        <w:t>All animal experiments were approved by the Drug Safety Evaluation Centre of Harbin Medical University. Healthy male BALB/c nude mice (4–6 weeks old) were obtained from Liaoning Changsheng Biotechnology Co. To establish the xenograft model, CT26 cells (1 × 10</w:t>
      </w:r>
      <w:r>
        <w:rPr>
          <w:rFonts w:hint="default" w:ascii="Times New Roman" w:hAnsi="Times New Roman" w:cs="Times New Roman"/>
          <w:sz w:val="24"/>
          <w:szCs w:val="24"/>
          <w:vertAlign w:val="superscript"/>
          <w:lang w:val="en-US" w:eastAsia="zh-CN" w:bidi="ar"/>
        </w:rPr>
        <w:t>6</w:t>
      </w:r>
      <w:r>
        <w:rPr>
          <w:rFonts w:hint="default" w:ascii="Times New Roman" w:hAnsi="Times New Roman" w:cs="Times New Roman"/>
          <w:sz w:val="24"/>
          <w:szCs w:val="24"/>
          <w:lang w:val="en-US" w:eastAsia="zh-CN" w:bidi="ar"/>
        </w:rPr>
        <w:t xml:space="preserve">) were dispersed in 50 μL of PBS solution for subcutaneous injection into the right axillary fossa of the mice. All </w:t>
      </w:r>
      <w:r>
        <w:rPr>
          <w:rFonts w:hint="default" w:ascii="Times New Roman" w:hAnsi="Times New Roman" w:cs="Times New Roman"/>
          <w:i/>
          <w:iCs/>
          <w:sz w:val="24"/>
          <w:szCs w:val="24"/>
          <w:lang w:val="en-US" w:eastAsia="zh-CN" w:bidi="ar"/>
        </w:rPr>
        <w:t>in vivo</w:t>
      </w:r>
      <w:r>
        <w:rPr>
          <w:rFonts w:hint="default" w:ascii="Times New Roman" w:hAnsi="Times New Roman" w:cs="Times New Roman"/>
          <w:sz w:val="24"/>
          <w:szCs w:val="24"/>
          <w:lang w:val="en-US" w:eastAsia="zh-CN" w:bidi="ar"/>
        </w:rPr>
        <w:t xml:space="preserve"> experiments were initiated when the tumor volume reached 60−80 mm</w:t>
      </w:r>
      <w:r>
        <w:rPr>
          <w:rFonts w:hint="default" w:ascii="Times New Roman" w:hAnsi="Times New Roman" w:cs="Times New Roman"/>
          <w:sz w:val="24"/>
          <w:szCs w:val="24"/>
          <w:vertAlign w:val="superscript"/>
          <w:lang w:val="en-US" w:eastAsia="zh-CN" w:bidi="ar"/>
        </w:rPr>
        <w:t>3</w:t>
      </w:r>
      <w:r>
        <w:rPr>
          <w:rFonts w:hint="default" w:ascii="Times New Roman" w:hAnsi="Times New Roman" w:cs="Times New Roman"/>
          <w:sz w:val="24"/>
          <w:szCs w:val="24"/>
          <w:lang w:val="en-US" w:eastAsia="zh-CN" w:bidi="ar"/>
        </w:rPr>
        <w:t>.</w:t>
      </w:r>
    </w:p>
    <w:p w14:paraId="27A22B47">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en-US" w:eastAsia="zh-CN" w:bidi="ar"/>
        </w:rPr>
      </w:pPr>
    </w:p>
    <w:p w14:paraId="1F6E5828">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eastAsiaTheme="minorEastAsia"/>
          <w:b/>
          <w:sz w:val="24"/>
          <w:szCs w:val="24"/>
          <w:lang w:val="en-US" w:eastAsia="zh-CN"/>
        </w:rPr>
      </w:pPr>
      <w:r>
        <w:rPr>
          <w:rFonts w:hint="default" w:ascii="Times New Roman" w:hAnsi="Times New Roman" w:cs="Times New Roman" w:eastAsiaTheme="minorEastAsia"/>
          <w:b/>
          <w:sz w:val="24"/>
          <w:szCs w:val="24"/>
          <w:lang w:val="en-US" w:eastAsia="zh-CN"/>
        </w:rPr>
        <w:t>Statistical Analysis</w:t>
      </w:r>
    </w:p>
    <w:p w14:paraId="6738BB17">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eastAsiaTheme="minorEastAsia"/>
          <w:bCs/>
          <w:iCs/>
          <w:color w:val="000000" w:themeColor="text1"/>
          <w:sz w:val="24"/>
          <w:szCs w:val="24"/>
          <w:lang w:val="en-US" w:eastAsia="zh-CN"/>
          <w14:textFill>
            <w14:solidFill>
              <w14:schemeClr w14:val="tx1"/>
            </w14:solidFill>
          </w14:textFill>
        </w:rPr>
      </w:pPr>
      <w:r>
        <w:rPr>
          <w:rFonts w:hint="default" w:ascii="Times New Roman" w:hAnsi="Times New Roman" w:cs="Times New Roman"/>
          <w:sz w:val="24"/>
          <w:szCs w:val="24"/>
          <w:lang w:val="en-US" w:eastAsia="zh-CN" w:bidi="ar"/>
        </w:rPr>
        <w:t>All data were exhibited as mean ± standard</w:t>
      </w:r>
      <w:bookmarkStart w:id="24" w:name="_GoBack"/>
      <w:bookmarkEnd w:id="24"/>
      <w:r>
        <w:rPr>
          <w:rFonts w:hint="default" w:ascii="Times New Roman" w:hAnsi="Times New Roman" w:cs="Times New Roman"/>
          <w:sz w:val="24"/>
          <w:szCs w:val="24"/>
          <w:lang w:val="en-US" w:eastAsia="zh-CN" w:bidi="ar"/>
        </w:rPr>
        <w:t xml:space="preserve"> deviation (S.D.) and obtained from at least three independent repeated experiments. The results were analyzed using Student's t-test. One-way ANOVA was used to perform the statistical analysis. *</w:t>
      </w:r>
      <w:r>
        <w:rPr>
          <w:rFonts w:hint="default" w:ascii="Times New Roman" w:hAnsi="Times New Roman" w:cs="Times New Roman"/>
          <w:i/>
          <w:iCs/>
          <w:sz w:val="24"/>
          <w:szCs w:val="24"/>
          <w:lang w:val="en-US" w:eastAsia="zh-CN" w:bidi="ar"/>
        </w:rPr>
        <w:t>P</w:t>
      </w:r>
      <w:r>
        <w:rPr>
          <w:rFonts w:hint="default" w:ascii="Times New Roman" w:hAnsi="Times New Roman" w:cs="Times New Roman"/>
          <w:sz w:val="24"/>
          <w:szCs w:val="24"/>
          <w:lang w:val="en-US" w:eastAsia="zh-CN" w:bidi="ar"/>
        </w:rPr>
        <w:t xml:space="preserve"> &lt; 0.05, **</w:t>
      </w:r>
      <w:r>
        <w:rPr>
          <w:rFonts w:hint="default" w:ascii="Times New Roman" w:hAnsi="Times New Roman" w:cs="Times New Roman"/>
          <w:i/>
          <w:iCs/>
          <w:sz w:val="24"/>
          <w:szCs w:val="24"/>
          <w:lang w:val="en-US" w:eastAsia="zh-CN" w:bidi="ar"/>
        </w:rPr>
        <w:t>P</w:t>
      </w:r>
      <w:r>
        <w:rPr>
          <w:rFonts w:hint="default" w:ascii="Times New Roman" w:hAnsi="Times New Roman" w:cs="Times New Roman"/>
          <w:sz w:val="24"/>
          <w:szCs w:val="24"/>
          <w:lang w:val="en-US" w:eastAsia="zh-CN" w:bidi="ar"/>
        </w:rPr>
        <w:t xml:space="preserve"> &lt; 0.01, ***</w:t>
      </w:r>
      <w:r>
        <w:rPr>
          <w:rFonts w:hint="default" w:ascii="Times New Roman" w:hAnsi="Times New Roman" w:cs="Times New Roman"/>
          <w:i/>
          <w:iCs/>
          <w:sz w:val="24"/>
          <w:szCs w:val="24"/>
          <w:lang w:val="en-US" w:eastAsia="zh-CN" w:bidi="ar"/>
        </w:rPr>
        <w:t>P</w:t>
      </w:r>
      <w:r>
        <w:rPr>
          <w:rFonts w:hint="default" w:ascii="Times New Roman" w:hAnsi="Times New Roman" w:cs="Times New Roman"/>
          <w:sz w:val="24"/>
          <w:szCs w:val="24"/>
          <w:lang w:val="en-US" w:eastAsia="zh-CN" w:bidi="ar"/>
        </w:rPr>
        <w:t xml:space="preserve"> &lt; 0.001 were used to display significant differences.</w:t>
      </w:r>
      <w:r>
        <w:rPr>
          <w:rFonts w:hint="default" w:ascii="Times New Roman" w:hAnsi="Times New Roman" w:cs="Times New Roman" w:eastAsiaTheme="minorEastAsia"/>
          <w:bCs/>
          <w:iCs/>
          <w:color w:val="000000" w:themeColor="text1"/>
          <w:sz w:val="24"/>
          <w:szCs w:val="24"/>
          <w:lang w:val="en-US" w:eastAsia="zh-CN"/>
          <w14:textFill>
            <w14:solidFill>
              <w14:schemeClr w14:val="tx1"/>
            </w14:solidFill>
          </w14:textFill>
        </w:rPr>
        <w:br w:type="page"/>
      </w:r>
    </w:p>
    <w:p w14:paraId="547DD061">
      <w:pPr>
        <w:spacing w:line="360" w:lineRule="auto"/>
        <w:jc w:val="both"/>
        <w:rPr>
          <w:rFonts w:eastAsia="宋体"/>
          <w:b/>
          <w:bCs/>
          <w:sz w:val="28"/>
          <w:szCs w:val="28"/>
          <w:lang w:val="en-US" w:eastAsia="zh-CN"/>
        </w:rPr>
      </w:pPr>
      <w:r>
        <w:rPr>
          <w:b/>
          <w:bCs/>
          <w:sz w:val="28"/>
          <w:szCs w:val="28"/>
          <w:lang w:val="en-US"/>
        </w:rPr>
        <w:t>2. Supplementary Figures</w:t>
      </w:r>
    </w:p>
    <w:p w14:paraId="066E42EA">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sz w:val="24"/>
          <w:szCs w:val="24"/>
          <w:lang w:val="de" w:eastAsia="zh-CN" w:bidi="ar"/>
        </w:rPr>
      </w:pPr>
      <w:r>
        <w:rPr>
          <w:rFonts w:hint="default" w:ascii="Times New Roman" w:hAnsi="Times New Roman" w:eastAsia="宋体" w:cs="Times New Roman"/>
          <w:sz w:val="24"/>
          <w:szCs w:val="24"/>
          <w:lang w:val="de" w:eastAsia="zh-CN" w:bidi="ar"/>
        </w:rPr>
        <w:drawing>
          <wp:inline distT="0" distB="0" distL="0" distR="0">
            <wp:extent cx="4716145" cy="1940560"/>
            <wp:effectExtent l="0" t="0" r="8255" b="254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4716145" cy="1940560"/>
                    </a:xfrm>
                    <a:prstGeom prst="rect">
                      <a:avLst/>
                    </a:prstGeom>
                    <a:noFill/>
                    <a:ln>
                      <a:noFill/>
                    </a:ln>
                  </pic:spPr>
                </pic:pic>
              </a:graphicData>
            </a:graphic>
          </wp:inline>
        </w:drawing>
      </w:r>
    </w:p>
    <w:p w14:paraId="4F09D184">
      <w:pPr>
        <w:keepNext w:val="0"/>
        <w:keepLines w:val="0"/>
        <w:pageBreakBefore w:val="0"/>
        <w:widowControl/>
        <w:kinsoku/>
        <w:wordWrap/>
        <w:overflowPunct/>
        <w:topLinePunct w:val="0"/>
        <w:autoSpaceDN/>
        <w:bidi w:val="0"/>
        <w:adjustRightInd w:val="0"/>
        <w:snapToGrid w:val="0"/>
        <w:spacing w:line="360" w:lineRule="auto"/>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b/>
          <w:bCs/>
          <w:sz w:val="24"/>
          <w:szCs w:val="24"/>
          <w:lang w:val="de" w:eastAsia="zh-CN" w:bidi="ar"/>
        </w:rPr>
        <w:t>Supplementary Fig. 1.</w:t>
      </w:r>
      <w:r>
        <w:rPr>
          <w:rFonts w:hint="default" w:ascii="Times New Roman" w:hAnsi="Times New Roman" w:eastAsia="宋体" w:cs="Times New Roman"/>
          <w:sz w:val="24"/>
          <w:szCs w:val="24"/>
          <w:lang w:val="de" w:eastAsia="zh-CN" w:bidi="ar"/>
        </w:rPr>
        <w:t xml:space="preserve"> </w:t>
      </w:r>
      <w:r>
        <w:rPr>
          <w:rFonts w:hint="default" w:ascii="Times New Roman" w:hAnsi="Times New Roman" w:eastAsia="宋体" w:cs="Times New Roman"/>
          <w:sz w:val="24"/>
          <w:szCs w:val="24"/>
          <w:lang w:val="en-US" w:eastAsia="zh-CN" w:bidi="ar"/>
        </w:rPr>
        <w:t>TEM images, elemental mapping profiles, and EDS data of MIL catalysts.</w:t>
      </w:r>
      <w:r>
        <w:rPr>
          <w:rFonts w:hint="default" w:ascii="Times New Roman" w:hAnsi="Times New Roman" w:eastAsia="宋体" w:cs="Times New Roman"/>
          <w:sz w:val="24"/>
          <w:szCs w:val="24"/>
          <w:lang w:val="en-US" w:eastAsia="zh-CN" w:bidi="ar"/>
        </w:rPr>
        <w:br w:type="page"/>
      </w:r>
    </w:p>
    <w:p w14:paraId="46B78BDF">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sz w:val="24"/>
          <w:szCs w:val="24"/>
          <w:lang w:val="de" w:eastAsia="zh-CN" w:bidi="ar"/>
        </w:rPr>
      </w:pPr>
      <w:r>
        <w:rPr>
          <w:rFonts w:hint="default" w:ascii="Times New Roman" w:hAnsi="Times New Roman" w:eastAsia="宋体" w:cs="Times New Roman"/>
          <w:sz w:val="24"/>
          <w:szCs w:val="24"/>
          <w:lang w:val="en-US" w:eastAsia="zh-CN"/>
        </w:rPr>
        <w:drawing>
          <wp:inline distT="0" distB="0" distL="0" distR="0">
            <wp:extent cx="4645660" cy="4047490"/>
            <wp:effectExtent l="0" t="0" r="2540" b="10160"/>
            <wp:docPr id="2115783582" name="图片 15" descr="D:/WORK HARD! WORK!/研究生/研究/CMF/1基础/Si-1.pngS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783582" name="图片 15" descr="D:/WORK HARD! WORK!/研究生/研究/CMF/1基础/Si-1.pngSi-1"/>
                    <pic:cNvPicPr>
                      <a:picLocks noChangeAspect="1" noChangeArrowheads="1"/>
                    </pic:cNvPicPr>
                  </pic:nvPicPr>
                  <pic:blipFill>
                    <a:blip r:embed="rId7"/>
                    <a:srcRect t="-460" b="795"/>
                    <a:stretch>
                      <a:fillRect/>
                    </a:stretch>
                  </pic:blipFill>
                  <pic:spPr>
                    <a:xfrm>
                      <a:off x="0" y="0"/>
                      <a:ext cx="4645660" cy="4047490"/>
                    </a:xfrm>
                    <a:prstGeom prst="rect">
                      <a:avLst/>
                    </a:prstGeom>
                    <a:noFill/>
                    <a:ln>
                      <a:noFill/>
                    </a:ln>
                  </pic:spPr>
                </pic:pic>
              </a:graphicData>
            </a:graphic>
          </wp:inline>
        </w:drawing>
      </w:r>
    </w:p>
    <w:p w14:paraId="0A7DB877">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de" w:eastAsia="zh-CN" w:bidi="ar"/>
        </w:rPr>
      </w:pPr>
      <w:r>
        <w:rPr>
          <w:rFonts w:hint="default" w:ascii="Times New Roman" w:hAnsi="Times New Roman" w:eastAsia="宋体" w:cs="Times New Roman"/>
          <w:b/>
          <w:bCs/>
          <w:sz w:val="24"/>
          <w:szCs w:val="24"/>
          <w:lang w:val="de" w:eastAsia="zh-CN" w:bidi="ar"/>
        </w:rPr>
        <w:t>Supplementary Fig. 2</w:t>
      </w:r>
      <w:r>
        <w:rPr>
          <w:rFonts w:hint="default" w:ascii="Times New Roman" w:hAnsi="Times New Roman" w:eastAsia="宋体" w:cs="Times New Roman"/>
          <w:sz w:val="24"/>
          <w:szCs w:val="24"/>
          <w:lang w:val="de" w:eastAsia="zh-CN" w:bidi="ar"/>
        </w:rPr>
        <w:t xml:space="preserve">. (a-b) </w:t>
      </w:r>
      <w:r>
        <w:rPr>
          <w:rFonts w:hint="default" w:ascii="Times New Roman" w:hAnsi="Times New Roman" w:eastAsia="宋体" w:cs="Times New Roman"/>
          <w:sz w:val="24"/>
          <w:szCs w:val="24"/>
          <w:lang w:val="en-US" w:eastAsia="zh-CN" w:bidi="ar"/>
        </w:rPr>
        <w:t>TEM images, elemental mapping profiles, and EDS data of CM@MIL@PZS-1 and CM@MIL@PZS-2 catalysts. (c) TEM images and elemental mapping profiles of CM@MIL@PZS-3.1 catalysts.</w:t>
      </w:r>
      <w:r>
        <w:rPr>
          <w:rFonts w:hint="default" w:ascii="Times New Roman" w:hAnsi="Times New Roman" w:eastAsia="宋体" w:cs="Times New Roman"/>
          <w:sz w:val="24"/>
          <w:szCs w:val="24"/>
          <w:lang w:val="de" w:eastAsia="zh-CN" w:bidi="ar"/>
        </w:rPr>
        <w:br w:type="page"/>
      </w:r>
    </w:p>
    <w:p w14:paraId="141A6787">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sz w:val="24"/>
          <w:szCs w:val="24"/>
          <w:lang w:val="de" w:eastAsia="zh-CN" w:bidi="ar"/>
        </w:rPr>
      </w:pPr>
      <w:r>
        <w:rPr>
          <w:rFonts w:hint="default" w:ascii="Times New Roman" w:hAnsi="Times New Roman" w:eastAsia="宋体" w:cs="Times New Roman"/>
          <w:sz w:val="24"/>
          <w:szCs w:val="24"/>
          <w:lang w:val="de" w:eastAsia="zh-CN" w:bidi="ar"/>
        </w:rPr>
        <w:drawing>
          <wp:inline distT="0" distB="0" distL="114300" distR="114300">
            <wp:extent cx="4154805" cy="1656715"/>
            <wp:effectExtent l="0" t="0" r="0" b="635"/>
            <wp:docPr id="6" name="图片 6"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1"/>
                    <pic:cNvPicPr>
                      <a:picLocks noChangeAspect="1"/>
                    </pic:cNvPicPr>
                  </pic:nvPicPr>
                  <pic:blipFill>
                    <a:blip r:embed="rId8"/>
                    <a:srcRect l="37014" r="15335"/>
                    <a:stretch>
                      <a:fillRect/>
                    </a:stretch>
                  </pic:blipFill>
                  <pic:spPr>
                    <a:xfrm>
                      <a:off x="0" y="0"/>
                      <a:ext cx="4162855" cy="1659895"/>
                    </a:xfrm>
                    <a:prstGeom prst="rect">
                      <a:avLst/>
                    </a:prstGeom>
                    <a:ln>
                      <a:noFill/>
                    </a:ln>
                  </pic:spPr>
                </pic:pic>
              </a:graphicData>
            </a:graphic>
          </wp:inline>
        </w:drawing>
      </w:r>
    </w:p>
    <w:p w14:paraId="540265A8">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b/>
          <w:bCs/>
          <w:sz w:val="24"/>
          <w:szCs w:val="24"/>
          <w:lang w:val="de" w:eastAsia="zh-CN" w:bidi="ar"/>
        </w:rPr>
        <w:t>Supplementary Fig. 3.</w:t>
      </w:r>
      <w:r>
        <w:rPr>
          <w:rFonts w:hint="default" w:ascii="Times New Roman" w:hAnsi="Times New Roman" w:eastAsia="宋体" w:cs="Times New Roman"/>
          <w:sz w:val="24"/>
          <w:szCs w:val="24"/>
          <w:lang w:val="de" w:eastAsia="zh-CN" w:bidi="ar"/>
        </w:rPr>
        <w:t xml:space="preserve"> </w:t>
      </w:r>
      <w:r>
        <w:rPr>
          <w:rFonts w:hint="default" w:ascii="Times New Roman" w:hAnsi="Times New Roman" w:eastAsia="宋体" w:cs="Times New Roman"/>
          <w:sz w:val="24"/>
          <w:szCs w:val="24"/>
          <w:lang w:val="en-US" w:eastAsia="zh-CN" w:bidi="ar"/>
        </w:rPr>
        <w:t>TEM images and mapping images of CM@MIL@PZS-3.2 catalysts.</w:t>
      </w:r>
      <w:r>
        <w:rPr>
          <w:rFonts w:hint="default" w:ascii="Times New Roman" w:hAnsi="Times New Roman" w:eastAsia="宋体" w:cs="Times New Roman"/>
          <w:sz w:val="24"/>
          <w:szCs w:val="24"/>
          <w:lang w:val="en-US" w:eastAsia="zh-CN" w:bidi="ar"/>
        </w:rPr>
        <w:br w:type="page"/>
      </w:r>
    </w:p>
    <w:p w14:paraId="7B02C009">
      <w:pPr>
        <w:keepNext w:val="0"/>
        <w:keepLines w:val="0"/>
        <w:pageBreakBefore w:val="0"/>
        <w:widowControl/>
        <w:kinsoku/>
        <w:wordWrap/>
        <w:overflowPunct/>
        <w:topLinePunct w:val="0"/>
        <w:autoSpaceDE w:val="0"/>
        <w:autoSpaceDN/>
        <w:bidi w:val="0"/>
        <w:adjustRightInd w:val="0"/>
        <w:snapToGrid w:val="0"/>
        <w:spacing w:line="360" w:lineRule="auto"/>
        <w:jc w:val="center"/>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drawing>
          <wp:inline distT="0" distB="0" distL="114300" distR="114300">
            <wp:extent cx="3997325" cy="1417955"/>
            <wp:effectExtent l="0" t="0" r="7620" b="6985"/>
            <wp:docPr id="3" name="图片 3" descr="S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Si-2"/>
                    <pic:cNvPicPr>
                      <a:picLocks noChangeAspect="1"/>
                    </pic:cNvPicPr>
                  </pic:nvPicPr>
                  <pic:blipFill>
                    <a:blip r:embed="rId9"/>
                    <a:stretch>
                      <a:fillRect/>
                    </a:stretch>
                  </pic:blipFill>
                  <pic:spPr>
                    <a:xfrm>
                      <a:off x="0" y="0"/>
                      <a:ext cx="3997325" cy="1417955"/>
                    </a:xfrm>
                    <a:prstGeom prst="rect">
                      <a:avLst/>
                    </a:prstGeom>
                  </pic:spPr>
                </pic:pic>
              </a:graphicData>
            </a:graphic>
          </wp:inline>
        </w:drawing>
      </w:r>
    </w:p>
    <w:p w14:paraId="338E0997">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lang w:val="en-US" w:eastAsia="zh-CN" w:bidi="ar"/>
        </w:rPr>
        <w:t>Supplementary Fig. 4.</w:t>
      </w:r>
      <w:r>
        <w:rPr>
          <w:rFonts w:hint="default" w:ascii="Times New Roman" w:hAnsi="Times New Roman" w:eastAsia="宋体" w:cs="Times New Roman"/>
          <w:sz w:val="24"/>
          <w:szCs w:val="24"/>
          <w:lang w:val="en-US" w:eastAsia="zh-CN" w:bidi="ar"/>
        </w:rPr>
        <w:t xml:space="preserve"> TEM images and elemental mapping profiles of CMF HESACs catalysts.</w:t>
      </w:r>
    </w:p>
    <w:p w14:paraId="6B12A41E">
      <w:pPr>
        <w:keepNext w:val="0"/>
        <w:keepLines w:val="0"/>
        <w:pageBreakBefore w:val="0"/>
        <w:widowControl/>
        <w:kinsoku/>
        <w:wordWrap/>
        <w:overflowPunct/>
        <w:topLinePunct w:val="0"/>
        <w:autoSpaceDE w:val="0"/>
        <w:autoSpaceDN/>
        <w:bidi w:val="0"/>
        <w:spacing w:line="360"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bidi="ar"/>
        </w:rPr>
        <w:br w:type="page"/>
      </w:r>
    </w:p>
    <w:p w14:paraId="452F10EE">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sz w:val="24"/>
          <w:szCs w:val="24"/>
          <w:lang w:val="de" w:eastAsia="zh-CN" w:bidi="ar"/>
        </w:rPr>
      </w:pPr>
      <w:r>
        <w:rPr>
          <w:rFonts w:hint="default" w:ascii="Times New Roman" w:hAnsi="Times New Roman" w:eastAsia="宋体" w:cs="Times New Roman"/>
          <w:sz w:val="24"/>
          <w:szCs w:val="24"/>
          <w:lang w:val="de" w:eastAsia="zh-CN" w:bidi="ar"/>
        </w:rPr>
        <w:drawing>
          <wp:inline distT="0" distB="0" distL="0" distR="0">
            <wp:extent cx="6449060" cy="1213485"/>
            <wp:effectExtent l="0" t="0" r="6350" b="6350"/>
            <wp:docPr id="3885865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86577" name="图片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6449060" cy="1213485"/>
                    </a:xfrm>
                    <a:prstGeom prst="rect">
                      <a:avLst/>
                    </a:prstGeom>
                    <a:noFill/>
                    <a:ln>
                      <a:noFill/>
                    </a:ln>
                  </pic:spPr>
                </pic:pic>
              </a:graphicData>
            </a:graphic>
          </wp:inline>
        </w:drawing>
      </w:r>
    </w:p>
    <w:p w14:paraId="39A94205">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b/>
          <w:bCs/>
          <w:sz w:val="24"/>
          <w:szCs w:val="24"/>
          <w:lang w:val="de" w:eastAsia="zh-CN" w:bidi="ar"/>
        </w:rPr>
        <w:t xml:space="preserve">Supplementary Fig. </w:t>
      </w:r>
      <w:r>
        <w:rPr>
          <w:rFonts w:hint="default" w:ascii="Times New Roman" w:hAnsi="Times New Roman" w:eastAsia="宋体" w:cs="Times New Roman"/>
          <w:b/>
          <w:bCs/>
          <w:sz w:val="24"/>
          <w:szCs w:val="24"/>
          <w:lang w:val="en-US" w:eastAsia="zh-CN" w:bidi="ar"/>
        </w:rPr>
        <w:t>5</w:t>
      </w:r>
      <w:r>
        <w:rPr>
          <w:rFonts w:hint="default" w:ascii="Times New Roman" w:hAnsi="Times New Roman" w:eastAsia="宋体" w:cs="Times New Roman"/>
          <w:b/>
          <w:bCs/>
          <w:sz w:val="24"/>
          <w:szCs w:val="24"/>
          <w:lang w:val="de" w:eastAsia="zh-CN" w:bidi="ar"/>
        </w:rPr>
        <w:t xml:space="preserve">. </w:t>
      </w:r>
      <w:r>
        <w:rPr>
          <w:rFonts w:hint="default" w:ascii="Times New Roman" w:hAnsi="Times New Roman" w:eastAsia="宋体" w:cs="Times New Roman"/>
          <w:sz w:val="24"/>
          <w:szCs w:val="24"/>
          <w:lang w:val="en-US" w:eastAsia="zh-CN" w:bidi="ar"/>
        </w:rPr>
        <w:t>(a-b) AC-HAADF-STEM images and DFT modeling of CF MESACs and MF MESACs catalysts.</w:t>
      </w:r>
    </w:p>
    <w:p w14:paraId="2D567F34">
      <w:pPr>
        <w:keepNext w:val="0"/>
        <w:keepLines w:val="0"/>
        <w:pageBreakBefore w:val="0"/>
        <w:widowControl/>
        <w:kinsoku/>
        <w:wordWrap/>
        <w:overflowPunct/>
        <w:topLinePunct w:val="0"/>
        <w:autoSpaceDN/>
        <w:bidi w:val="0"/>
        <w:spacing w:line="360" w:lineRule="auto"/>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val="en-US" w:eastAsia="zh-CN" w:bidi="ar"/>
        </w:rPr>
        <w:br w:type="page"/>
      </w:r>
    </w:p>
    <w:p w14:paraId="6A5AA902">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sz w:val="24"/>
          <w:szCs w:val="24"/>
          <w:lang w:val="de" w:eastAsia="zh-CN" w:bidi="ar"/>
        </w:rPr>
      </w:pPr>
      <w:r>
        <w:rPr>
          <w:rFonts w:hint="default" w:ascii="Times New Roman" w:hAnsi="Times New Roman" w:eastAsia="宋体" w:cs="Times New Roman"/>
          <w:sz w:val="24"/>
          <w:szCs w:val="24"/>
          <w:lang w:val="de" w:eastAsia="zh-CN" w:bidi="ar"/>
        </w:rPr>
        <w:drawing>
          <wp:inline distT="0" distB="0" distL="0" distR="0">
            <wp:extent cx="5907405" cy="1612900"/>
            <wp:effectExtent l="0" t="0" r="8255" b="6350"/>
            <wp:docPr id="20467357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35733" name="图片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907405" cy="1612900"/>
                    </a:xfrm>
                    <a:prstGeom prst="rect">
                      <a:avLst/>
                    </a:prstGeom>
                    <a:noFill/>
                    <a:ln>
                      <a:noFill/>
                    </a:ln>
                  </pic:spPr>
                </pic:pic>
              </a:graphicData>
            </a:graphic>
          </wp:inline>
        </w:drawing>
      </w:r>
    </w:p>
    <w:p w14:paraId="331297A1">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b/>
          <w:bCs/>
          <w:sz w:val="24"/>
          <w:szCs w:val="24"/>
          <w:lang w:val="de" w:eastAsia="zh-CN" w:bidi="ar"/>
        </w:rPr>
        <w:t xml:space="preserve">Supplementary Fig. </w:t>
      </w:r>
      <w:r>
        <w:rPr>
          <w:rFonts w:hint="default" w:ascii="Times New Roman" w:hAnsi="Times New Roman" w:eastAsia="宋体" w:cs="Times New Roman"/>
          <w:b/>
          <w:bCs/>
          <w:sz w:val="24"/>
          <w:szCs w:val="24"/>
          <w:lang w:val="en-US" w:eastAsia="zh-CN" w:bidi="ar"/>
        </w:rPr>
        <w:t>6</w:t>
      </w:r>
      <w:r>
        <w:rPr>
          <w:rFonts w:hint="default" w:ascii="Times New Roman" w:hAnsi="Times New Roman" w:eastAsia="宋体" w:cs="Times New Roman"/>
          <w:b/>
          <w:bCs/>
          <w:sz w:val="24"/>
          <w:szCs w:val="24"/>
          <w:lang w:val="de" w:eastAsia="zh-CN" w:bidi="ar"/>
        </w:rPr>
        <w:t>.</w:t>
      </w:r>
      <w:r>
        <w:rPr>
          <w:rFonts w:hint="default" w:ascii="Times New Roman" w:hAnsi="Times New Roman" w:eastAsia="宋体" w:cs="Times New Roman"/>
          <w:sz w:val="24"/>
          <w:szCs w:val="24"/>
          <w:lang w:val="de" w:eastAsia="zh-CN" w:bidi="ar"/>
        </w:rPr>
        <w:t xml:space="preserve"> </w:t>
      </w:r>
      <w:r>
        <w:rPr>
          <w:rFonts w:hint="default" w:ascii="Times New Roman" w:hAnsi="Times New Roman" w:eastAsia="宋体" w:cs="Times New Roman"/>
          <w:sz w:val="24"/>
          <w:szCs w:val="24"/>
          <w:lang w:val="en-US" w:eastAsia="zh-CN" w:bidi="ar"/>
        </w:rPr>
        <w:t>(a) EDS spectrum of CMF HESACs catalysts. (b) DFT modeling and formation energy calculations for CMF HESACs catalysts with distinct heterometallic coordination sites.</w:t>
      </w:r>
    </w:p>
    <w:p w14:paraId="6B4FD686">
      <w:pPr>
        <w:keepNext w:val="0"/>
        <w:keepLines w:val="0"/>
        <w:pageBreakBefore w:val="0"/>
        <w:widowControl/>
        <w:kinsoku/>
        <w:wordWrap/>
        <w:overflowPunct/>
        <w:topLinePunct w:val="0"/>
        <w:autoSpaceDN/>
        <w:bidi w:val="0"/>
        <w:spacing w:line="360" w:lineRule="auto"/>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val="en-US" w:eastAsia="zh-CN" w:bidi="ar"/>
        </w:rPr>
        <w:br w:type="page"/>
      </w:r>
    </w:p>
    <w:p w14:paraId="70E5C71E">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b/>
          <w:bCs/>
          <w:sz w:val="24"/>
          <w:szCs w:val="24"/>
          <w:lang w:val="en-US" w:eastAsia="zh-CN" w:bidi="ar"/>
        </w:rPr>
      </w:pPr>
      <w:r>
        <w:rPr>
          <w:rFonts w:hint="default" w:ascii="Times New Roman" w:hAnsi="Times New Roman" w:eastAsia="宋体" w:cs="Times New Roman"/>
          <w:b/>
          <w:bCs/>
          <w:sz w:val="24"/>
          <w:szCs w:val="24"/>
          <w:lang w:val="en-US" w:eastAsia="zh-CN" w:bidi="ar"/>
        </w:rPr>
        <w:drawing>
          <wp:inline distT="0" distB="0" distL="114300" distR="114300">
            <wp:extent cx="5374005" cy="4102100"/>
            <wp:effectExtent l="0" t="0" r="5715" b="5080"/>
            <wp:docPr id="9" name="图片 9" descr="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S5"/>
                    <pic:cNvPicPr>
                      <a:picLocks noChangeAspect="1"/>
                    </pic:cNvPicPr>
                  </pic:nvPicPr>
                  <pic:blipFill>
                    <a:blip r:embed="rId12"/>
                    <a:stretch>
                      <a:fillRect/>
                    </a:stretch>
                  </pic:blipFill>
                  <pic:spPr>
                    <a:xfrm>
                      <a:off x="0" y="0"/>
                      <a:ext cx="5374005" cy="4102100"/>
                    </a:xfrm>
                    <a:prstGeom prst="rect">
                      <a:avLst/>
                    </a:prstGeom>
                  </pic:spPr>
                </pic:pic>
              </a:graphicData>
            </a:graphic>
          </wp:inline>
        </w:drawing>
      </w:r>
    </w:p>
    <w:p w14:paraId="3A14AE3A">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b/>
          <w:bCs/>
          <w:sz w:val="24"/>
          <w:szCs w:val="24"/>
          <w:lang w:val="en-US" w:eastAsia="zh-CN" w:bidi="ar"/>
        </w:rPr>
        <w:t>Supplementary Fig. 7.</w:t>
      </w:r>
      <w:r>
        <w:rPr>
          <w:rFonts w:hint="default" w:ascii="Times New Roman" w:hAnsi="Times New Roman" w:eastAsia="宋体" w:cs="Times New Roman"/>
          <w:sz w:val="24"/>
          <w:szCs w:val="24"/>
          <w:lang w:val="en-US" w:eastAsia="zh-CN" w:bidi="ar"/>
        </w:rPr>
        <w:t xml:space="preserve"> (a-f) XPS spectra of N, C, O, Fe, Ce, and Mo elements of CF MESACs, MF MESACs, and CMF HESACs catalysts.</w:t>
      </w:r>
    </w:p>
    <w:p w14:paraId="466CC94D">
      <w:pPr>
        <w:keepNext w:val="0"/>
        <w:keepLines w:val="0"/>
        <w:pageBreakBefore w:val="0"/>
        <w:widowControl/>
        <w:kinsoku/>
        <w:wordWrap/>
        <w:overflowPunct/>
        <w:topLinePunct w:val="0"/>
        <w:autoSpaceDN/>
        <w:bidi w:val="0"/>
        <w:spacing w:line="360" w:lineRule="auto"/>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val="en-US" w:eastAsia="zh-CN" w:bidi="ar"/>
        </w:rPr>
        <w:br w:type="page"/>
      </w:r>
    </w:p>
    <w:p w14:paraId="56736DD5">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sz w:val="24"/>
          <w:szCs w:val="24"/>
          <w:lang w:val="de" w:eastAsia="zh-CN" w:bidi="ar"/>
        </w:rPr>
      </w:pPr>
      <w:r>
        <w:rPr>
          <w:rFonts w:hint="default" w:ascii="Times New Roman" w:hAnsi="Times New Roman" w:eastAsia="宋体" w:cs="Times New Roman"/>
          <w:sz w:val="24"/>
          <w:szCs w:val="24"/>
          <w:lang w:val="de" w:eastAsia="zh-CN" w:bidi="ar"/>
        </w:rPr>
        <w:drawing>
          <wp:inline distT="0" distB="0" distL="114300" distR="114300">
            <wp:extent cx="1984375" cy="1972310"/>
            <wp:effectExtent l="0" t="0" r="0" b="0"/>
            <wp:docPr id="10" name="图片 10" descr="Mo同步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o同步S"/>
                    <pic:cNvPicPr>
                      <a:picLocks noChangeAspect="1"/>
                    </pic:cNvPicPr>
                  </pic:nvPicPr>
                  <pic:blipFill>
                    <a:blip r:embed="rId13"/>
                    <a:srcRect l="53134"/>
                    <a:stretch>
                      <a:fillRect/>
                    </a:stretch>
                  </pic:blipFill>
                  <pic:spPr>
                    <a:xfrm>
                      <a:off x="0" y="0"/>
                      <a:ext cx="1984375" cy="1972310"/>
                    </a:xfrm>
                    <a:prstGeom prst="rect">
                      <a:avLst/>
                    </a:prstGeom>
                  </pic:spPr>
                </pic:pic>
              </a:graphicData>
            </a:graphic>
          </wp:inline>
        </w:drawing>
      </w:r>
    </w:p>
    <w:p w14:paraId="25495C92">
      <w:pPr>
        <w:keepNext w:val="0"/>
        <w:keepLines w:val="0"/>
        <w:pageBreakBefore w:val="0"/>
        <w:widowControl/>
        <w:kinsoku/>
        <w:wordWrap/>
        <w:overflowPunct/>
        <w:topLinePunct w:val="0"/>
        <w:autoSpaceDN/>
        <w:bidi w:val="0"/>
        <w:adjustRightInd w:val="0"/>
        <w:snapToGrid w:val="0"/>
        <w:spacing w:line="360" w:lineRule="auto"/>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b/>
          <w:bCs/>
          <w:sz w:val="24"/>
          <w:szCs w:val="24"/>
          <w:lang w:val="de" w:eastAsia="zh-CN" w:bidi="ar"/>
        </w:rPr>
        <w:t xml:space="preserve">Supplementary Fig. </w:t>
      </w:r>
      <w:r>
        <w:rPr>
          <w:rFonts w:hint="default" w:ascii="Times New Roman" w:hAnsi="Times New Roman" w:eastAsia="宋体" w:cs="Times New Roman"/>
          <w:b/>
          <w:bCs/>
          <w:sz w:val="24"/>
          <w:szCs w:val="24"/>
          <w:lang w:val="en-US" w:eastAsia="zh-CN" w:bidi="ar"/>
        </w:rPr>
        <w:t>8</w:t>
      </w:r>
      <w:r>
        <w:rPr>
          <w:rFonts w:hint="default" w:ascii="Times New Roman" w:hAnsi="Times New Roman" w:eastAsia="宋体" w:cs="Times New Roman"/>
          <w:b/>
          <w:bCs/>
          <w:sz w:val="24"/>
          <w:szCs w:val="24"/>
          <w:lang w:val="de" w:eastAsia="zh-CN" w:bidi="ar"/>
        </w:rPr>
        <w:t>.</w:t>
      </w:r>
      <w:r>
        <w:rPr>
          <w:rFonts w:hint="default" w:ascii="Times New Roman" w:hAnsi="Times New Roman" w:eastAsia="宋体" w:cs="Times New Roman"/>
          <w:sz w:val="24"/>
          <w:szCs w:val="24"/>
          <w:lang w:val="de" w:eastAsia="zh-CN" w:bidi="ar"/>
        </w:rPr>
        <w:t xml:space="preserve"> </w:t>
      </w:r>
      <w:r>
        <w:rPr>
          <w:rFonts w:hint="default" w:ascii="Times New Roman" w:hAnsi="Times New Roman" w:eastAsia="宋体" w:cs="Times New Roman"/>
          <w:sz w:val="24"/>
          <w:szCs w:val="24"/>
          <w:lang w:val="en-US" w:eastAsia="zh-CN" w:bidi="ar"/>
        </w:rPr>
        <w:t>EXAFS spectra of Mo in CMF HESACs.</w:t>
      </w:r>
      <w:r>
        <w:rPr>
          <w:rFonts w:hint="default" w:ascii="Times New Roman" w:hAnsi="Times New Roman" w:eastAsia="宋体" w:cs="Times New Roman"/>
          <w:sz w:val="24"/>
          <w:szCs w:val="24"/>
          <w:lang w:val="en-US" w:eastAsia="zh-CN" w:bidi="ar"/>
        </w:rPr>
        <w:br w:type="page"/>
      </w:r>
    </w:p>
    <w:p w14:paraId="0A711EDD">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sz w:val="24"/>
          <w:szCs w:val="24"/>
          <w:lang w:val="de" w:eastAsia="zh-CN" w:bidi="ar"/>
        </w:rPr>
      </w:pPr>
      <w:r>
        <w:rPr>
          <w:rFonts w:hint="default" w:ascii="Times New Roman" w:hAnsi="Times New Roman" w:eastAsia="宋体" w:cs="Times New Roman"/>
          <w:sz w:val="24"/>
          <w:szCs w:val="24"/>
          <w:lang w:val="de" w:eastAsia="zh-CN" w:bidi="ar"/>
        </w:rPr>
        <w:drawing>
          <wp:inline distT="0" distB="0" distL="114300" distR="114300">
            <wp:extent cx="6350000" cy="1943100"/>
            <wp:effectExtent l="0" t="0" r="5080" b="0"/>
            <wp:docPr id="1" name="图片 1" descr="Ce同步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e同步S"/>
                    <pic:cNvPicPr>
                      <a:picLocks noChangeAspect="1"/>
                    </pic:cNvPicPr>
                  </pic:nvPicPr>
                  <pic:blipFill>
                    <a:blip r:embed="rId14"/>
                    <a:stretch>
                      <a:fillRect/>
                    </a:stretch>
                  </pic:blipFill>
                  <pic:spPr>
                    <a:xfrm>
                      <a:off x="0" y="0"/>
                      <a:ext cx="6350000" cy="1943100"/>
                    </a:xfrm>
                    <a:prstGeom prst="rect">
                      <a:avLst/>
                    </a:prstGeom>
                  </pic:spPr>
                </pic:pic>
              </a:graphicData>
            </a:graphic>
          </wp:inline>
        </w:drawing>
      </w:r>
    </w:p>
    <w:p w14:paraId="30B9C540">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b/>
          <w:bCs/>
          <w:sz w:val="24"/>
          <w:szCs w:val="24"/>
          <w:lang w:val="de" w:eastAsia="zh-CN" w:bidi="ar"/>
        </w:rPr>
        <w:t xml:space="preserve">Supplementary Fig. </w:t>
      </w:r>
      <w:r>
        <w:rPr>
          <w:rFonts w:hint="default" w:ascii="Times New Roman" w:hAnsi="Times New Roman" w:eastAsia="宋体" w:cs="Times New Roman"/>
          <w:b/>
          <w:bCs/>
          <w:sz w:val="24"/>
          <w:szCs w:val="24"/>
          <w:lang w:val="en-US" w:eastAsia="zh-CN" w:bidi="ar"/>
        </w:rPr>
        <w:t>9</w:t>
      </w:r>
      <w:r>
        <w:rPr>
          <w:rFonts w:hint="default" w:ascii="Times New Roman" w:hAnsi="Times New Roman" w:eastAsia="宋体" w:cs="Times New Roman"/>
          <w:b/>
          <w:bCs/>
          <w:sz w:val="24"/>
          <w:szCs w:val="24"/>
          <w:lang w:val="de" w:eastAsia="zh-CN" w:bidi="ar"/>
        </w:rPr>
        <w:t>.</w:t>
      </w:r>
      <w:r>
        <w:rPr>
          <w:rFonts w:hint="default" w:ascii="Times New Roman" w:hAnsi="Times New Roman" w:eastAsia="宋体" w:cs="Times New Roman"/>
          <w:sz w:val="24"/>
          <w:szCs w:val="24"/>
          <w:lang w:val="de" w:eastAsia="zh-CN" w:bidi="ar"/>
        </w:rPr>
        <w:t xml:space="preserve"> </w:t>
      </w:r>
      <w:r>
        <w:rPr>
          <w:rFonts w:hint="default" w:ascii="Times New Roman" w:hAnsi="Times New Roman" w:eastAsia="宋体" w:cs="Times New Roman"/>
          <w:sz w:val="24"/>
          <w:szCs w:val="24"/>
          <w:lang w:val="en-US" w:eastAsia="zh-CN" w:bidi="ar"/>
        </w:rPr>
        <w:t>XANE and EXAFS spectra of Ce in (a) CMF HESACs and (b,c) CeO</w:t>
      </w:r>
      <w:r>
        <w:rPr>
          <w:rFonts w:hint="default" w:ascii="Times New Roman" w:hAnsi="Times New Roman" w:eastAsia="宋体" w:cs="Times New Roman"/>
          <w:sz w:val="24"/>
          <w:szCs w:val="24"/>
          <w:vertAlign w:val="subscript"/>
          <w:lang w:val="en-US" w:eastAsia="zh-CN" w:bidi="ar"/>
        </w:rPr>
        <w:t>2</w:t>
      </w:r>
      <w:r>
        <w:rPr>
          <w:rFonts w:hint="default" w:ascii="Times New Roman" w:hAnsi="Times New Roman" w:eastAsia="宋体" w:cs="Times New Roman"/>
          <w:sz w:val="24"/>
          <w:szCs w:val="24"/>
          <w:lang w:val="en-US" w:eastAsia="zh-CN" w:bidi="ar"/>
        </w:rPr>
        <w:t>.</w:t>
      </w:r>
      <w:r>
        <w:rPr>
          <w:rFonts w:hint="default" w:ascii="Times New Roman" w:hAnsi="Times New Roman" w:eastAsia="宋体" w:cs="Times New Roman"/>
          <w:sz w:val="24"/>
          <w:szCs w:val="24"/>
          <w:lang w:val="en-US" w:eastAsia="zh-CN" w:bidi="ar"/>
        </w:rPr>
        <w:br w:type="page"/>
      </w:r>
      <w:r>
        <w:rPr>
          <w:rFonts w:hint="default" w:ascii="Times New Roman" w:hAnsi="Times New Roman" w:eastAsia="宋体" w:cs="Times New Roman"/>
          <w:sz w:val="24"/>
          <w:szCs w:val="24"/>
          <w:lang w:val="en-US" w:eastAsia="zh-CN" w:bidi="ar"/>
        </w:rPr>
        <w:drawing>
          <wp:inline distT="0" distB="0" distL="0" distR="0">
            <wp:extent cx="6317615" cy="2016125"/>
            <wp:effectExtent l="0" t="0" r="6985" b="3175"/>
            <wp:docPr id="11481701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170139" name="图片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317615" cy="2016125"/>
                    </a:xfrm>
                    <a:prstGeom prst="rect">
                      <a:avLst/>
                    </a:prstGeom>
                    <a:noFill/>
                    <a:ln>
                      <a:noFill/>
                    </a:ln>
                  </pic:spPr>
                </pic:pic>
              </a:graphicData>
            </a:graphic>
          </wp:inline>
        </w:drawing>
      </w:r>
    </w:p>
    <w:p w14:paraId="61D0EE3B">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b/>
          <w:bCs/>
          <w:sz w:val="24"/>
          <w:szCs w:val="24"/>
          <w:lang w:val="en-US" w:eastAsia="zh-CN" w:bidi="ar"/>
        </w:rPr>
        <w:t>Supplementary Fig. 10.</w:t>
      </w:r>
      <w:r>
        <w:rPr>
          <w:rFonts w:hint="default" w:ascii="Times New Roman" w:hAnsi="Times New Roman" w:eastAsia="宋体" w:cs="Times New Roman"/>
          <w:sz w:val="24"/>
          <w:szCs w:val="24"/>
          <w:lang w:val="en-US" w:eastAsia="zh-CN" w:bidi="ar"/>
        </w:rPr>
        <w:t xml:space="preserve"> schematic representation of H</w:t>
      </w:r>
      <w:r>
        <w:rPr>
          <w:rFonts w:hint="default" w:ascii="Times New Roman" w:hAnsi="Times New Roman" w:eastAsia="宋体" w:cs="Times New Roman"/>
          <w:sz w:val="24"/>
          <w:szCs w:val="24"/>
          <w:vertAlign w:val="subscript"/>
          <w:lang w:val="en-US" w:eastAsia="zh-CN" w:bidi="ar"/>
        </w:rPr>
        <w:t>2</w:t>
      </w:r>
      <w:r>
        <w:rPr>
          <w:rFonts w:hint="default" w:ascii="Times New Roman" w:hAnsi="Times New Roman" w:eastAsia="宋体" w:cs="Times New Roman"/>
          <w:sz w:val="24"/>
          <w:szCs w:val="24"/>
          <w:lang w:val="en-US" w:eastAsia="zh-CN" w:bidi="ar"/>
        </w:rPr>
        <w:t>O</w:t>
      </w:r>
      <w:r>
        <w:rPr>
          <w:rFonts w:hint="default" w:ascii="Times New Roman" w:hAnsi="Times New Roman" w:eastAsia="宋体" w:cs="Times New Roman"/>
          <w:sz w:val="24"/>
          <w:szCs w:val="24"/>
          <w:vertAlign w:val="subscript"/>
          <w:lang w:val="en-US" w:eastAsia="zh-CN" w:bidi="ar"/>
        </w:rPr>
        <w:t>2</w:t>
      </w:r>
      <w:r>
        <w:rPr>
          <w:rFonts w:hint="default" w:ascii="Times New Roman" w:hAnsi="Times New Roman" w:eastAsia="宋体" w:cs="Times New Roman"/>
          <w:sz w:val="24"/>
          <w:szCs w:val="24"/>
          <w:lang w:val="en-US" w:eastAsia="zh-CN" w:bidi="ar"/>
        </w:rPr>
        <w:t xml:space="preserve"> adsorption configurations.</w:t>
      </w:r>
    </w:p>
    <w:p w14:paraId="2750404D">
      <w:pPr>
        <w:keepNext w:val="0"/>
        <w:keepLines w:val="0"/>
        <w:pageBreakBefore w:val="0"/>
        <w:widowControl/>
        <w:kinsoku/>
        <w:wordWrap/>
        <w:overflowPunct/>
        <w:topLinePunct w:val="0"/>
        <w:autoSpaceDN/>
        <w:bidi w:val="0"/>
        <w:spacing w:line="360" w:lineRule="auto"/>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val="en-US" w:eastAsia="zh-CN" w:bidi="ar"/>
        </w:rPr>
        <w:br w:type="page"/>
      </w:r>
    </w:p>
    <w:p w14:paraId="4CBF8EE8">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val="en-US" w:eastAsia="zh-CN" w:bidi="ar"/>
        </w:rPr>
        <w:drawing>
          <wp:inline distT="0" distB="0" distL="0" distR="0">
            <wp:extent cx="3575685" cy="2771775"/>
            <wp:effectExtent l="0" t="0" r="8255" b="2540"/>
            <wp:docPr id="3414688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468829" name="图片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3575685" cy="2771775"/>
                    </a:xfrm>
                    <a:prstGeom prst="rect">
                      <a:avLst/>
                    </a:prstGeom>
                    <a:noFill/>
                    <a:ln>
                      <a:noFill/>
                    </a:ln>
                  </pic:spPr>
                </pic:pic>
              </a:graphicData>
            </a:graphic>
          </wp:inline>
        </w:drawing>
      </w:r>
    </w:p>
    <w:p w14:paraId="6BDA3850">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b/>
          <w:bCs/>
          <w:sz w:val="24"/>
          <w:szCs w:val="24"/>
          <w:lang w:val="en-US" w:eastAsia="zh-CN" w:bidi="ar"/>
        </w:rPr>
        <w:t>Supplementary Fig. 11.</w:t>
      </w:r>
      <w:r>
        <w:rPr>
          <w:rFonts w:hint="default" w:ascii="Times New Roman" w:hAnsi="Times New Roman" w:eastAsia="宋体" w:cs="Times New Roman"/>
          <w:sz w:val="24"/>
          <w:szCs w:val="24"/>
          <w:lang w:val="en-US" w:eastAsia="zh-CN" w:bidi="ar"/>
        </w:rPr>
        <w:t xml:space="preserve"> Zeta potential measurements of MIL, CM@MIL@PZS, and CMF HESACs catalysts.</w:t>
      </w:r>
    </w:p>
    <w:p w14:paraId="2DAF53B1">
      <w:pPr>
        <w:keepNext w:val="0"/>
        <w:keepLines w:val="0"/>
        <w:pageBreakBefore w:val="0"/>
        <w:widowControl/>
        <w:kinsoku/>
        <w:wordWrap/>
        <w:overflowPunct/>
        <w:topLinePunct w:val="0"/>
        <w:autoSpaceDN/>
        <w:bidi w:val="0"/>
        <w:spacing w:line="360" w:lineRule="auto"/>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val="en-US" w:eastAsia="zh-CN" w:bidi="ar"/>
        </w:rPr>
        <w:br w:type="page"/>
      </w:r>
    </w:p>
    <w:p w14:paraId="3A2A863E">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sz w:val="24"/>
          <w:szCs w:val="24"/>
          <w:lang w:val="de" w:eastAsia="zh-CN" w:bidi="ar"/>
        </w:rPr>
      </w:pPr>
      <w:r>
        <w:rPr>
          <w:rFonts w:hint="default" w:ascii="Times New Roman" w:hAnsi="Times New Roman" w:eastAsia="宋体" w:cs="Times New Roman"/>
          <w:sz w:val="24"/>
          <w:szCs w:val="24"/>
          <w:lang w:val="en-US" w:eastAsia="zh-CN"/>
        </w:rPr>
        <w:drawing>
          <wp:inline distT="0" distB="0" distL="114300" distR="114300">
            <wp:extent cx="3393440" cy="2677795"/>
            <wp:effectExtent l="0" t="0" r="6985" b="10160"/>
            <wp:docPr id="2" name="图片 2" descr="p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pow"/>
                    <pic:cNvPicPr>
                      <a:picLocks noChangeAspect="1"/>
                    </pic:cNvPicPr>
                  </pic:nvPicPr>
                  <pic:blipFill>
                    <a:blip r:embed="rId17"/>
                    <a:srcRect r="11022"/>
                    <a:stretch>
                      <a:fillRect/>
                    </a:stretch>
                  </pic:blipFill>
                  <pic:spPr>
                    <a:xfrm>
                      <a:off x="0" y="0"/>
                      <a:ext cx="3393440" cy="2677795"/>
                    </a:xfrm>
                    <a:prstGeom prst="rect">
                      <a:avLst/>
                    </a:prstGeom>
                    <a:ln>
                      <a:noFill/>
                    </a:ln>
                  </pic:spPr>
                </pic:pic>
              </a:graphicData>
            </a:graphic>
          </wp:inline>
        </w:drawing>
      </w:r>
    </w:p>
    <w:p w14:paraId="0C6CC34E">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b/>
          <w:bCs/>
          <w:sz w:val="24"/>
          <w:szCs w:val="24"/>
          <w:lang w:val="de" w:eastAsia="zh-CN" w:bidi="ar"/>
        </w:rPr>
        <w:t xml:space="preserve">Supplementary Fig. </w:t>
      </w:r>
      <w:r>
        <w:rPr>
          <w:rFonts w:hint="default" w:ascii="Times New Roman" w:hAnsi="Times New Roman" w:eastAsia="宋体" w:cs="Times New Roman"/>
          <w:b/>
          <w:bCs/>
          <w:sz w:val="24"/>
          <w:szCs w:val="24"/>
          <w:lang w:val="en-US" w:eastAsia="zh-CN" w:bidi="ar"/>
        </w:rPr>
        <w:t>12</w:t>
      </w:r>
      <w:r>
        <w:rPr>
          <w:rFonts w:hint="default" w:ascii="Times New Roman" w:hAnsi="Times New Roman" w:eastAsia="宋体" w:cs="Times New Roman"/>
          <w:b/>
          <w:bCs/>
          <w:sz w:val="24"/>
          <w:szCs w:val="24"/>
          <w:lang w:val="de" w:eastAsia="zh-CN" w:bidi="ar"/>
        </w:rPr>
        <w:t xml:space="preserve">. </w:t>
      </w:r>
      <w:r>
        <w:rPr>
          <w:rFonts w:hint="default" w:ascii="Times New Roman" w:hAnsi="Times New Roman" w:eastAsia="宋体" w:cs="Times New Roman"/>
          <w:sz w:val="24"/>
          <w:szCs w:val="24"/>
          <w:lang w:val="en-US" w:eastAsia="zh-CN" w:bidi="ar"/>
        </w:rPr>
        <w:t>T</w:t>
      </w:r>
      <w:r>
        <w:rPr>
          <w:rFonts w:hint="default" w:ascii="Times New Roman" w:hAnsi="Times New Roman" w:cs="Times New Roman"/>
          <w:sz w:val="24"/>
          <w:szCs w:val="24"/>
          <w:lang w:val="en-US" w:eastAsia="zh-CN" w:bidi="ar"/>
        </w:rPr>
        <w:t>he</w:t>
      </w:r>
      <w:r>
        <w:rPr>
          <w:rFonts w:hint="default" w:ascii="Times New Roman" w:hAnsi="Times New Roman" w:eastAsia="宋体" w:cs="Times New Roman"/>
          <w:sz w:val="24"/>
          <w:szCs w:val="24"/>
          <w:lang w:val="en-US" w:eastAsia="zh-CN" w:bidi="ar"/>
        </w:rPr>
        <w:t xml:space="preserve"> </w:t>
      </w:r>
      <w:r>
        <w:rPr>
          <w:rFonts w:hint="default" w:ascii="Times New Roman" w:hAnsi="Times New Roman" w:cs="Times New Roman"/>
          <w:sz w:val="24"/>
          <w:szCs w:val="24"/>
          <w:lang w:val="en-US" w:eastAsia="zh-CN" w:bidi="ar"/>
        </w:rPr>
        <w:t>power density temperature-rising behaviors</w:t>
      </w:r>
      <w:r>
        <w:rPr>
          <w:rFonts w:hint="default" w:ascii="Times New Roman" w:hAnsi="Times New Roman" w:eastAsia="宋体" w:cs="Times New Roman"/>
          <w:sz w:val="24"/>
          <w:szCs w:val="24"/>
          <w:lang w:val="en-US" w:eastAsia="zh-CN" w:bidi="ar"/>
        </w:rPr>
        <w:t xml:space="preserve"> of</w:t>
      </w:r>
      <w:r>
        <w:rPr>
          <w:rFonts w:hint="default" w:ascii="Times New Roman" w:hAnsi="Times New Roman" w:cs="Times New Roman"/>
          <w:sz w:val="24"/>
          <w:szCs w:val="24"/>
          <w:lang w:val="en-US" w:eastAsia="zh-CN" w:bidi="ar"/>
        </w:rPr>
        <w:t xml:space="preserve"> CMF HESACs</w:t>
      </w:r>
      <w:r>
        <w:rPr>
          <w:rFonts w:hint="default" w:ascii="Times New Roman" w:hAnsi="Times New Roman" w:eastAsia="宋体" w:cs="Times New Roman"/>
          <w:sz w:val="24"/>
          <w:szCs w:val="24"/>
          <w:lang w:val="en-US" w:eastAsia="zh-CN" w:bidi="ar"/>
        </w:rPr>
        <w:t xml:space="preserve"> catalysts a</w:t>
      </w:r>
      <w:r>
        <w:rPr>
          <w:rFonts w:hint="default" w:ascii="Times New Roman" w:hAnsi="Times New Roman" w:cs="Times New Roman"/>
          <w:sz w:val="24"/>
          <w:szCs w:val="24"/>
          <w:lang w:val="en-US" w:eastAsia="zh-CN" w:bidi="ar"/>
        </w:rPr>
        <w:t>fter irradiation for 10 min</w:t>
      </w:r>
      <w:r>
        <w:rPr>
          <w:rFonts w:hint="default" w:ascii="Times New Roman" w:hAnsi="Times New Roman" w:eastAsia="宋体" w:cs="Times New Roman"/>
          <w:sz w:val="24"/>
          <w:szCs w:val="24"/>
          <w:lang w:val="en-US" w:eastAsia="zh-CN" w:bidi="ar"/>
        </w:rPr>
        <w:t>.</w:t>
      </w:r>
    </w:p>
    <w:p w14:paraId="438D4574">
      <w:pPr>
        <w:keepNext w:val="0"/>
        <w:keepLines w:val="0"/>
        <w:pageBreakBefore w:val="0"/>
        <w:widowControl/>
        <w:kinsoku/>
        <w:wordWrap/>
        <w:overflowPunct/>
        <w:topLinePunct w:val="0"/>
        <w:autoSpaceDN/>
        <w:bidi w:val="0"/>
        <w:adjustRightInd w:val="0"/>
        <w:snapToGrid w:val="0"/>
        <w:spacing w:line="360" w:lineRule="auto"/>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val="en-US" w:eastAsia="zh-CN" w:bidi="ar"/>
        </w:rPr>
        <w:br w:type="page"/>
      </w:r>
    </w:p>
    <w:p w14:paraId="1DAE3CDF">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等线" w:cs="Times New Roman"/>
          <w:kern w:val="2"/>
          <w:sz w:val="24"/>
          <w:szCs w:val="24"/>
          <w:lang w:val="en-US" w:eastAsia="zh-CN"/>
        </w:rPr>
      </w:pPr>
      <w:r>
        <w:rPr>
          <w:rFonts w:hint="default" w:ascii="Times New Roman" w:hAnsi="Times New Roman" w:eastAsia="宋体" w:cs="Times New Roman"/>
          <w:b/>
          <w:bCs/>
          <w:sz w:val="24"/>
          <w:szCs w:val="24"/>
          <w:lang w:val="de" w:eastAsia="zh-CN" w:bidi="ar"/>
        </w:rPr>
        <w:drawing>
          <wp:inline distT="0" distB="0" distL="0" distR="0">
            <wp:extent cx="6266815" cy="1995170"/>
            <wp:effectExtent l="0" t="0" r="5080" b="1905"/>
            <wp:docPr id="19270273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027342" name="图片 14"/>
                    <pic:cNvPicPr>
                      <a:picLocks noChangeAspect="1" noChangeArrowheads="1"/>
                    </pic:cNvPicPr>
                  </pic:nvPicPr>
                  <pic:blipFill>
                    <a:blip r:embed="rId18">
                      <a:extLst>
                        <a:ext uri="{28A0092B-C50C-407E-A947-70E740481C1C}">
                          <a14:useLocalDpi xmlns:a14="http://schemas.microsoft.com/office/drawing/2010/main" val="0"/>
                        </a:ext>
                      </a:extLst>
                    </a:blip>
                    <a:srcRect b="11412"/>
                    <a:stretch>
                      <a:fillRect/>
                    </a:stretch>
                  </pic:blipFill>
                  <pic:spPr>
                    <a:xfrm>
                      <a:off x="0" y="0"/>
                      <a:ext cx="6266815" cy="1995170"/>
                    </a:xfrm>
                    <a:prstGeom prst="rect">
                      <a:avLst/>
                    </a:prstGeom>
                    <a:noFill/>
                    <a:ln>
                      <a:noFill/>
                    </a:ln>
                  </pic:spPr>
                </pic:pic>
              </a:graphicData>
            </a:graphic>
          </wp:inline>
        </w:drawing>
      </w:r>
    </w:p>
    <w:p w14:paraId="406206A9">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en-US" w:eastAsia="zh-CN" w:bidi="ar"/>
        </w:rPr>
      </w:pPr>
      <w:r>
        <w:rPr>
          <w:rFonts w:hint="default" w:ascii="Times New Roman" w:hAnsi="Times New Roman" w:eastAsia="宋体" w:cs="Times New Roman"/>
          <w:b/>
          <w:bCs/>
          <w:sz w:val="24"/>
          <w:szCs w:val="24"/>
          <w:lang w:val="de" w:eastAsia="zh-CN" w:bidi="ar"/>
        </w:rPr>
        <w:t xml:space="preserve">Supplementary Fig. </w:t>
      </w:r>
      <w:r>
        <w:rPr>
          <w:rFonts w:hint="default" w:ascii="Times New Roman" w:hAnsi="Times New Roman" w:eastAsia="宋体" w:cs="Times New Roman"/>
          <w:b/>
          <w:bCs/>
          <w:sz w:val="24"/>
          <w:szCs w:val="24"/>
          <w:lang w:val="en-US" w:eastAsia="zh-CN" w:bidi="ar"/>
        </w:rPr>
        <w:t>13</w:t>
      </w:r>
      <w:r>
        <w:rPr>
          <w:rFonts w:hint="default" w:ascii="Times New Roman" w:hAnsi="Times New Roman" w:eastAsia="宋体" w:cs="Times New Roman"/>
          <w:b/>
          <w:bCs/>
          <w:sz w:val="24"/>
          <w:szCs w:val="24"/>
          <w:lang w:val="de" w:eastAsia="zh-CN" w:bidi="ar"/>
        </w:rPr>
        <w:t>.</w:t>
      </w:r>
      <w:r>
        <w:rPr>
          <w:rFonts w:hint="default" w:ascii="Times New Roman" w:hAnsi="Times New Roman" w:eastAsia="宋体" w:cs="Times New Roman"/>
          <w:sz w:val="24"/>
          <w:szCs w:val="24"/>
          <w:lang w:val="de" w:eastAsia="zh-CN" w:bidi="ar"/>
        </w:rPr>
        <w:t xml:space="preserve"> </w:t>
      </w:r>
      <w:r>
        <w:rPr>
          <w:rFonts w:hint="default" w:ascii="Times New Roman" w:hAnsi="Times New Roman" w:cs="Times New Roman"/>
          <w:sz w:val="24"/>
          <w:szCs w:val="24"/>
          <w:lang w:val="en-US" w:eastAsia="zh-CN" w:bidi="ar"/>
        </w:rPr>
        <w:t>The PDOSs</w:t>
      </w:r>
      <w:r>
        <w:rPr>
          <w:rFonts w:hint="default" w:ascii="Times New Roman" w:hAnsi="Times New Roman" w:eastAsia="宋体" w:cs="Times New Roman"/>
          <w:sz w:val="24"/>
          <w:szCs w:val="24"/>
          <w:lang w:val="en-US" w:eastAsia="zh-CN" w:bidi="ar"/>
        </w:rPr>
        <w:t xml:space="preserve"> results of</w:t>
      </w:r>
      <w:r>
        <w:rPr>
          <w:rFonts w:hint="default" w:ascii="Times New Roman" w:hAnsi="Times New Roman" w:cs="Times New Roman"/>
          <w:sz w:val="24"/>
          <w:szCs w:val="24"/>
          <w:lang w:val="en-US" w:eastAsia="zh-CN" w:bidi="ar"/>
        </w:rPr>
        <w:t xml:space="preserve"> the C/N/P/S atoms.</w:t>
      </w:r>
    </w:p>
    <w:p w14:paraId="0BA65E76">
      <w:pPr>
        <w:keepNext w:val="0"/>
        <w:keepLines w:val="0"/>
        <w:pageBreakBefore w:val="0"/>
        <w:widowControl/>
        <w:kinsoku/>
        <w:wordWrap/>
        <w:overflowPunct/>
        <w:topLinePunct w:val="0"/>
        <w:autoSpaceDN/>
        <w:bidi w:val="0"/>
        <w:adjustRightInd w:val="0"/>
        <w:snapToGrid w:val="0"/>
        <w:spacing w:line="360" w:lineRule="auto"/>
        <w:textAlignment w:val="auto"/>
        <w:rPr>
          <w:rFonts w:hint="default" w:ascii="Times New Roman" w:hAnsi="Times New Roman" w:cs="Times New Roman"/>
          <w:sz w:val="24"/>
          <w:szCs w:val="24"/>
          <w:lang w:val="en-US" w:eastAsia="zh-CN" w:bidi="ar"/>
        </w:rPr>
      </w:pPr>
      <w:r>
        <w:rPr>
          <w:rFonts w:hint="default" w:ascii="Times New Roman" w:hAnsi="Times New Roman" w:cs="Times New Roman"/>
          <w:sz w:val="24"/>
          <w:szCs w:val="24"/>
          <w:lang w:val="en-US" w:eastAsia="zh-CN" w:bidi="ar"/>
        </w:rPr>
        <w:br w:type="page"/>
      </w:r>
    </w:p>
    <w:p w14:paraId="088278E9">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等线" w:cs="Times New Roman"/>
          <w:kern w:val="2"/>
          <w:sz w:val="24"/>
          <w:szCs w:val="24"/>
          <w:lang w:val="en-US" w:eastAsia="zh-CN"/>
        </w:rPr>
      </w:pPr>
      <w:r>
        <w:rPr>
          <w:rFonts w:hint="default" w:ascii="Times New Roman" w:hAnsi="Times New Roman" w:eastAsia="等线" w:cs="Times New Roman"/>
          <w:kern w:val="2"/>
          <w:sz w:val="24"/>
          <w:szCs w:val="24"/>
          <w:lang w:val="en-US" w:eastAsia="zh-CN"/>
        </w:rPr>
        <w:drawing>
          <wp:inline distT="0" distB="0" distL="114300" distR="114300">
            <wp:extent cx="3448050" cy="2675255"/>
            <wp:effectExtent l="0" t="0" r="6350" b="1905"/>
            <wp:docPr id="7" name="图片 7" descr="g-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g-UP"/>
                    <pic:cNvPicPr>
                      <a:picLocks noChangeAspect="1"/>
                    </pic:cNvPicPr>
                  </pic:nvPicPr>
                  <pic:blipFill>
                    <a:blip r:embed="rId19"/>
                    <a:srcRect r="9509"/>
                    <a:stretch>
                      <a:fillRect/>
                    </a:stretch>
                  </pic:blipFill>
                  <pic:spPr>
                    <a:xfrm>
                      <a:off x="0" y="0"/>
                      <a:ext cx="3448050" cy="2675255"/>
                    </a:xfrm>
                    <a:prstGeom prst="rect">
                      <a:avLst/>
                    </a:prstGeom>
                    <a:ln>
                      <a:noFill/>
                    </a:ln>
                  </pic:spPr>
                </pic:pic>
              </a:graphicData>
            </a:graphic>
          </wp:inline>
        </w:drawing>
      </w:r>
    </w:p>
    <w:p w14:paraId="10654449">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cs="Times New Roman"/>
          <w:sz w:val="24"/>
          <w:szCs w:val="24"/>
          <w:lang w:val="en-US" w:eastAsia="zh-CN" w:bidi="ar"/>
        </w:rPr>
      </w:pPr>
      <w:r>
        <w:rPr>
          <w:rFonts w:hint="default" w:ascii="Times New Roman" w:hAnsi="Times New Roman" w:eastAsia="宋体" w:cs="Times New Roman"/>
          <w:b/>
          <w:bCs/>
          <w:sz w:val="24"/>
          <w:szCs w:val="24"/>
          <w:lang w:val="de" w:eastAsia="zh-CN" w:bidi="ar"/>
        </w:rPr>
        <w:t>Supplementary Fig. 1</w:t>
      </w:r>
      <w:r>
        <w:rPr>
          <w:rFonts w:hint="default" w:ascii="Times New Roman" w:hAnsi="Times New Roman" w:eastAsia="宋体" w:cs="Times New Roman"/>
          <w:b/>
          <w:bCs/>
          <w:sz w:val="24"/>
          <w:szCs w:val="24"/>
          <w:lang w:val="en-US" w:eastAsia="zh-CN" w:bidi="ar"/>
        </w:rPr>
        <w:t>4</w:t>
      </w:r>
      <w:r>
        <w:rPr>
          <w:rFonts w:hint="default" w:ascii="Times New Roman" w:hAnsi="Times New Roman" w:eastAsia="宋体" w:cs="Times New Roman"/>
          <w:b/>
          <w:bCs/>
          <w:sz w:val="24"/>
          <w:szCs w:val="24"/>
          <w:lang w:val="de" w:eastAsia="zh-CN" w:bidi="ar"/>
        </w:rPr>
        <w:t xml:space="preserve">. </w:t>
      </w:r>
      <w:r>
        <w:rPr>
          <w:rFonts w:hint="default" w:ascii="Times New Roman" w:hAnsi="Times New Roman" w:eastAsia="等线" w:cs="Times New Roman"/>
          <w:kern w:val="2"/>
          <w:sz w:val="24"/>
          <w:szCs w:val="24"/>
          <w:lang w:val="en-US" w:eastAsia="zh-CN"/>
        </w:rPr>
        <w:t>The GSH depletion ability with time of CMF HESACs solutions revealed by UV-Vis.</w:t>
      </w:r>
      <w:r>
        <w:rPr>
          <w:rFonts w:hint="default" w:ascii="Times New Roman" w:hAnsi="Times New Roman" w:eastAsia="等线" w:cs="Times New Roman"/>
          <w:kern w:val="2"/>
          <w:sz w:val="24"/>
          <w:szCs w:val="24"/>
          <w:lang w:val="en-US" w:eastAsia="zh-CN"/>
        </w:rPr>
        <w:br w:type="page"/>
      </w:r>
    </w:p>
    <w:p w14:paraId="17F95C7E">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val="en-US" w:eastAsia="zh-CN" w:bidi="ar"/>
        </w:rPr>
        <w:drawing>
          <wp:inline distT="0" distB="0" distL="0" distR="0">
            <wp:extent cx="6186805" cy="1341755"/>
            <wp:effectExtent l="0" t="0" r="9525" b="7620"/>
            <wp:docPr id="190488980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889804" name="图片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6186805" cy="1341755"/>
                    </a:xfrm>
                    <a:prstGeom prst="rect">
                      <a:avLst/>
                    </a:prstGeom>
                    <a:noFill/>
                    <a:ln>
                      <a:noFill/>
                    </a:ln>
                  </pic:spPr>
                </pic:pic>
              </a:graphicData>
            </a:graphic>
          </wp:inline>
        </w:drawing>
      </w:r>
    </w:p>
    <w:p w14:paraId="545E1B8C">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b/>
          <w:bCs/>
          <w:sz w:val="24"/>
          <w:szCs w:val="24"/>
          <w:lang w:val="en-US" w:eastAsia="zh-CN" w:bidi="ar"/>
        </w:rPr>
        <w:t>Supplementary Fig. 15.</w:t>
      </w:r>
      <w:r>
        <w:rPr>
          <w:rFonts w:hint="default" w:ascii="Times New Roman" w:hAnsi="Times New Roman" w:eastAsia="宋体" w:cs="Times New Roman"/>
          <w:sz w:val="24"/>
          <w:szCs w:val="24"/>
          <w:lang w:val="en-US" w:eastAsia="zh-CN" w:bidi="ar"/>
        </w:rPr>
        <w:t xml:space="preserve"> </w:t>
      </w:r>
      <w:r>
        <w:rPr>
          <w:rFonts w:hint="default" w:ascii="Times New Roman" w:hAnsi="Times New Roman" w:eastAsia="宋体" w:cs="Times New Roman"/>
          <w:sz w:val="24"/>
          <w:szCs w:val="24"/>
          <w:vertAlign w:val="superscript"/>
          <w:lang w:val="en-US" w:eastAsia="zh-CN" w:bidi="ar"/>
        </w:rPr>
        <w:t>1</w:t>
      </w:r>
      <w:r>
        <w:rPr>
          <w:rFonts w:hint="default" w:ascii="Times New Roman" w:hAnsi="Times New Roman" w:eastAsia="宋体" w:cs="Times New Roman"/>
          <w:sz w:val="24"/>
          <w:szCs w:val="24"/>
          <w:lang w:val="en-US" w:eastAsia="zh-CN" w:bidi="ar"/>
        </w:rPr>
        <w:t>O</w:t>
      </w:r>
      <w:r>
        <w:rPr>
          <w:rFonts w:hint="default" w:ascii="Times New Roman" w:hAnsi="Times New Roman" w:eastAsia="宋体" w:cs="Times New Roman"/>
          <w:sz w:val="24"/>
          <w:szCs w:val="24"/>
          <w:vertAlign w:val="subscript"/>
          <w:lang w:val="en-US" w:eastAsia="zh-CN" w:bidi="ar"/>
        </w:rPr>
        <w:t>2</w:t>
      </w:r>
      <w:r>
        <w:rPr>
          <w:rFonts w:hint="default" w:ascii="Times New Roman" w:hAnsi="Times New Roman" w:eastAsia="宋体" w:cs="Times New Roman"/>
          <w:sz w:val="24"/>
          <w:szCs w:val="24"/>
          <w:lang w:val="en-US" w:eastAsia="zh-CN" w:bidi="ar"/>
        </w:rPr>
        <w:t xml:space="preserve"> generation measured using the SOSG assay kit.</w:t>
      </w:r>
      <w:r>
        <w:rPr>
          <w:rFonts w:hint="default" w:ascii="Times New Roman" w:hAnsi="Times New Roman" w:cs="Times New Roman"/>
          <w:sz w:val="24"/>
          <w:szCs w:val="24"/>
          <w:lang w:val="en-US" w:eastAsia="zh-CN" w:bidi="ar"/>
        </w:rPr>
        <w:br w:type="page"/>
      </w:r>
    </w:p>
    <w:p w14:paraId="3953B887">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val="en-US" w:eastAsia="zh-CN" w:bidi="ar"/>
        </w:rPr>
        <w:drawing>
          <wp:inline distT="0" distB="0" distL="0" distR="0">
            <wp:extent cx="6186805" cy="1330325"/>
            <wp:effectExtent l="0" t="0" r="9525" b="8255"/>
            <wp:docPr id="5176197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19791" name="图片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6186805" cy="1330325"/>
                    </a:xfrm>
                    <a:prstGeom prst="rect">
                      <a:avLst/>
                    </a:prstGeom>
                    <a:noFill/>
                    <a:ln>
                      <a:noFill/>
                    </a:ln>
                  </pic:spPr>
                </pic:pic>
              </a:graphicData>
            </a:graphic>
          </wp:inline>
        </w:drawing>
      </w:r>
    </w:p>
    <w:p w14:paraId="5BDAF7BF">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b/>
          <w:bCs/>
          <w:sz w:val="24"/>
          <w:szCs w:val="24"/>
          <w:lang w:val="en-US" w:eastAsia="zh-CN" w:bidi="ar"/>
        </w:rPr>
        <w:t>Supplementary Fig. 16.</w:t>
      </w:r>
      <w:r>
        <w:rPr>
          <w:rFonts w:hint="default" w:ascii="Times New Roman" w:hAnsi="Times New Roman" w:eastAsia="宋体" w:cs="Times New Roman"/>
          <w:sz w:val="24"/>
          <w:szCs w:val="24"/>
          <w:lang w:val="en-US" w:eastAsia="zh-CN" w:bidi="ar"/>
        </w:rPr>
        <w:t xml:space="preserve"> Lysosomal localization behavior observed</w:t>
      </w:r>
      <w:r>
        <w:rPr>
          <w:rFonts w:hint="default" w:ascii="Times New Roman" w:hAnsi="Times New Roman" w:eastAsia="宋体" w:cs="Times New Roman"/>
          <w:i/>
          <w:iCs/>
          <w:sz w:val="24"/>
          <w:szCs w:val="24"/>
          <w:lang w:val="en-US" w:eastAsia="zh-CN" w:bidi="ar"/>
        </w:rPr>
        <w:t xml:space="preserve"> via </w:t>
      </w:r>
      <w:r>
        <w:rPr>
          <w:rFonts w:hint="default" w:ascii="Times New Roman" w:hAnsi="Times New Roman" w:eastAsia="宋体" w:cs="Times New Roman"/>
          <w:sz w:val="24"/>
          <w:szCs w:val="24"/>
          <w:lang w:val="en-US" w:eastAsia="zh-CN" w:bidi="ar"/>
        </w:rPr>
        <w:t>lyso-tracker probe.</w:t>
      </w:r>
    </w:p>
    <w:p w14:paraId="7A5F3905">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val="en-US" w:eastAsia="zh-CN" w:bidi="ar"/>
        </w:rPr>
        <w:br w:type="page"/>
      </w:r>
    </w:p>
    <w:p w14:paraId="321B5E77">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val="en-US" w:eastAsia="zh-CN" w:bidi="ar"/>
        </w:rPr>
        <w:drawing>
          <wp:inline distT="0" distB="0" distL="0" distR="0">
            <wp:extent cx="6182360" cy="3316605"/>
            <wp:effectExtent l="0" t="0" r="3175" b="8255"/>
            <wp:docPr id="8748891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89191" name="图片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6182360" cy="3316605"/>
                    </a:xfrm>
                    <a:prstGeom prst="rect">
                      <a:avLst/>
                    </a:prstGeom>
                    <a:noFill/>
                    <a:ln>
                      <a:noFill/>
                    </a:ln>
                  </pic:spPr>
                </pic:pic>
              </a:graphicData>
            </a:graphic>
          </wp:inline>
        </w:drawing>
      </w:r>
    </w:p>
    <w:p w14:paraId="5F03D990">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b/>
          <w:bCs/>
          <w:sz w:val="24"/>
          <w:szCs w:val="24"/>
          <w:lang w:val="en-US" w:eastAsia="zh-CN" w:bidi="ar"/>
        </w:rPr>
        <w:t>Supplementary Fig. 17.</w:t>
      </w:r>
      <w:r>
        <w:rPr>
          <w:rFonts w:hint="default" w:ascii="Times New Roman" w:hAnsi="Times New Roman" w:eastAsia="宋体" w:cs="Times New Roman"/>
          <w:sz w:val="24"/>
          <w:szCs w:val="24"/>
          <w:lang w:val="en-US" w:eastAsia="zh-CN" w:bidi="ar"/>
        </w:rPr>
        <w:t xml:space="preserve"> Lysosomal acidity evaluated using AO probes.</w:t>
      </w:r>
      <w:r>
        <w:rPr>
          <w:rFonts w:hint="default" w:ascii="Times New Roman" w:hAnsi="Times New Roman" w:eastAsia="宋体" w:cs="Times New Roman"/>
          <w:sz w:val="24"/>
          <w:szCs w:val="24"/>
          <w:lang w:val="en-US" w:eastAsia="zh-CN" w:bidi="ar"/>
        </w:rPr>
        <w:br w:type="page"/>
      </w:r>
    </w:p>
    <w:p w14:paraId="31BE5D74">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val="en-US" w:eastAsia="zh-CN" w:bidi="ar"/>
        </w:rPr>
        <w:drawing>
          <wp:inline distT="0" distB="0" distL="0" distR="0">
            <wp:extent cx="6182360" cy="3411855"/>
            <wp:effectExtent l="0" t="0" r="3175" b="10160"/>
            <wp:docPr id="159740699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06992" name="图片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6182360" cy="3411855"/>
                    </a:xfrm>
                    <a:prstGeom prst="rect">
                      <a:avLst/>
                    </a:prstGeom>
                    <a:noFill/>
                    <a:ln>
                      <a:noFill/>
                    </a:ln>
                  </pic:spPr>
                </pic:pic>
              </a:graphicData>
            </a:graphic>
          </wp:inline>
        </w:drawing>
      </w:r>
    </w:p>
    <w:p w14:paraId="6F13F372">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b/>
          <w:bCs/>
          <w:sz w:val="24"/>
          <w:szCs w:val="24"/>
          <w:lang w:val="en-US" w:eastAsia="zh-CN" w:bidi="ar"/>
        </w:rPr>
        <w:t xml:space="preserve">Supplementary Fig. 18. </w:t>
      </w:r>
      <w:r>
        <w:rPr>
          <w:rFonts w:hint="default" w:ascii="Times New Roman" w:hAnsi="Times New Roman" w:eastAsia="宋体" w:cs="Times New Roman"/>
          <w:sz w:val="24"/>
          <w:szCs w:val="24"/>
          <w:lang w:val="en-US" w:eastAsia="zh-CN" w:bidi="ar"/>
        </w:rPr>
        <w:t>Mitochondrial membrane potential dynamics evaluated using JC-1 probes.</w:t>
      </w:r>
      <w:r>
        <w:rPr>
          <w:rFonts w:hint="default" w:ascii="Times New Roman" w:hAnsi="Times New Roman" w:eastAsia="宋体" w:cs="Times New Roman"/>
          <w:sz w:val="24"/>
          <w:szCs w:val="24"/>
          <w:lang w:val="en-US" w:eastAsia="zh-CN" w:bidi="ar"/>
        </w:rPr>
        <w:br w:type="page"/>
      </w:r>
    </w:p>
    <w:p w14:paraId="6B6F411E">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val="en-US" w:eastAsia="zh-CN" w:bidi="ar"/>
        </w:rPr>
        <w:drawing>
          <wp:inline distT="0" distB="0" distL="0" distR="0">
            <wp:extent cx="2922905" cy="2954655"/>
            <wp:effectExtent l="0" t="0" r="2540" b="3175"/>
            <wp:docPr id="141766710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667103" name="图片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922905" cy="2954655"/>
                    </a:xfrm>
                    <a:prstGeom prst="rect">
                      <a:avLst/>
                    </a:prstGeom>
                    <a:noFill/>
                    <a:ln>
                      <a:noFill/>
                    </a:ln>
                  </pic:spPr>
                </pic:pic>
              </a:graphicData>
            </a:graphic>
          </wp:inline>
        </w:drawing>
      </w:r>
    </w:p>
    <w:p w14:paraId="2621FA89">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b/>
          <w:bCs/>
          <w:sz w:val="24"/>
          <w:szCs w:val="24"/>
          <w:lang w:val="en-US" w:eastAsia="zh-CN" w:bidi="ar"/>
        </w:rPr>
        <w:t>Supplementary Fig. 19.</w:t>
      </w:r>
      <w:r>
        <w:rPr>
          <w:rFonts w:hint="default" w:ascii="Times New Roman" w:hAnsi="Times New Roman" w:eastAsia="宋体" w:cs="Times New Roman"/>
          <w:sz w:val="24"/>
          <w:szCs w:val="24"/>
          <w:lang w:val="en-US" w:eastAsia="zh-CN" w:bidi="ar"/>
        </w:rPr>
        <w:t xml:space="preserve"> PCA analysis of samples in control and CMF HESACs + NIR groups.</w:t>
      </w:r>
    </w:p>
    <w:p w14:paraId="00951D22">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val="en-US" w:eastAsia="zh-CN" w:bidi="ar"/>
        </w:rPr>
        <w:br w:type="page"/>
      </w:r>
    </w:p>
    <w:p w14:paraId="738B6023">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sz w:val="24"/>
          <w:szCs w:val="24"/>
          <w:lang w:val="en-US" w:eastAsia="zh-CN" w:bidi="ar"/>
        </w:rPr>
        <w:drawing>
          <wp:inline distT="0" distB="0" distL="0" distR="0">
            <wp:extent cx="2931795" cy="5827395"/>
            <wp:effectExtent l="0" t="0" r="4445" b="1905"/>
            <wp:docPr id="7255212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21269" name="图片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935625" cy="5834801"/>
                    </a:xfrm>
                    <a:prstGeom prst="rect">
                      <a:avLst/>
                    </a:prstGeom>
                    <a:noFill/>
                    <a:ln>
                      <a:noFill/>
                    </a:ln>
                  </pic:spPr>
                </pic:pic>
              </a:graphicData>
            </a:graphic>
          </wp:inline>
        </w:drawing>
      </w:r>
    </w:p>
    <w:p w14:paraId="44F42729">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宋体" w:cs="Times New Roman"/>
          <w:sz w:val="24"/>
          <w:szCs w:val="24"/>
          <w:lang w:val="en-US" w:eastAsia="zh-CN" w:bidi="ar"/>
        </w:rPr>
      </w:pPr>
      <w:r>
        <w:rPr>
          <w:rFonts w:hint="default" w:ascii="Times New Roman" w:hAnsi="Times New Roman" w:eastAsia="宋体" w:cs="Times New Roman"/>
          <w:b/>
          <w:bCs/>
          <w:sz w:val="24"/>
          <w:szCs w:val="24"/>
          <w:lang w:val="en-US" w:eastAsia="zh-CN" w:bidi="ar"/>
        </w:rPr>
        <w:t xml:space="preserve">Supplementary Fig. 20. </w:t>
      </w:r>
      <w:r>
        <w:rPr>
          <w:rFonts w:hint="default" w:ascii="Times New Roman" w:hAnsi="Times New Roman" w:eastAsia="宋体" w:cs="Times New Roman"/>
          <w:sz w:val="24"/>
          <w:szCs w:val="24"/>
          <w:lang w:val="en-US" w:eastAsia="zh-CN" w:bidi="ar"/>
        </w:rPr>
        <w:t>Clustering heatmap of DEGs in different treatment groups.</w:t>
      </w:r>
      <w:r>
        <w:rPr>
          <w:rFonts w:hint="default" w:ascii="Times New Roman" w:hAnsi="Times New Roman" w:eastAsia="宋体" w:cs="Times New Roman"/>
          <w:sz w:val="24"/>
          <w:szCs w:val="24"/>
          <w:lang w:val="en-US" w:eastAsia="zh-CN" w:bidi="ar"/>
        </w:rPr>
        <w:br w:type="page"/>
      </w:r>
    </w:p>
    <w:p w14:paraId="658F2C6E">
      <w:pPr>
        <w:keepNext w:val="0"/>
        <w:keepLines w:val="0"/>
        <w:pageBreakBefore w:val="0"/>
        <w:widowControl/>
        <w:kinsoku/>
        <w:wordWrap/>
        <w:overflowPunct/>
        <w:topLinePunct w:val="0"/>
        <w:autoSpaceDN/>
        <w:bidi w:val="0"/>
        <w:adjustRightInd w:val="0"/>
        <w:snapToGrid w:val="0"/>
        <w:spacing w:line="360" w:lineRule="auto"/>
        <w:jc w:val="center"/>
        <w:textAlignment w:val="auto"/>
        <w:rPr>
          <w:rFonts w:hint="default" w:ascii="Times New Roman" w:hAnsi="Times New Roman" w:eastAsia="等线" w:cs="Times New Roman"/>
          <w:kern w:val="2"/>
          <w:sz w:val="24"/>
          <w:szCs w:val="24"/>
          <w:lang w:val="en-US" w:eastAsia="zh-CN"/>
        </w:rPr>
      </w:pPr>
      <w:r>
        <w:rPr>
          <w:rFonts w:hint="default" w:ascii="Times New Roman" w:hAnsi="Times New Roman" w:eastAsia="等线" w:cs="Times New Roman"/>
          <w:kern w:val="2"/>
          <w:sz w:val="24"/>
          <w:szCs w:val="24"/>
          <w:lang w:val="en-US" w:eastAsia="zh-CN"/>
        </w:rPr>
        <w:drawing>
          <wp:inline distT="0" distB="0" distL="0" distR="0">
            <wp:extent cx="6182360" cy="4053205"/>
            <wp:effectExtent l="0" t="0" r="3175" b="5715"/>
            <wp:docPr id="9399936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993646" name="图片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6182360" cy="4053205"/>
                    </a:xfrm>
                    <a:prstGeom prst="rect">
                      <a:avLst/>
                    </a:prstGeom>
                    <a:noFill/>
                    <a:ln>
                      <a:noFill/>
                    </a:ln>
                  </pic:spPr>
                </pic:pic>
              </a:graphicData>
            </a:graphic>
          </wp:inline>
        </w:drawing>
      </w:r>
    </w:p>
    <w:p w14:paraId="40A85E50">
      <w:pPr>
        <w:keepNext w:val="0"/>
        <w:keepLines w:val="0"/>
        <w:pageBreakBefore w:val="0"/>
        <w:widowControl/>
        <w:kinsoku/>
        <w:wordWrap/>
        <w:overflowPunct/>
        <w:topLinePunct w:val="0"/>
        <w:autoSpaceDN/>
        <w:bidi w:val="0"/>
        <w:adjustRightInd w:val="0"/>
        <w:snapToGrid w:val="0"/>
        <w:spacing w:line="360" w:lineRule="auto"/>
        <w:jc w:val="both"/>
        <w:textAlignment w:val="auto"/>
        <w:rPr>
          <w:rFonts w:hint="default" w:ascii="Times New Roman" w:hAnsi="Times New Roman" w:eastAsia="等线" w:cs="Times New Roman"/>
          <w:kern w:val="2"/>
          <w:sz w:val="24"/>
          <w:szCs w:val="24"/>
          <w:lang w:val="en-US" w:eastAsia="zh-CN"/>
        </w:rPr>
      </w:pPr>
      <w:r>
        <w:rPr>
          <w:rFonts w:hint="default" w:ascii="Times New Roman" w:hAnsi="Times New Roman" w:eastAsia="等线" w:cs="Times New Roman"/>
          <w:b/>
          <w:bCs/>
          <w:kern w:val="2"/>
          <w:sz w:val="24"/>
          <w:szCs w:val="24"/>
          <w:lang w:val="en-US" w:eastAsia="zh-CN"/>
        </w:rPr>
        <w:t>Supplementary Fig. 21</w:t>
      </w:r>
      <w:r>
        <w:rPr>
          <w:rFonts w:hint="default" w:ascii="Times New Roman" w:hAnsi="Times New Roman" w:eastAsia="等线" w:cs="Times New Roman"/>
          <w:kern w:val="2"/>
          <w:sz w:val="24"/>
          <w:szCs w:val="24"/>
          <w:lang w:val="en-US" w:eastAsia="zh-CN"/>
        </w:rPr>
        <w:t>. The tissue images of the heart, liver, spleen, lungs, and kidneys of representative mice in each group after the 14 days of treatment, dissected, sliced, and stained with H&amp;E.</w:t>
      </w:r>
    </w:p>
    <w:p w14:paraId="1E5F8A16">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eastAsia="等线" w:cs="Times New Roman"/>
          <w:kern w:val="2"/>
          <w:sz w:val="24"/>
          <w:szCs w:val="24"/>
          <w:lang w:val="en-US" w:eastAsia="zh-CN"/>
        </w:rPr>
      </w:pPr>
      <w:r>
        <w:rPr>
          <w:rFonts w:hint="default" w:ascii="Times New Roman" w:hAnsi="Times New Roman" w:eastAsia="等线" w:cs="Times New Roman"/>
          <w:kern w:val="2"/>
          <w:sz w:val="24"/>
          <w:szCs w:val="24"/>
          <w:lang w:val="en-US" w:eastAsia="zh-CN"/>
        </w:rPr>
        <w:br w:type="page"/>
      </w:r>
    </w:p>
    <w:p w14:paraId="73AE6844">
      <w:pPr>
        <w:spacing w:line="360" w:lineRule="auto"/>
        <w:jc w:val="both"/>
        <w:rPr>
          <w:rFonts w:hint="default"/>
          <w:b/>
          <w:bCs/>
          <w:color w:val="000000" w:themeColor="text1"/>
          <w:sz w:val="28"/>
          <w:szCs w:val="28"/>
          <w:lang w:val="en-US" w:eastAsia="zh-CN"/>
          <w14:textFill>
            <w14:solidFill>
              <w14:schemeClr w14:val="tx1"/>
            </w14:solidFill>
          </w14:textFill>
        </w:rPr>
      </w:pPr>
      <w:r>
        <w:rPr>
          <w:rFonts w:hint="eastAsia"/>
          <w:b/>
          <w:bCs/>
          <w:color w:val="000000" w:themeColor="text1"/>
          <w:sz w:val="28"/>
          <w:szCs w:val="28"/>
          <w:lang w:val="en-US" w:eastAsia="zh-CN"/>
          <w14:textFill>
            <w14:solidFill>
              <w14:schemeClr w14:val="tx1"/>
            </w14:solidFill>
          </w14:textFill>
        </w:rPr>
        <w:t>3</w:t>
      </w:r>
      <w:r>
        <w:rPr>
          <w:b/>
          <w:bCs/>
          <w:color w:val="000000" w:themeColor="text1"/>
          <w:sz w:val="28"/>
          <w:szCs w:val="28"/>
          <w:lang w:val="en-US" w:eastAsia="zh-CN"/>
          <w14:textFill>
            <w14:solidFill>
              <w14:schemeClr w14:val="tx1"/>
            </w14:solidFill>
          </w14:textFill>
        </w:rPr>
        <w:t xml:space="preserve">. Supplementary </w:t>
      </w:r>
      <w:r>
        <w:rPr>
          <w:rFonts w:hint="eastAsia"/>
          <w:b/>
          <w:bCs/>
          <w:color w:val="000000" w:themeColor="text1"/>
          <w:sz w:val="28"/>
          <w:szCs w:val="28"/>
          <w:lang w:val="en-US" w:eastAsia="zh-CN"/>
          <w14:textFill>
            <w14:solidFill>
              <w14:schemeClr w14:val="tx1"/>
            </w14:solidFill>
          </w14:textFill>
        </w:rPr>
        <w:t>Table</w:t>
      </w:r>
      <w:r>
        <w:rPr>
          <w:b/>
          <w:bCs/>
          <w:color w:val="000000" w:themeColor="text1"/>
          <w:sz w:val="28"/>
          <w:szCs w:val="28"/>
          <w:lang w:val="en-US" w:eastAsia="zh-CN"/>
          <w14:textFill>
            <w14:solidFill>
              <w14:schemeClr w14:val="tx1"/>
            </w14:solidFill>
          </w14:textFill>
        </w:rPr>
        <w:t>s</w:t>
      </w:r>
    </w:p>
    <w:p w14:paraId="1637018D">
      <w:pPr>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eastAsia="等线" w:cs="Times New Roman"/>
          <w:kern w:val="2"/>
          <w:sz w:val="24"/>
          <w:szCs w:val="24"/>
          <w:lang w:val="en-US" w:eastAsia="zh-CN"/>
        </w:rPr>
      </w:pPr>
      <w:r>
        <w:rPr>
          <w:rFonts w:eastAsia="宋体"/>
          <w:lang w:val="en-US" w:eastAsia="zh-CN" w:bidi="ar"/>
        </w:rPr>
        <w:t xml:space="preserve">Supplementary </w:t>
      </w:r>
      <w:r>
        <w:rPr>
          <w:rFonts w:hint="eastAsia" w:eastAsia="宋体"/>
          <w:lang w:val="en-US" w:eastAsia="zh-CN" w:bidi="ar"/>
        </w:rPr>
        <w:t>Table</w:t>
      </w:r>
      <w:r>
        <w:rPr>
          <w:rFonts w:eastAsia="宋体"/>
          <w:lang w:val="en-US" w:eastAsia="zh-CN" w:bidi="ar"/>
        </w:rPr>
        <w:t xml:space="preserve"> </w:t>
      </w:r>
      <w:r>
        <w:rPr>
          <w:lang w:val="en-US"/>
        </w:rPr>
        <w:t>1</w:t>
      </w:r>
      <w:r>
        <w:rPr>
          <w:rFonts w:hint="eastAsia" w:eastAsia="宋体"/>
          <w:lang w:val="en-US" w:eastAsia="zh-CN"/>
        </w:rPr>
        <w:t>.</w:t>
      </w:r>
      <w:r>
        <w:rPr>
          <w:rFonts w:hint="default" w:ascii="Times New Roman" w:hAnsi="Times New Roman" w:eastAsia="等线" w:cs="Times New Roman"/>
          <w:kern w:val="2"/>
          <w:sz w:val="24"/>
          <w:szCs w:val="24"/>
          <w:lang w:val="en-US" w:eastAsia="zh-CN"/>
        </w:rPr>
        <w:t xml:space="preserve"> The Ce, Mo, and Fe contents in CM@MIL@PZS-3.2 (15 wt%) catalysts measured by ICP-OES.</w:t>
      </w:r>
    </w:p>
    <w:tbl>
      <w:tblPr>
        <w:tblStyle w:val="61"/>
        <w:tblW w:w="0" w:type="auto"/>
        <w:jc w:val="center"/>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2311"/>
        <w:gridCol w:w="1417"/>
        <w:gridCol w:w="1418"/>
        <w:gridCol w:w="1418"/>
      </w:tblGrid>
      <w:tr w14:paraId="4BB6F461">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510" w:hRule="atLeast"/>
          <w:jc w:val="center"/>
        </w:trPr>
        <w:tc>
          <w:tcPr>
            <w:tcW w:w="2311" w:type="dxa"/>
            <w:tcBorders>
              <w:top w:val="single" w:color="auto" w:sz="8" w:space="0"/>
              <w:left w:val="nil"/>
              <w:bottom w:val="single" w:color="auto" w:sz="8" w:space="0"/>
              <w:right w:val="nil"/>
            </w:tcBorders>
            <w:vAlign w:val="center"/>
          </w:tcPr>
          <w:p w14:paraId="481E4E77">
            <w:pPr>
              <w:spacing w:line="360" w:lineRule="auto"/>
              <w:jc w:val="center"/>
              <w:rPr>
                <w:rFonts w:hint="default"/>
                <w:sz w:val="21"/>
                <w:szCs w:val="21"/>
                <w:lang w:val="en-US"/>
              </w:rPr>
            </w:pPr>
            <w:r>
              <w:rPr>
                <w:rFonts w:hint="default"/>
                <w:sz w:val="21"/>
                <w:szCs w:val="21"/>
                <w:lang w:val="en-US"/>
              </w:rPr>
              <w:t>Name</w:t>
            </w:r>
          </w:p>
        </w:tc>
        <w:tc>
          <w:tcPr>
            <w:tcW w:w="1417" w:type="dxa"/>
            <w:tcBorders>
              <w:top w:val="single" w:color="auto" w:sz="8" w:space="0"/>
              <w:left w:val="nil"/>
              <w:bottom w:val="single" w:color="auto" w:sz="8" w:space="0"/>
              <w:right w:val="nil"/>
            </w:tcBorders>
            <w:vAlign w:val="center"/>
          </w:tcPr>
          <w:p w14:paraId="4DB510AF">
            <w:pPr>
              <w:spacing w:line="360" w:lineRule="auto"/>
              <w:jc w:val="center"/>
              <w:rPr>
                <w:rFonts w:hint="default"/>
                <w:sz w:val="21"/>
                <w:szCs w:val="21"/>
                <w:lang w:val="en-US"/>
              </w:rPr>
            </w:pPr>
            <w:r>
              <w:rPr>
                <w:rFonts w:hint="default"/>
                <w:sz w:val="21"/>
                <w:szCs w:val="21"/>
                <w:lang w:val="en-US" w:eastAsia="zh-CN"/>
              </w:rPr>
              <w:t>w(</w:t>
            </w:r>
            <w:r>
              <w:rPr>
                <w:rFonts w:hint="default"/>
                <w:sz w:val="21"/>
                <w:szCs w:val="21"/>
                <w:lang w:val="en-US"/>
              </w:rPr>
              <w:t>C</w:t>
            </w:r>
            <w:r>
              <w:rPr>
                <w:rFonts w:hint="default"/>
                <w:sz w:val="21"/>
                <w:szCs w:val="21"/>
                <w:lang w:val="en-US" w:eastAsia="zh-CN"/>
              </w:rPr>
              <w:t>e)</w:t>
            </w:r>
          </w:p>
        </w:tc>
        <w:tc>
          <w:tcPr>
            <w:tcW w:w="1418" w:type="dxa"/>
            <w:tcBorders>
              <w:top w:val="single" w:color="auto" w:sz="8" w:space="0"/>
              <w:left w:val="nil"/>
              <w:bottom w:val="single" w:color="auto" w:sz="8" w:space="0"/>
              <w:right w:val="nil"/>
            </w:tcBorders>
            <w:vAlign w:val="center"/>
          </w:tcPr>
          <w:p w14:paraId="364DE12B">
            <w:pPr>
              <w:spacing w:line="360" w:lineRule="auto"/>
              <w:jc w:val="center"/>
              <w:rPr>
                <w:rFonts w:hint="default"/>
                <w:sz w:val="21"/>
                <w:szCs w:val="21"/>
                <w:lang w:val="en-US"/>
              </w:rPr>
            </w:pPr>
            <w:r>
              <w:rPr>
                <w:rFonts w:hint="default"/>
                <w:sz w:val="21"/>
                <w:szCs w:val="21"/>
                <w:lang w:val="en-US" w:eastAsia="zh-CN"/>
              </w:rPr>
              <w:t>w(Mo)</w:t>
            </w:r>
          </w:p>
        </w:tc>
        <w:tc>
          <w:tcPr>
            <w:tcW w:w="1418" w:type="dxa"/>
            <w:tcBorders>
              <w:top w:val="single" w:color="auto" w:sz="8" w:space="0"/>
              <w:left w:val="nil"/>
              <w:bottom w:val="single" w:color="auto" w:sz="8" w:space="0"/>
              <w:right w:val="nil"/>
            </w:tcBorders>
            <w:vAlign w:val="center"/>
          </w:tcPr>
          <w:p w14:paraId="64C3EF0F">
            <w:pPr>
              <w:spacing w:line="360" w:lineRule="auto"/>
              <w:jc w:val="center"/>
              <w:rPr>
                <w:rFonts w:hint="default"/>
                <w:sz w:val="21"/>
                <w:szCs w:val="21"/>
                <w:lang w:val="en-US"/>
              </w:rPr>
            </w:pPr>
            <w:r>
              <w:rPr>
                <w:rFonts w:hint="default"/>
                <w:sz w:val="21"/>
                <w:szCs w:val="21"/>
                <w:lang w:val="en-US" w:eastAsia="zh-CN"/>
              </w:rPr>
              <w:t>w(Fe)</w:t>
            </w:r>
          </w:p>
        </w:tc>
      </w:tr>
      <w:tr w14:paraId="3AAB4769">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510" w:hRule="atLeast"/>
          <w:jc w:val="center"/>
        </w:trPr>
        <w:tc>
          <w:tcPr>
            <w:tcW w:w="2311" w:type="dxa"/>
            <w:tcBorders>
              <w:top w:val="single" w:color="auto" w:sz="8" w:space="0"/>
              <w:left w:val="nil"/>
              <w:bottom w:val="single" w:color="auto" w:sz="8" w:space="0"/>
              <w:right w:val="nil"/>
            </w:tcBorders>
            <w:vAlign w:val="center"/>
          </w:tcPr>
          <w:p w14:paraId="44CA1696">
            <w:pPr>
              <w:spacing w:line="360" w:lineRule="auto"/>
              <w:jc w:val="center"/>
              <w:rPr>
                <w:rFonts w:hint="default"/>
                <w:sz w:val="21"/>
                <w:szCs w:val="21"/>
                <w:lang w:val="en-US"/>
              </w:rPr>
            </w:pPr>
            <w:r>
              <w:rPr>
                <w:rFonts w:hint="default"/>
                <w:sz w:val="21"/>
                <w:szCs w:val="21"/>
                <w:lang w:val="en-US"/>
              </w:rPr>
              <w:t>Cu,Co@MIL(Fe)</w:t>
            </w:r>
          </w:p>
        </w:tc>
        <w:tc>
          <w:tcPr>
            <w:tcW w:w="1417" w:type="dxa"/>
            <w:tcBorders>
              <w:top w:val="single" w:color="auto" w:sz="8" w:space="0"/>
              <w:left w:val="nil"/>
              <w:bottom w:val="single" w:color="auto" w:sz="8" w:space="0"/>
              <w:right w:val="nil"/>
            </w:tcBorders>
            <w:vAlign w:val="center"/>
          </w:tcPr>
          <w:p w14:paraId="17D1612B">
            <w:pPr>
              <w:spacing w:line="360" w:lineRule="auto"/>
              <w:jc w:val="center"/>
              <w:rPr>
                <w:rFonts w:hint="default"/>
                <w:sz w:val="21"/>
                <w:szCs w:val="21"/>
                <w:lang w:val="en-US"/>
              </w:rPr>
            </w:pPr>
            <w:r>
              <w:rPr>
                <w:rFonts w:hint="default"/>
                <w:sz w:val="21"/>
                <w:szCs w:val="21"/>
                <w:lang w:val="en-US" w:eastAsia="zh-CN"/>
              </w:rPr>
              <w:t>22%</w:t>
            </w:r>
          </w:p>
        </w:tc>
        <w:tc>
          <w:tcPr>
            <w:tcW w:w="1418" w:type="dxa"/>
            <w:tcBorders>
              <w:top w:val="single" w:color="auto" w:sz="8" w:space="0"/>
              <w:left w:val="nil"/>
              <w:bottom w:val="single" w:color="auto" w:sz="8" w:space="0"/>
              <w:right w:val="nil"/>
            </w:tcBorders>
            <w:vAlign w:val="center"/>
          </w:tcPr>
          <w:p w14:paraId="56897EF1">
            <w:pPr>
              <w:spacing w:line="360" w:lineRule="auto"/>
              <w:jc w:val="center"/>
              <w:rPr>
                <w:rFonts w:hint="default"/>
                <w:sz w:val="21"/>
                <w:szCs w:val="21"/>
                <w:lang w:val="en-US"/>
              </w:rPr>
            </w:pPr>
            <w:r>
              <w:rPr>
                <w:rFonts w:hint="default"/>
                <w:sz w:val="21"/>
                <w:szCs w:val="21"/>
                <w:lang w:val="en-US" w:eastAsia="zh-CN"/>
              </w:rPr>
              <w:t>17%</w:t>
            </w:r>
          </w:p>
        </w:tc>
        <w:tc>
          <w:tcPr>
            <w:tcW w:w="1418" w:type="dxa"/>
            <w:tcBorders>
              <w:top w:val="single" w:color="auto" w:sz="8" w:space="0"/>
              <w:left w:val="nil"/>
              <w:bottom w:val="single" w:color="auto" w:sz="8" w:space="0"/>
              <w:right w:val="nil"/>
            </w:tcBorders>
            <w:vAlign w:val="center"/>
          </w:tcPr>
          <w:p w14:paraId="73D7D8F6">
            <w:pPr>
              <w:spacing w:line="360" w:lineRule="auto"/>
              <w:jc w:val="center"/>
              <w:rPr>
                <w:rFonts w:hint="default"/>
                <w:sz w:val="21"/>
                <w:szCs w:val="21"/>
                <w:lang w:val="en-US"/>
              </w:rPr>
            </w:pPr>
            <w:r>
              <w:rPr>
                <w:rFonts w:hint="default"/>
                <w:sz w:val="21"/>
                <w:szCs w:val="21"/>
                <w:lang w:val="en-US" w:eastAsia="zh-CN"/>
              </w:rPr>
              <w:t>25%</w:t>
            </w:r>
          </w:p>
        </w:tc>
      </w:tr>
    </w:tbl>
    <w:p w14:paraId="57DF4C4D">
      <w:pPr>
        <w:keepNext w:val="0"/>
        <w:keepLines w:val="0"/>
        <w:pageBreakBefore w:val="0"/>
        <w:widowControl/>
        <w:kinsoku/>
        <w:wordWrap/>
        <w:overflowPunct/>
        <w:topLinePunct w:val="0"/>
        <w:autoSpaceDN/>
        <w:bidi w:val="0"/>
        <w:spacing w:line="360" w:lineRule="auto"/>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rPr>
        <w:br w:type="page"/>
      </w:r>
      <w:r>
        <w:rPr>
          <w:rFonts w:hint="default" w:ascii="Times New Roman" w:hAnsi="Times New Roman" w:eastAsia="宋体" w:cs="Times New Roman"/>
          <w:lang w:val="en-US" w:eastAsia="zh-CN" w:bidi="ar"/>
        </w:rPr>
        <w:t xml:space="preserve">Supplementary Table </w:t>
      </w:r>
      <w:r>
        <w:rPr>
          <w:rFonts w:hint="default" w:ascii="Times New Roman" w:hAnsi="Times New Roman" w:cs="Times New Roman"/>
          <w:b w:val="0"/>
          <w:bCs w:val="0"/>
          <w:sz w:val="24"/>
          <w:szCs w:val="24"/>
        </w:rPr>
        <w:t>2. EXAFS results of Mo. An E0 value of 20000.0 eV was used to calibrate all data with respect to the first inflection point of the absorption K-edge of Mo foil. S</w:t>
      </w:r>
      <w:r>
        <w:rPr>
          <w:rFonts w:hint="default" w:ascii="Times New Roman" w:hAnsi="Times New Roman" w:cs="Times New Roman"/>
          <w:b w:val="0"/>
          <w:bCs w:val="0"/>
          <w:sz w:val="24"/>
          <w:szCs w:val="24"/>
          <w:vertAlign w:val="subscript"/>
        </w:rPr>
        <w:t>0</w:t>
      </w:r>
      <w:r>
        <w:rPr>
          <w:rFonts w:hint="default" w:ascii="Times New Roman" w:hAnsi="Times New Roman" w:eastAsia="宋体" w:cs="Times New Roman"/>
          <w:b w:val="0"/>
          <w:bCs w:val="0"/>
          <w:sz w:val="24"/>
          <w:szCs w:val="24"/>
          <w:vertAlign w:val="superscript"/>
          <w:lang w:val="en-US" w:eastAsia="zh-CN"/>
        </w:rPr>
        <w:t>2</w:t>
      </w:r>
      <w:r>
        <w:rPr>
          <w:rFonts w:hint="default" w:ascii="Times New Roman" w:hAnsi="Times New Roman" w:cs="Times New Roman"/>
          <w:b w:val="0"/>
          <w:bCs w:val="0"/>
          <w:sz w:val="24"/>
          <w:szCs w:val="24"/>
        </w:rPr>
        <w:t xml:space="preserve"> was set to 0.944.</w:t>
      </w:r>
    </w:p>
    <w:tbl>
      <w:tblPr>
        <w:tblStyle w:val="10"/>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90"/>
        <w:gridCol w:w="1337"/>
        <w:gridCol w:w="1466"/>
        <w:gridCol w:w="1630"/>
        <w:gridCol w:w="1333"/>
        <w:gridCol w:w="1641"/>
        <w:gridCol w:w="1153"/>
      </w:tblGrid>
      <w:tr w14:paraId="12A1DC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24" w:type="pct"/>
            <w:tcBorders>
              <w:top w:val="single" w:color="auto" w:sz="12" w:space="0"/>
              <w:bottom w:val="single" w:color="auto" w:sz="12" w:space="0"/>
              <w:right w:val="nil"/>
            </w:tcBorders>
            <w:vAlign w:val="center"/>
          </w:tcPr>
          <w:p w14:paraId="22EB94EA">
            <w:pPr>
              <w:spacing w:line="360" w:lineRule="auto"/>
              <w:jc w:val="center"/>
              <w:rPr>
                <w:rFonts w:hint="default" w:ascii="Times New Roman" w:hAnsi="Times New Roman" w:cs="Times New Roman"/>
                <w:sz w:val="21"/>
                <w:szCs w:val="21"/>
                <w:lang w:val="en-US"/>
              </w:rPr>
            </w:pPr>
            <w:r>
              <w:rPr>
                <w:rFonts w:hint="default" w:ascii="Times New Roman" w:hAnsi="Times New Roman" w:cs="Times New Roman"/>
                <w:sz w:val="21"/>
                <w:szCs w:val="21"/>
                <w:lang w:val="en-US"/>
              </w:rPr>
              <w:t>Sample</w:t>
            </w:r>
          </w:p>
        </w:tc>
        <w:tc>
          <w:tcPr>
            <w:tcW w:w="652" w:type="pct"/>
            <w:tcBorders>
              <w:top w:val="single" w:color="auto" w:sz="12" w:space="0"/>
              <w:left w:val="nil"/>
              <w:bottom w:val="single" w:color="auto" w:sz="12" w:space="0"/>
              <w:right w:val="nil"/>
            </w:tcBorders>
            <w:vAlign w:val="center"/>
          </w:tcPr>
          <w:p w14:paraId="42BC888F">
            <w:pPr>
              <w:spacing w:line="360" w:lineRule="auto"/>
              <w:jc w:val="center"/>
              <w:rPr>
                <w:rFonts w:hint="default" w:ascii="Times New Roman" w:hAnsi="Times New Roman" w:cs="Times New Roman"/>
                <w:sz w:val="21"/>
                <w:szCs w:val="21"/>
                <w:lang w:val="en-US"/>
              </w:rPr>
            </w:pPr>
            <w:r>
              <w:rPr>
                <w:rFonts w:hint="default" w:ascii="Times New Roman" w:hAnsi="Times New Roman" w:cs="Times New Roman"/>
                <w:sz w:val="21"/>
                <w:szCs w:val="21"/>
                <w:lang w:val="en-US"/>
              </w:rPr>
              <w:t>Path</w:t>
            </w:r>
          </w:p>
        </w:tc>
        <w:tc>
          <w:tcPr>
            <w:tcW w:w="715" w:type="pct"/>
            <w:tcBorders>
              <w:top w:val="single" w:color="auto" w:sz="12" w:space="0"/>
              <w:left w:val="nil"/>
              <w:bottom w:val="single" w:color="auto" w:sz="12" w:space="0"/>
              <w:right w:val="nil"/>
            </w:tcBorders>
            <w:vAlign w:val="center"/>
          </w:tcPr>
          <w:p w14:paraId="55CFAE97">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rPr>
              <w:t>C.N.</w:t>
            </w:r>
            <w:r>
              <w:rPr>
                <w:rFonts w:hint="default" w:ascii="Times New Roman" w:hAnsi="Times New Roman" w:cs="Times New Roman"/>
                <w:sz w:val="21"/>
                <w:szCs w:val="21"/>
                <w:vertAlign w:val="superscript"/>
                <w:lang w:val="en-US" w:eastAsia="zh-CN"/>
              </w:rPr>
              <w:t>[b]</w:t>
            </w:r>
          </w:p>
        </w:tc>
        <w:tc>
          <w:tcPr>
            <w:tcW w:w="795" w:type="pct"/>
            <w:tcBorders>
              <w:top w:val="single" w:color="auto" w:sz="12" w:space="0"/>
              <w:left w:val="nil"/>
              <w:bottom w:val="single" w:color="auto" w:sz="12" w:space="0"/>
              <w:right w:val="nil"/>
            </w:tcBorders>
            <w:vAlign w:val="center"/>
          </w:tcPr>
          <w:p w14:paraId="1B69AC20">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rPr>
              <w:t>R (Å)</w:t>
            </w:r>
            <w:r>
              <w:rPr>
                <w:rFonts w:hint="default" w:ascii="Times New Roman" w:hAnsi="Times New Roman" w:cs="Times New Roman"/>
                <w:sz w:val="21"/>
                <w:szCs w:val="21"/>
                <w:vertAlign w:val="superscript"/>
                <w:lang w:val="en-US" w:eastAsia="zh-CN"/>
              </w:rPr>
              <w:t>[c]</w:t>
            </w:r>
          </w:p>
        </w:tc>
        <w:tc>
          <w:tcPr>
            <w:tcW w:w="650" w:type="pct"/>
            <w:tcBorders>
              <w:top w:val="single" w:color="auto" w:sz="12" w:space="0"/>
              <w:left w:val="nil"/>
              <w:bottom w:val="single" w:color="auto" w:sz="12" w:space="0"/>
              <w:right w:val="nil"/>
            </w:tcBorders>
            <w:vAlign w:val="center"/>
          </w:tcPr>
          <w:p w14:paraId="3FFD163A">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rPr>
              <w:t>σ</w:t>
            </w:r>
            <w:r>
              <w:rPr>
                <w:rFonts w:hint="eastAsia" w:eastAsia="宋体" w:cs="Times New Roman"/>
                <w:sz w:val="21"/>
                <w:szCs w:val="21"/>
                <w:vertAlign w:val="superscript"/>
                <w:lang w:val="en-US" w:eastAsia="zh-CN"/>
              </w:rPr>
              <w:t>2</w:t>
            </w:r>
            <w:r>
              <w:rPr>
                <w:rFonts w:hint="default" w:ascii="Times New Roman" w:hAnsi="Times New Roman" w:cs="Times New Roman"/>
                <w:sz w:val="21"/>
                <w:szCs w:val="21"/>
                <w:lang w:val="en-US"/>
              </w:rPr>
              <w:t>×10</w:t>
            </w:r>
            <w:r>
              <w:rPr>
                <w:rFonts w:hint="default" w:ascii="Times New Roman" w:hAnsi="Times New Roman" w:cs="Times New Roman"/>
                <w:sz w:val="21"/>
                <w:szCs w:val="21"/>
                <w:vertAlign w:val="superscript"/>
                <w:lang w:val="en-US" w:eastAsia="zh-CN"/>
              </w:rPr>
              <w:t>3</w:t>
            </w:r>
            <w:r>
              <w:rPr>
                <w:rFonts w:hint="default" w:ascii="Times New Roman" w:hAnsi="Times New Roman" w:cs="Times New Roman"/>
                <w:sz w:val="21"/>
                <w:szCs w:val="21"/>
                <w:lang w:val="en-US"/>
              </w:rPr>
              <w:t xml:space="preserve"> (Å</w:t>
            </w:r>
            <w:r>
              <w:rPr>
                <w:rFonts w:hint="default" w:ascii="Times New Roman" w:hAnsi="Times New Roman" w:cs="Times New Roman"/>
                <w:sz w:val="21"/>
                <w:szCs w:val="21"/>
                <w:vertAlign w:val="superscript"/>
                <w:lang w:val="en-US"/>
              </w:rPr>
              <w:t>2</w:t>
            </w:r>
            <w:r>
              <w:rPr>
                <w:rFonts w:hint="default" w:ascii="Times New Roman" w:hAnsi="Times New Roman" w:cs="Times New Roman"/>
                <w:sz w:val="21"/>
                <w:szCs w:val="21"/>
                <w:lang w:val="en-US"/>
              </w:rPr>
              <w:t>)</w:t>
            </w:r>
            <w:r>
              <w:rPr>
                <w:rFonts w:hint="default" w:ascii="Times New Roman" w:hAnsi="Times New Roman" w:cs="Times New Roman"/>
                <w:sz w:val="21"/>
                <w:szCs w:val="21"/>
                <w:vertAlign w:val="superscript"/>
                <w:lang w:val="en-US" w:eastAsia="zh-CN"/>
              </w:rPr>
              <w:t>[d]</w:t>
            </w:r>
          </w:p>
        </w:tc>
        <w:tc>
          <w:tcPr>
            <w:tcW w:w="800" w:type="pct"/>
            <w:tcBorders>
              <w:top w:val="single" w:color="auto" w:sz="12" w:space="0"/>
              <w:left w:val="nil"/>
              <w:bottom w:val="single" w:color="auto" w:sz="12" w:space="0"/>
              <w:right w:val="nil"/>
            </w:tcBorders>
            <w:vAlign w:val="center"/>
          </w:tcPr>
          <w:p w14:paraId="6B4A774D">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rPr>
              <w:t>ΔE</w:t>
            </w:r>
            <w:r>
              <w:rPr>
                <w:rFonts w:hint="default" w:ascii="Times New Roman" w:hAnsi="Times New Roman" w:cs="Times New Roman"/>
                <w:sz w:val="21"/>
                <w:szCs w:val="21"/>
                <w:vertAlign w:val="subscript"/>
                <w:lang w:val="en-US" w:eastAsia="zh-CN"/>
              </w:rPr>
              <w:t>0</w:t>
            </w:r>
            <w:r>
              <w:rPr>
                <w:rFonts w:hint="default" w:ascii="Times New Roman" w:hAnsi="Times New Roman" w:cs="Times New Roman"/>
                <w:sz w:val="21"/>
                <w:szCs w:val="21"/>
                <w:lang w:val="en-US"/>
              </w:rPr>
              <w:t xml:space="preserve"> (eV)</w:t>
            </w:r>
            <w:r>
              <w:rPr>
                <w:rFonts w:hint="default" w:ascii="Times New Roman" w:hAnsi="Times New Roman" w:cs="Times New Roman"/>
                <w:sz w:val="21"/>
                <w:szCs w:val="21"/>
                <w:vertAlign w:val="superscript"/>
                <w:lang w:val="en-US" w:eastAsia="zh-CN"/>
              </w:rPr>
              <w:t>[e]</w:t>
            </w:r>
          </w:p>
        </w:tc>
        <w:tc>
          <w:tcPr>
            <w:tcW w:w="562" w:type="pct"/>
            <w:tcBorders>
              <w:top w:val="single" w:color="auto" w:sz="12" w:space="0"/>
              <w:left w:val="nil"/>
              <w:bottom w:val="single" w:color="auto" w:sz="12" w:space="0"/>
            </w:tcBorders>
            <w:vAlign w:val="center"/>
          </w:tcPr>
          <w:p w14:paraId="22CFA2B6">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rPr>
              <w:t>R-factor</w:t>
            </w:r>
            <w:r>
              <w:rPr>
                <w:rFonts w:hint="default" w:ascii="Times New Roman" w:hAnsi="Times New Roman" w:cs="Times New Roman"/>
                <w:sz w:val="21"/>
                <w:szCs w:val="21"/>
                <w:vertAlign w:val="superscript"/>
                <w:lang w:val="en-US" w:eastAsia="zh-CN"/>
              </w:rPr>
              <w:t>[f]</w:t>
            </w:r>
          </w:p>
        </w:tc>
      </w:tr>
      <w:tr w14:paraId="13BCCE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24" w:type="pct"/>
            <w:vMerge w:val="restart"/>
            <w:tcBorders>
              <w:top w:val="single" w:color="auto" w:sz="12" w:space="0"/>
              <w:right w:val="nil"/>
            </w:tcBorders>
            <w:vAlign w:val="center"/>
          </w:tcPr>
          <w:p w14:paraId="6698305F">
            <w:pPr>
              <w:spacing w:line="360" w:lineRule="auto"/>
              <w:jc w:val="center"/>
              <w:rPr>
                <w:rFonts w:hint="default" w:ascii="Times New Roman" w:hAnsi="Times New Roman" w:cs="Times New Roman"/>
                <w:sz w:val="21"/>
                <w:szCs w:val="21"/>
                <w:lang w:val="en-US"/>
              </w:rPr>
            </w:pPr>
            <w:r>
              <w:rPr>
                <w:rFonts w:hint="default" w:ascii="Times New Roman" w:hAnsi="Times New Roman" w:cs="Times New Roman"/>
                <w:sz w:val="21"/>
                <w:szCs w:val="21"/>
                <w:lang w:val="en-US" w:eastAsia="zh-CN"/>
              </w:rPr>
              <w:t>Mo</w:t>
            </w:r>
            <w:r>
              <w:rPr>
                <w:rFonts w:hint="default" w:ascii="Times New Roman" w:hAnsi="Times New Roman" w:cs="Times New Roman"/>
                <w:sz w:val="21"/>
                <w:szCs w:val="21"/>
                <w:lang w:val="en-US"/>
              </w:rPr>
              <w:t xml:space="preserve"> Foil</w:t>
            </w:r>
          </w:p>
        </w:tc>
        <w:tc>
          <w:tcPr>
            <w:tcW w:w="652" w:type="pct"/>
            <w:tcBorders>
              <w:top w:val="single" w:color="auto" w:sz="12" w:space="0"/>
              <w:left w:val="nil"/>
              <w:bottom w:val="nil"/>
              <w:right w:val="nil"/>
            </w:tcBorders>
            <w:vAlign w:val="center"/>
          </w:tcPr>
          <w:p w14:paraId="77848A18">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Mo-Mo</w:t>
            </w:r>
          </w:p>
        </w:tc>
        <w:tc>
          <w:tcPr>
            <w:tcW w:w="715" w:type="pct"/>
            <w:tcBorders>
              <w:top w:val="single" w:color="auto" w:sz="12" w:space="0"/>
              <w:left w:val="nil"/>
              <w:bottom w:val="nil"/>
              <w:right w:val="nil"/>
            </w:tcBorders>
            <w:vAlign w:val="center"/>
          </w:tcPr>
          <w:p w14:paraId="32B2B5E7">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8*</w:t>
            </w:r>
            <w:r>
              <w:rPr>
                <w:rFonts w:hint="default" w:ascii="Times New Roman" w:hAnsi="Times New Roman" w:cs="Times New Roman"/>
                <w:sz w:val="21"/>
                <w:szCs w:val="21"/>
                <w:vertAlign w:val="superscript"/>
                <w:lang w:val="en-US" w:eastAsia="zh-CN"/>
              </w:rPr>
              <w:t>[a]</w:t>
            </w:r>
          </w:p>
        </w:tc>
        <w:tc>
          <w:tcPr>
            <w:tcW w:w="795" w:type="pct"/>
            <w:tcBorders>
              <w:top w:val="single" w:color="auto" w:sz="12" w:space="0"/>
              <w:left w:val="nil"/>
              <w:bottom w:val="nil"/>
              <w:right w:val="nil"/>
            </w:tcBorders>
            <w:vAlign w:val="center"/>
          </w:tcPr>
          <w:p w14:paraId="0CF92A13">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2.74</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0.02</w:t>
            </w:r>
          </w:p>
        </w:tc>
        <w:tc>
          <w:tcPr>
            <w:tcW w:w="650" w:type="pct"/>
            <w:tcBorders>
              <w:top w:val="single" w:color="auto" w:sz="12" w:space="0"/>
              <w:left w:val="nil"/>
              <w:bottom w:val="nil"/>
              <w:right w:val="nil"/>
            </w:tcBorders>
            <w:vAlign w:val="center"/>
          </w:tcPr>
          <w:p w14:paraId="4DCFD57F">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3.8</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0.4</w:t>
            </w:r>
          </w:p>
        </w:tc>
        <w:tc>
          <w:tcPr>
            <w:tcW w:w="800" w:type="pct"/>
            <w:vMerge w:val="restart"/>
            <w:tcBorders>
              <w:top w:val="single" w:color="auto" w:sz="12" w:space="0"/>
              <w:left w:val="nil"/>
              <w:right w:val="nil"/>
            </w:tcBorders>
            <w:vAlign w:val="center"/>
          </w:tcPr>
          <w:p w14:paraId="393E44A0">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-5.4</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0.8</w:t>
            </w:r>
          </w:p>
        </w:tc>
        <w:tc>
          <w:tcPr>
            <w:tcW w:w="562" w:type="pct"/>
            <w:vMerge w:val="restart"/>
            <w:tcBorders>
              <w:top w:val="single" w:color="auto" w:sz="12" w:space="0"/>
              <w:left w:val="nil"/>
            </w:tcBorders>
            <w:vAlign w:val="center"/>
          </w:tcPr>
          <w:p w14:paraId="24DB7FA6">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0.005</w:t>
            </w:r>
          </w:p>
        </w:tc>
      </w:tr>
      <w:tr w14:paraId="26268B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24" w:type="pct"/>
            <w:vMerge w:val="continue"/>
            <w:tcBorders>
              <w:bottom w:val="nil"/>
              <w:right w:val="nil"/>
            </w:tcBorders>
            <w:vAlign w:val="center"/>
          </w:tcPr>
          <w:p w14:paraId="4D54BEF1">
            <w:pPr>
              <w:spacing w:line="360" w:lineRule="auto"/>
              <w:jc w:val="center"/>
              <w:rPr>
                <w:rFonts w:hint="default" w:ascii="Times New Roman" w:hAnsi="Times New Roman" w:cs="Times New Roman"/>
                <w:sz w:val="21"/>
                <w:szCs w:val="21"/>
                <w:lang w:val="en-US" w:eastAsia="zh-CN"/>
              </w:rPr>
            </w:pPr>
          </w:p>
        </w:tc>
        <w:tc>
          <w:tcPr>
            <w:tcW w:w="652" w:type="pct"/>
            <w:tcBorders>
              <w:top w:val="nil"/>
              <w:left w:val="nil"/>
              <w:bottom w:val="nil"/>
              <w:right w:val="nil"/>
            </w:tcBorders>
            <w:vAlign w:val="center"/>
          </w:tcPr>
          <w:p w14:paraId="472E14EB">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Mo-Mo</w:t>
            </w:r>
          </w:p>
        </w:tc>
        <w:tc>
          <w:tcPr>
            <w:tcW w:w="715" w:type="pct"/>
            <w:tcBorders>
              <w:top w:val="nil"/>
              <w:left w:val="nil"/>
              <w:bottom w:val="nil"/>
              <w:right w:val="nil"/>
            </w:tcBorders>
            <w:vAlign w:val="center"/>
          </w:tcPr>
          <w:p w14:paraId="4DE54E64">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6*</w:t>
            </w:r>
            <w:r>
              <w:rPr>
                <w:rFonts w:hint="default" w:ascii="Times New Roman" w:hAnsi="Times New Roman" w:cs="Times New Roman"/>
                <w:sz w:val="21"/>
                <w:szCs w:val="21"/>
                <w:vertAlign w:val="superscript"/>
                <w:lang w:val="en-US" w:eastAsia="zh-CN"/>
              </w:rPr>
              <w:t>[a]</w:t>
            </w:r>
          </w:p>
        </w:tc>
        <w:tc>
          <w:tcPr>
            <w:tcW w:w="795" w:type="pct"/>
            <w:tcBorders>
              <w:top w:val="nil"/>
              <w:left w:val="nil"/>
              <w:bottom w:val="nil"/>
              <w:right w:val="nil"/>
            </w:tcBorders>
            <w:vAlign w:val="center"/>
          </w:tcPr>
          <w:p w14:paraId="70FD360E">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3.17</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0.02</w:t>
            </w:r>
          </w:p>
        </w:tc>
        <w:tc>
          <w:tcPr>
            <w:tcW w:w="650" w:type="pct"/>
            <w:tcBorders>
              <w:top w:val="nil"/>
              <w:left w:val="nil"/>
              <w:bottom w:val="nil"/>
              <w:right w:val="nil"/>
            </w:tcBorders>
            <w:vAlign w:val="center"/>
          </w:tcPr>
          <w:p w14:paraId="3D0FAE39">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3.7</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0.5</w:t>
            </w:r>
          </w:p>
        </w:tc>
        <w:tc>
          <w:tcPr>
            <w:tcW w:w="800" w:type="pct"/>
            <w:vMerge w:val="continue"/>
            <w:tcBorders>
              <w:left w:val="nil"/>
              <w:bottom w:val="nil"/>
              <w:right w:val="nil"/>
            </w:tcBorders>
            <w:vAlign w:val="center"/>
          </w:tcPr>
          <w:p w14:paraId="1D9B935B">
            <w:pPr>
              <w:spacing w:line="360" w:lineRule="auto"/>
              <w:jc w:val="center"/>
              <w:rPr>
                <w:rFonts w:hint="default" w:ascii="Times New Roman" w:hAnsi="Times New Roman" w:cs="Times New Roman"/>
                <w:sz w:val="21"/>
                <w:szCs w:val="21"/>
                <w:lang w:val="en-US" w:eastAsia="zh-CN"/>
              </w:rPr>
            </w:pPr>
          </w:p>
        </w:tc>
        <w:tc>
          <w:tcPr>
            <w:tcW w:w="562" w:type="pct"/>
            <w:vMerge w:val="continue"/>
            <w:tcBorders>
              <w:left w:val="nil"/>
              <w:bottom w:val="nil"/>
            </w:tcBorders>
            <w:vAlign w:val="center"/>
          </w:tcPr>
          <w:p w14:paraId="7470CAF2">
            <w:pPr>
              <w:spacing w:line="360" w:lineRule="auto"/>
              <w:jc w:val="center"/>
              <w:rPr>
                <w:rFonts w:hint="default" w:ascii="Times New Roman" w:hAnsi="Times New Roman" w:cs="Times New Roman"/>
                <w:sz w:val="21"/>
                <w:szCs w:val="21"/>
                <w:lang w:val="en-US" w:eastAsia="zh-CN"/>
              </w:rPr>
            </w:pPr>
          </w:p>
        </w:tc>
      </w:tr>
      <w:tr w14:paraId="2AAF7F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24" w:type="pct"/>
            <w:vMerge w:val="restart"/>
            <w:tcBorders>
              <w:top w:val="nil"/>
              <w:right w:val="nil"/>
            </w:tcBorders>
            <w:vAlign w:val="center"/>
          </w:tcPr>
          <w:p w14:paraId="2FBA8CF2">
            <w:pPr>
              <w:spacing w:line="360" w:lineRule="auto"/>
              <w:jc w:val="center"/>
              <w:rPr>
                <w:rFonts w:hint="default" w:ascii="Times New Roman" w:hAnsi="Times New Roman" w:cs="Times New Roman"/>
                <w:sz w:val="21"/>
                <w:szCs w:val="21"/>
                <w:lang w:val="en-US" w:eastAsia="zh-CN"/>
              </w:rPr>
            </w:pPr>
            <w:bookmarkStart w:id="20" w:name="_Hlk222862031"/>
            <w:r>
              <w:rPr>
                <w:rFonts w:hint="default" w:ascii="Times New Roman" w:hAnsi="Times New Roman" w:cs="Times New Roman"/>
                <w:sz w:val="21"/>
                <w:szCs w:val="21"/>
                <w:lang w:val="en-US" w:eastAsia="zh-CN"/>
              </w:rPr>
              <w:t>CMF HESACs</w:t>
            </w:r>
          </w:p>
        </w:tc>
        <w:tc>
          <w:tcPr>
            <w:tcW w:w="652" w:type="pct"/>
            <w:tcBorders>
              <w:top w:val="nil"/>
              <w:left w:val="nil"/>
              <w:bottom w:val="nil"/>
              <w:right w:val="nil"/>
            </w:tcBorders>
            <w:vAlign w:val="center"/>
          </w:tcPr>
          <w:p w14:paraId="22BDEB72">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Mo</w:t>
            </w:r>
            <w:r>
              <w:rPr>
                <w:rFonts w:hint="default" w:ascii="Times New Roman" w:hAnsi="Times New Roman" w:cs="Times New Roman"/>
                <w:sz w:val="21"/>
                <w:szCs w:val="21"/>
                <w:lang w:val="en-US"/>
              </w:rPr>
              <w:t>-O</w:t>
            </w:r>
            <w:r>
              <w:rPr>
                <w:rFonts w:hint="default" w:ascii="Times New Roman" w:hAnsi="Times New Roman" w:cs="Times New Roman"/>
                <w:sz w:val="21"/>
                <w:szCs w:val="21"/>
                <w:lang w:val="en-US" w:eastAsia="zh-CN"/>
              </w:rPr>
              <w:t>1</w:t>
            </w:r>
          </w:p>
        </w:tc>
        <w:tc>
          <w:tcPr>
            <w:tcW w:w="715" w:type="pct"/>
            <w:tcBorders>
              <w:top w:val="nil"/>
              <w:left w:val="nil"/>
              <w:bottom w:val="nil"/>
              <w:right w:val="nil"/>
            </w:tcBorders>
            <w:vAlign w:val="center"/>
          </w:tcPr>
          <w:p w14:paraId="6AFE2B7C">
            <w:pPr>
              <w:spacing w:line="360" w:lineRule="auto"/>
              <w:jc w:val="center"/>
              <w:rPr>
                <w:rFonts w:hint="default" w:ascii="Times New Roman" w:hAnsi="Times New Roman" w:cs="Times New Roman"/>
                <w:sz w:val="21"/>
                <w:szCs w:val="21"/>
                <w:lang w:val="en-US"/>
              </w:rPr>
            </w:pPr>
            <w:r>
              <w:rPr>
                <w:rFonts w:hint="default" w:ascii="Times New Roman" w:hAnsi="Times New Roman" w:cs="Times New Roman"/>
                <w:sz w:val="21"/>
                <w:szCs w:val="21"/>
                <w:lang w:val="en-US" w:eastAsia="zh-CN"/>
              </w:rPr>
              <w:t>3.2</w:t>
            </w:r>
            <w:r>
              <w:rPr>
                <w:rFonts w:hint="default" w:ascii="Times New Roman" w:hAnsi="Times New Roman" w:cs="Times New Roman"/>
                <w:sz w:val="21"/>
                <w:szCs w:val="21"/>
                <w:lang w:val="en-US"/>
              </w:rPr>
              <w:t>±0.4</w:t>
            </w:r>
          </w:p>
        </w:tc>
        <w:tc>
          <w:tcPr>
            <w:tcW w:w="795" w:type="pct"/>
            <w:tcBorders>
              <w:top w:val="nil"/>
              <w:left w:val="nil"/>
              <w:bottom w:val="nil"/>
              <w:right w:val="nil"/>
            </w:tcBorders>
            <w:vAlign w:val="center"/>
          </w:tcPr>
          <w:p w14:paraId="33D7214B">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1.66</w:t>
            </w:r>
            <w:r>
              <w:rPr>
                <w:rFonts w:hint="default" w:ascii="Times New Roman" w:hAnsi="Times New Roman" w:cs="Times New Roman"/>
                <w:sz w:val="21"/>
                <w:szCs w:val="21"/>
                <w:lang w:val="en-US"/>
              </w:rPr>
              <w:t>±0.0</w:t>
            </w:r>
            <w:r>
              <w:rPr>
                <w:rFonts w:hint="default" w:ascii="Times New Roman" w:hAnsi="Times New Roman" w:cs="Times New Roman"/>
                <w:sz w:val="21"/>
                <w:szCs w:val="21"/>
                <w:lang w:val="en-US" w:eastAsia="zh-CN"/>
              </w:rPr>
              <w:t>3</w:t>
            </w:r>
          </w:p>
        </w:tc>
        <w:tc>
          <w:tcPr>
            <w:tcW w:w="650" w:type="pct"/>
            <w:vMerge w:val="restart"/>
            <w:tcBorders>
              <w:top w:val="nil"/>
              <w:left w:val="nil"/>
              <w:bottom w:val="nil"/>
              <w:right w:val="nil"/>
            </w:tcBorders>
            <w:vAlign w:val="center"/>
          </w:tcPr>
          <w:p w14:paraId="5F250DCA">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rPr>
              <w:t>4.2±</w:t>
            </w:r>
            <w:r>
              <w:rPr>
                <w:rFonts w:hint="default" w:ascii="Times New Roman" w:hAnsi="Times New Roman" w:cs="Times New Roman"/>
                <w:sz w:val="21"/>
                <w:szCs w:val="21"/>
                <w:lang w:val="en-US" w:eastAsia="zh-CN"/>
              </w:rPr>
              <w:t>1</w:t>
            </w:r>
            <w:r>
              <w:rPr>
                <w:rFonts w:hint="default" w:ascii="Times New Roman" w:hAnsi="Times New Roman" w:cs="Times New Roman"/>
                <w:sz w:val="21"/>
                <w:szCs w:val="21"/>
                <w:lang w:val="en-US"/>
              </w:rPr>
              <w:t>.5</w:t>
            </w:r>
          </w:p>
        </w:tc>
        <w:tc>
          <w:tcPr>
            <w:tcW w:w="800" w:type="pct"/>
            <w:vMerge w:val="restart"/>
            <w:tcBorders>
              <w:top w:val="nil"/>
              <w:left w:val="nil"/>
              <w:right w:val="nil"/>
            </w:tcBorders>
            <w:vAlign w:val="center"/>
          </w:tcPr>
          <w:p w14:paraId="2B8EEC87">
            <w:pPr>
              <w:spacing w:line="360" w:lineRule="auto"/>
              <w:jc w:val="center"/>
              <w:rPr>
                <w:rFonts w:hint="default" w:ascii="Times New Roman" w:hAnsi="Times New Roman" w:cs="Times New Roman"/>
                <w:sz w:val="21"/>
                <w:szCs w:val="21"/>
                <w:lang w:val="en-US"/>
              </w:rPr>
            </w:pPr>
            <w:bookmarkStart w:id="21" w:name="OLE_LINK13"/>
            <w:r>
              <w:rPr>
                <w:rFonts w:hint="default" w:ascii="Times New Roman" w:hAnsi="Times New Roman" w:cs="Times New Roman"/>
                <w:sz w:val="21"/>
                <w:szCs w:val="21"/>
                <w:lang w:val="en-US" w:eastAsia="zh-CN"/>
              </w:rPr>
              <w:t>9.7</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4</w:t>
            </w:r>
            <w:r>
              <w:rPr>
                <w:rFonts w:hint="default" w:ascii="Times New Roman" w:hAnsi="Times New Roman" w:cs="Times New Roman"/>
                <w:sz w:val="21"/>
                <w:szCs w:val="21"/>
                <w:lang w:val="en-US"/>
              </w:rPr>
              <w:t>.1</w:t>
            </w:r>
            <w:bookmarkEnd w:id="21"/>
          </w:p>
        </w:tc>
        <w:tc>
          <w:tcPr>
            <w:tcW w:w="562" w:type="pct"/>
            <w:vMerge w:val="restart"/>
            <w:tcBorders>
              <w:top w:val="nil"/>
              <w:left w:val="nil"/>
            </w:tcBorders>
            <w:vAlign w:val="center"/>
          </w:tcPr>
          <w:p w14:paraId="2514D155">
            <w:pPr>
              <w:spacing w:line="360" w:lineRule="auto"/>
              <w:jc w:val="center"/>
              <w:rPr>
                <w:rFonts w:hint="default" w:ascii="Times New Roman" w:hAnsi="Times New Roman" w:cs="Times New Roman"/>
                <w:sz w:val="21"/>
                <w:szCs w:val="21"/>
                <w:lang w:val="en-US"/>
              </w:rPr>
            </w:pPr>
            <w:r>
              <w:rPr>
                <w:rFonts w:hint="default" w:ascii="Times New Roman" w:hAnsi="Times New Roman" w:cs="Times New Roman"/>
                <w:sz w:val="21"/>
                <w:szCs w:val="21"/>
                <w:lang w:val="en-US"/>
              </w:rPr>
              <w:t>0.019</w:t>
            </w:r>
          </w:p>
        </w:tc>
      </w:tr>
      <w:bookmarkEnd w:id="20"/>
      <w:tr w14:paraId="71AB4D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24" w:type="pct"/>
            <w:vMerge w:val="continue"/>
            <w:tcBorders>
              <w:right w:val="nil"/>
            </w:tcBorders>
            <w:vAlign w:val="center"/>
          </w:tcPr>
          <w:p w14:paraId="29A7E3AA">
            <w:pPr>
              <w:spacing w:line="360" w:lineRule="auto"/>
              <w:jc w:val="center"/>
              <w:rPr>
                <w:rFonts w:hint="default" w:ascii="Times New Roman" w:hAnsi="Times New Roman" w:cs="Times New Roman"/>
                <w:sz w:val="21"/>
                <w:szCs w:val="21"/>
                <w:lang w:val="en-US"/>
              </w:rPr>
            </w:pPr>
          </w:p>
        </w:tc>
        <w:tc>
          <w:tcPr>
            <w:tcW w:w="652" w:type="pct"/>
            <w:tcBorders>
              <w:top w:val="nil"/>
              <w:left w:val="nil"/>
              <w:bottom w:val="nil"/>
              <w:right w:val="nil"/>
            </w:tcBorders>
            <w:vAlign w:val="center"/>
          </w:tcPr>
          <w:p w14:paraId="28D5C13C">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Mo-O2</w:t>
            </w:r>
          </w:p>
        </w:tc>
        <w:tc>
          <w:tcPr>
            <w:tcW w:w="715" w:type="pct"/>
            <w:tcBorders>
              <w:top w:val="nil"/>
              <w:left w:val="nil"/>
              <w:bottom w:val="nil"/>
              <w:right w:val="nil"/>
            </w:tcBorders>
            <w:vAlign w:val="center"/>
          </w:tcPr>
          <w:p w14:paraId="2B62D16C">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1.6</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0.5</w:t>
            </w:r>
          </w:p>
        </w:tc>
        <w:tc>
          <w:tcPr>
            <w:tcW w:w="795" w:type="pct"/>
            <w:tcBorders>
              <w:top w:val="nil"/>
              <w:left w:val="nil"/>
              <w:bottom w:val="nil"/>
              <w:right w:val="nil"/>
            </w:tcBorders>
            <w:vAlign w:val="center"/>
          </w:tcPr>
          <w:p w14:paraId="0908DFAC">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1.86</w:t>
            </w:r>
            <w:r>
              <w:rPr>
                <w:rFonts w:hint="default" w:ascii="Times New Roman" w:hAnsi="Times New Roman" w:cs="Times New Roman"/>
                <w:sz w:val="21"/>
                <w:szCs w:val="21"/>
                <w:lang w:val="en-US"/>
              </w:rPr>
              <w:t>±0.0</w:t>
            </w:r>
            <w:r>
              <w:rPr>
                <w:rFonts w:hint="default" w:ascii="Times New Roman" w:hAnsi="Times New Roman" w:cs="Times New Roman"/>
                <w:sz w:val="21"/>
                <w:szCs w:val="21"/>
                <w:lang w:val="en-US" w:eastAsia="zh-CN"/>
              </w:rPr>
              <w:t>4</w:t>
            </w:r>
          </w:p>
        </w:tc>
        <w:tc>
          <w:tcPr>
            <w:tcW w:w="650" w:type="pct"/>
            <w:vMerge w:val="continue"/>
            <w:tcBorders>
              <w:top w:val="nil"/>
              <w:left w:val="nil"/>
              <w:bottom w:val="nil"/>
              <w:right w:val="nil"/>
            </w:tcBorders>
            <w:vAlign w:val="center"/>
          </w:tcPr>
          <w:p w14:paraId="34798F3E">
            <w:pPr>
              <w:spacing w:line="360" w:lineRule="auto"/>
              <w:jc w:val="center"/>
              <w:rPr>
                <w:rFonts w:hint="default" w:ascii="Times New Roman" w:hAnsi="Times New Roman" w:cs="Times New Roman"/>
                <w:sz w:val="21"/>
                <w:szCs w:val="21"/>
                <w:lang w:val="en-US"/>
              </w:rPr>
            </w:pPr>
          </w:p>
        </w:tc>
        <w:tc>
          <w:tcPr>
            <w:tcW w:w="800" w:type="pct"/>
            <w:vMerge w:val="continue"/>
            <w:tcBorders>
              <w:left w:val="nil"/>
              <w:right w:val="nil"/>
            </w:tcBorders>
            <w:vAlign w:val="center"/>
          </w:tcPr>
          <w:p w14:paraId="36791B7C">
            <w:pPr>
              <w:spacing w:line="360" w:lineRule="auto"/>
              <w:jc w:val="center"/>
              <w:rPr>
                <w:rFonts w:hint="default" w:ascii="Times New Roman" w:hAnsi="Times New Roman" w:cs="Times New Roman"/>
                <w:sz w:val="21"/>
                <w:szCs w:val="21"/>
                <w:lang w:val="en-US"/>
              </w:rPr>
            </w:pPr>
          </w:p>
        </w:tc>
        <w:tc>
          <w:tcPr>
            <w:tcW w:w="562" w:type="pct"/>
            <w:vMerge w:val="continue"/>
            <w:tcBorders>
              <w:left w:val="nil"/>
            </w:tcBorders>
            <w:vAlign w:val="center"/>
          </w:tcPr>
          <w:p w14:paraId="5F203558">
            <w:pPr>
              <w:spacing w:line="360" w:lineRule="auto"/>
              <w:jc w:val="center"/>
              <w:rPr>
                <w:rFonts w:hint="default" w:ascii="Times New Roman" w:hAnsi="Times New Roman" w:cs="Times New Roman"/>
                <w:sz w:val="21"/>
                <w:szCs w:val="21"/>
                <w:lang w:val="en-US"/>
              </w:rPr>
            </w:pPr>
          </w:p>
        </w:tc>
      </w:tr>
      <w:tr w14:paraId="66D006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24" w:type="pct"/>
            <w:vMerge w:val="continue"/>
            <w:tcBorders>
              <w:bottom w:val="nil"/>
              <w:right w:val="nil"/>
            </w:tcBorders>
            <w:vAlign w:val="center"/>
          </w:tcPr>
          <w:p w14:paraId="53D79391">
            <w:pPr>
              <w:spacing w:line="360" w:lineRule="auto"/>
              <w:jc w:val="center"/>
              <w:rPr>
                <w:rFonts w:hint="default" w:ascii="Times New Roman" w:hAnsi="Times New Roman" w:cs="Times New Roman"/>
                <w:sz w:val="21"/>
                <w:szCs w:val="21"/>
                <w:lang w:val="en-US"/>
              </w:rPr>
            </w:pPr>
          </w:p>
        </w:tc>
        <w:tc>
          <w:tcPr>
            <w:tcW w:w="652" w:type="pct"/>
            <w:tcBorders>
              <w:top w:val="nil"/>
              <w:left w:val="nil"/>
              <w:bottom w:val="nil"/>
              <w:right w:val="nil"/>
            </w:tcBorders>
            <w:vAlign w:val="center"/>
          </w:tcPr>
          <w:p w14:paraId="104511FF">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Mo-Mo</w:t>
            </w:r>
          </w:p>
        </w:tc>
        <w:tc>
          <w:tcPr>
            <w:tcW w:w="715" w:type="pct"/>
            <w:tcBorders>
              <w:top w:val="nil"/>
              <w:left w:val="nil"/>
              <w:bottom w:val="nil"/>
              <w:right w:val="nil"/>
            </w:tcBorders>
            <w:vAlign w:val="center"/>
          </w:tcPr>
          <w:p w14:paraId="44D021D4">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4.3</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1.2</w:t>
            </w:r>
          </w:p>
        </w:tc>
        <w:tc>
          <w:tcPr>
            <w:tcW w:w="795" w:type="pct"/>
            <w:tcBorders>
              <w:top w:val="nil"/>
              <w:left w:val="nil"/>
              <w:bottom w:val="nil"/>
              <w:right w:val="nil"/>
            </w:tcBorders>
            <w:vAlign w:val="center"/>
          </w:tcPr>
          <w:p w14:paraId="7FAE92B6">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2.55</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0.06</w:t>
            </w:r>
          </w:p>
        </w:tc>
        <w:tc>
          <w:tcPr>
            <w:tcW w:w="650" w:type="pct"/>
            <w:tcBorders>
              <w:top w:val="nil"/>
              <w:left w:val="nil"/>
              <w:bottom w:val="nil"/>
              <w:right w:val="nil"/>
            </w:tcBorders>
            <w:vAlign w:val="center"/>
          </w:tcPr>
          <w:p w14:paraId="673F4202">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6.2</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2.4</w:t>
            </w:r>
          </w:p>
        </w:tc>
        <w:tc>
          <w:tcPr>
            <w:tcW w:w="800" w:type="pct"/>
            <w:vMerge w:val="continue"/>
            <w:tcBorders>
              <w:left w:val="nil"/>
              <w:bottom w:val="nil"/>
              <w:right w:val="nil"/>
            </w:tcBorders>
            <w:vAlign w:val="center"/>
          </w:tcPr>
          <w:p w14:paraId="00D4242B">
            <w:pPr>
              <w:spacing w:line="360" w:lineRule="auto"/>
              <w:jc w:val="center"/>
              <w:rPr>
                <w:rFonts w:hint="default" w:ascii="Times New Roman" w:hAnsi="Times New Roman" w:cs="Times New Roman"/>
                <w:sz w:val="21"/>
                <w:szCs w:val="21"/>
                <w:lang w:val="en-US"/>
              </w:rPr>
            </w:pPr>
          </w:p>
        </w:tc>
        <w:tc>
          <w:tcPr>
            <w:tcW w:w="562" w:type="pct"/>
            <w:vMerge w:val="continue"/>
            <w:tcBorders>
              <w:left w:val="nil"/>
              <w:bottom w:val="nil"/>
            </w:tcBorders>
            <w:vAlign w:val="center"/>
          </w:tcPr>
          <w:p w14:paraId="657C2623">
            <w:pPr>
              <w:spacing w:line="360" w:lineRule="auto"/>
              <w:jc w:val="center"/>
              <w:rPr>
                <w:rFonts w:hint="default" w:ascii="Times New Roman" w:hAnsi="Times New Roman" w:cs="Times New Roman"/>
                <w:sz w:val="21"/>
                <w:szCs w:val="21"/>
                <w:lang w:val="en-US"/>
              </w:rPr>
            </w:pPr>
          </w:p>
        </w:tc>
      </w:tr>
      <w:tr w14:paraId="41A552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24" w:type="pct"/>
            <w:vMerge w:val="restart"/>
            <w:tcBorders>
              <w:top w:val="nil"/>
              <w:right w:val="nil"/>
            </w:tcBorders>
            <w:vAlign w:val="center"/>
          </w:tcPr>
          <w:p w14:paraId="55953BA1">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MoO3</w:t>
            </w:r>
          </w:p>
        </w:tc>
        <w:tc>
          <w:tcPr>
            <w:tcW w:w="652" w:type="pct"/>
            <w:tcBorders>
              <w:top w:val="nil"/>
              <w:left w:val="nil"/>
              <w:bottom w:val="nil"/>
              <w:right w:val="nil"/>
            </w:tcBorders>
            <w:vAlign w:val="center"/>
          </w:tcPr>
          <w:p w14:paraId="591D6A00">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Mo-O1</w:t>
            </w:r>
          </w:p>
        </w:tc>
        <w:tc>
          <w:tcPr>
            <w:tcW w:w="715" w:type="pct"/>
            <w:tcBorders>
              <w:top w:val="nil"/>
              <w:left w:val="nil"/>
              <w:bottom w:val="nil"/>
              <w:right w:val="nil"/>
            </w:tcBorders>
            <w:vAlign w:val="center"/>
          </w:tcPr>
          <w:p w14:paraId="58786C06">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3.6</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0.7</w:t>
            </w:r>
          </w:p>
        </w:tc>
        <w:tc>
          <w:tcPr>
            <w:tcW w:w="795" w:type="pct"/>
            <w:tcBorders>
              <w:top w:val="nil"/>
              <w:left w:val="nil"/>
              <w:bottom w:val="nil"/>
              <w:right w:val="nil"/>
            </w:tcBorders>
            <w:vAlign w:val="center"/>
          </w:tcPr>
          <w:p w14:paraId="1ED4FCD8">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1.72</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0.02</w:t>
            </w:r>
          </w:p>
        </w:tc>
        <w:tc>
          <w:tcPr>
            <w:tcW w:w="650" w:type="pct"/>
            <w:vMerge w:val="restart"/>
            <w:tcBorders>
              <w:top w:val="nil"/>
              <w:left w:val="nil"/>
              <w:bottom w:val="nil"/>
              <w:right w:val="nil"/>
            </w:tcBorders>
            <w:vAlign w:val="center"/>
          </w:tcPr>
          <w:p w14:paraId="6BF4BC10">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4.6</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1.3</w:t>
            </w:r>
          </w:p>
        </w:tc>
        <w:tc>
          <w:tcPr>
            <w:tcW w:w="800" w:type="pct"/>
            <w:vMerge w:val="restart"/>
            <w:tcBorders>
              <w:top w:val="nil"/>
              <w:left w:val="nil"/>
              <w:right w:val="nil"/>
            </w:tcBorders>
            <w:vAlign w:val="center"/>
          </w:tcPr>
          <w:p w14:paraId="26DFAA99">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-4.4</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1.4</w:t>
            </w:r>
          </w:p>
        </w:tc>
        <w:tc>
          <w:tcPr>
            <w:tcW w:w="562" w:type="pct"/>
            <w:vMerge w:val="restart"/>
            <w:tcBorders>
              <w:top w:val="nil"/>
              <w:left w:val="nil"/>
            </w:tcBorders>
            <w:vAlign w:val="center"/>
          </w:tcPr>
          <w:p w14:paraId="6DA081ED">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0.004</w:t>
            </w:r>
          </w:p>
        </w:tc>
      </w:tr>
      <w:tr w14:paraId="1F83AF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24" w:type="pct"/>
            <w:vMerge w:val="continue"/>
            <w:tcBorders>
              <w:right w:val="nil"/>
            </w:tcBorders>
            <w:vAlign w:val="center"/>
          </w:tcPr>
          <w:p w14:paraId="7E67D1C0">
            <w:pPr>
              <w:spacing w:line="360" w:lineRule="auto"/>
              <w:jc w:val="center"/>
              <w:rPr>
                <w:rFonts w:hint="default" w:ascii="Times New Roman" w:hAnsi="Times New Roman" w:cs="Times New Roman"/>
                <w:sz w:val="21"/>
                <w:szCs w:val="21"/>
                <w:lang w:val="en-US"/>
              </w:rPr>
            </w:pPr>
          </w:p>
        </w:tc>
        <w:tc>
          <w:tcPr>
            <w:tcW w:w="652" w:type="pct"/>
            <w:tcBorders>
              <w:top w:val="nil"/>
              <w:left w:val="nil"/>
              <w:bottom w:val="nil"/>
              <w:right w:val="nil"/>
            </w:tcBorders>
            <w:vAlign w:val="center"/>
          </w:tcPr>
          <w:p w14:paraId="6FE6B62C">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Mo-O2</w:t>
            </w:r>
          </w:p>
        </w:tc>
        <w:tc>
          <w:tcPr>
            <w:tcW w:w="715" w:type="pct"/>
            <w:tcBorders>
              <w:top w:val="nil"/>
              <w:left w:val="nil"/>
              <w:bottom w:val="nil"/>
              <w:right w:val="nil"/>
            </w:tcBorders>
            <w:vAlign w:val="center"/>
          </w:tcPr>
          <w:p w14:paraId="00E7A6E8">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3.4</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0.9</w:t>
            </w:r>
          </w:p>
        </w:tc>
        <w:tc>
          <w:tcPr>
            <w:tcW w:w="795" w:type="pct"/>
            <w:tcBorders>
              <w:top w:val="nil"/>
              <w:left w:val="nil"/>
              <w:bottom w:val="nil"/>
              <w:right w:val="nil"/>
            </w:tcBorders>
            <w:vAlign w:val="center"/>
          </w:tcPr>
          <w:p w14:paraId="51FABB91">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1.94</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0.01</w:t>
            </w:r>
          </w:p>
        </w:tc>
        <w:tc>
          <w:tcPr>
            <w:tcW w:w="650" w:type="pct"/>
            <w:vMerge w:val="continue"/>
            <w:tcBorders>
              <w:top w:val="nil"/>
              <w:left w:val="nil"/>
              <w:bottom w:val="nil"/>
              <w:right w:val="nil"/>
            </w:tcBorders>
            <w:vAlign w:val="center"/>
          </w:tcPr>
          <w:p w14:paraId="1AFA86BE">
            <w:pPr>
              <w:spacing w:line="360" w:lineRule="auto"/>
              <w:jc w:val="center"/>
              <w:rPr>
                <w:rFonts w:hint="default" w:ascii="Times New Roman" w:hAnsi="Times New Roman" w:cs="Times New Roman"/>
                <w:sz w:val="21"/>
                <w:szCs w:val="21"/>
                <w:lang w:val="en-US" w:eastAsia="zh-CN"/>
              </w:rPr>
            </w:pPr>
          </w:p>
        </w:tc>
        <w:tc>
          <w:tcPr>
            <w:tcW w:w="800" w:type="pct"/>
            <w:vMerge w:val="continue"/>
            <w:tcBorders>
              <w:left w:val="nil"/>
              <w:right w:val="nil"/>
            </w:tcBorders>
            <w:vAlign w:val="center"/>
          </w:tcPr>
          <w:p w14:paraId="180FD688">
            <w:pPr>
              <w:spacing w:line="360" w:lineRule="auto"/>
              <w:jc w:val="center"/>
              <w:rPr>
                <w:rFonts w:hint="default" w:ascii="Times New Roman" w:hAnsi="Times New Roman" w:cs="Times New Roman"/>
                <w:sz w:val="21"/>
                <w:szCs w:val="21"/>
                <w:lang w:val="en-US"/>
              </w:rPr>
            </w:pPr>
          </w:p>
        </w:tc>
        <w:tc>
          <w:tcPr>
            <w:tcW w:w="562" w:type="pct"/>
            <w:vMerge w:val="continue"/>
            <w:tcBorders>
              <w:left w:val="nil"/>
            </w:tcBorders>
            <w:vAlign w:val="center"/>
          </w:tcPr>
          <w:p w14:paraId="32A5D907">
            <w:pPr>
              <w:spacing w:line="360" w:lineRule="auto"/>
              <w:jc w:val="center"/>
              <w:rPr>
                <w:rFonts w:hint="default" w:ascii="Times New Roman" w:hAnsi="Times New Roman" w:cs="Times New Roman"/>
                <w:sz w:val="21"/>
                <w:szCs w:val="21"/>
                <w:lang w:val="en-US"/>
              </w:rPr>
            </w:pPr>
          </w:p>
        </w:tc>
      </w:tr>
      <w:tr w14:paraId="543345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24" w:type="pct"/>
            <w:vMerge w:val="continue"/>
            <w:tcBorders>
              <w:right w:val="nil"/>
            </w:tcBorders>
            <w:vAlign w:val="center"/>
          </w:tcPr>
          <w:p w14:paraId="19E3E55B">
            <w:pPr>
              <w:spacing w:line="360" w:lineRule="auto"/>
              <w:jc w:val="center"/>
              <w:rPr>
                <w:rFonts w:hint="default" w:ascii="Times New Roman" w:hAnsi="Times New Roman" w:cs="Times New Roman"/>
                <w:sz w:val="21"/>
                <w:szCs w:val="21"/>
                <w:lang w:val="en-US"/>
              </w:rPr>
            </w:pPr>
          </w:p>
        </w:tc>
        <w:tc>
          <w:tcPr>
            <w:tcW w:w="652" w:type="pct"/>
            <w:tcBorders>
              <w:top w:val="nil"/>
              <w:left w:val="nil"/>
              <w:bottom w:val="nil"/>
              <w:right w:val="nil"/>
            </w:tcBorders>
            <w:vAlign w:val="center"/>
          </w:tcPr>
          <w:p w14:paraId="56E29AA4">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Mo-Mo</w:t>
            </w:r>
          </w:p>
        </w:tc>
        <w:tc>
          <w:tcPr>
            <w:tcW w:w="715" w:type="pct"/>
            <w:tcBorders>
              <w:top w:val="nil"/>
              <w:left w:val="nil"/>
              <w:bottom w:val="nil"/>
              <w:right w:val="nil"/>
            </w:tcBorders>
            <w:vAlign w:val="center"/>
          </w:tcPr>
          <w:p w14:paraId="4E536376">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7.2</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2.1</w:t>
            </w:r>
          </w:p>
        </w:tc>
        <w:tc>
          <w:tcPr>
            <w:tcW w:w="795" w:type="pct"/>
            <w:tcBorders>
              <w:top w:val="nil"/>
              <w:left w:val="nil"/>
              <w:bottom w:val="nil"/>
              <w:right w:val="nil"/>
            </w:tcBorders>
            <w:vAlign w:val="center"/>
          </w:tcPr>
          <w:p w14:paraId="701B968F">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3.51</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0.04</w:t>
            </w:r>
          </w:p>
        </w:tc>
        <w:tc>
          <w:tcPr>
            <w:tcW w:w="650" w:type="pct"/>
            <w:vMerge w:val="restart"/>
            <w:tcBorders>
              <w:top w:val="nil"/>
              <w:left w:val="nil"/>
              <w:right w:val="nil"/>
            </w:tcBorders>
            <w:vAlign w:val="center"/>
          </w:tcPr>
          <w:p w14:paraId="6D6BCCFB">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9.3</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2.2</w:t>
            </w:r>
          </w:p>
        </w:tc>
        <w:tc>
          <w:tcPr>
            <w:tcW w:w="800" w:type="pct"/>
            <w:vMerge w:val="continue"/>
            <w:tcBorders>
              <w:left w:val="nil"/>
              <w:right w:val="nil"/>
            </w:tcBorders>
            <w:vAlign w:val="center"/>
          </w:tcPr>
          <w:p w14:paraId="5BA39BB7">
            <w:pPr>
              <w:spacing w:line="360" w:lineRule="auto"/>
              <w:jc w:val="center"/>
              <w:rPr>
                <w:rFonts w:hint="default" w:ascii="Times New Roman" w:hAnsi="Times New Roman" w:cs="Times New Roman"/>
                <w:sz w:val="21"/>
                <w:szCs w:val="21"/>
                <w:lang w:val="en-US"/>
              </w:rPr>
            </w:pPr>
          </w:p>
        </w:tc>
        <w:tc>
          <w:tcPr>
            <w:tcW w:w="562" w:type="pct"/>
            <w:vMerge w:val="continue"/>
            <w:tcBorders>
              <w:left w:val="nil"/>
            </w:tcBorders>
            <w:vAlign w:val="center"/>
          </w:tcPr>
          <w:p w14:paraId="2E998FED">
            <w:pPr>
              <w:spacing w:line="360" w:lineRule="auto"/>
              <w:jc w:val="center"/>
              <w:rPr>
                <w:rFonts w:hint="default" w:ascii="Times New Roman" w:hAnsi="Times New Roman" w:cs="Times New Roman"/>
                <w:sz w:val="21"/>
                <w:szCs w:val="21"/>
                <w:lang w:val="en-US"/>
              </w:rPr>
            </w:pPr>
          </w:p>
        </w:tc>
      </w:tr>
      <w:tr w14:paraId="33F96B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24" w:type="pct"/>
            <w:vMerge w:val="continue"/>
            <w:tcBorders>
              <w:bottom w:val="single" w:color="auto" w:sz="12" w:space="0"/>
              <w:right w:val="nil"/>
            </w:tcBorders>
            <w:vAlign w:val="center"/>
          </w:tcPr>
          <w:p w14:paraId="4E088C21">
            <w:pPr>
              <w:spacing w:line="360" w:lineRule="auto"/>
              <w:jc w:val="center"/>
              <w:rPr>
                <w:rFonts w:hint="default" w:ascii="Times New Roman" w:hAnsi="Times New Roman" w:cs="Times New Roman"/>
                <w:sz w:val="21"/>
                <w:szCs w:val="21"/>
                <w:lang w:val="en-US"/>
              </w:rPr>
            </w:pPr>
          </w:p>
        </w:tc>
        <w:tc>
          <w:tcPr>
            <w:tcW w:w="652" w:type="pct"/>
            <w:tcBorders>
              <w:top w:val="nil"/>
              <w:left w:val="nil"/>
              <w:bottom w:val="single" w:color="auto" w:sz="12" w:space="0"/>
              <w:right w:val="nil"/>
            </w:tcBorders>
            <w:vAlign w:val="center"/>
          </w:tcPr>
          <w:p w14:paraId="38F4A79A">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Mo-Mo</w:t>
            </w:r>
          </w:p>
        </w:tc>
        <w:tc>
          <w:tcPr>
            <w:tcW w:w="715" w:type="pct"/>
            <w:tcBorders>
              <w:top w:val="nil"/>
              <w:left w:val="nil"/>
              <w:bottom w:val="single" w:color="auto" w:sz="12" w:space="0"/>
              <w:right w:val="nil"/>
            </w:tcBorders>
            <w:vAlign w:val="center"/>
          </w:tcPr>
          <w:p w14:paraId="1CCEA214">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5.3</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1.6</w:t>
            </w:r>
          </w:p>
        </w:tc>
        <w:tc>
          <w:tcPr>
            <w:tcW w:w="795" w:type="pct"/>
            <w:tcBorders>
              <w:top w:val="nil"/>
              <w:left w:val="nil"/>
              <w:bottom w:val="single" w:color="auto" w:sz="12" w:space="0"/>
              <w:right w:val="nil"/>
            </w:tcBorders>
            <w:vAlign w:val="center"/>
          </w:tcPr>
          <w:p w14:paraId="3E2C98A8">
            <w:pPr>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3.81</w:t>
            </w:r>
            <w:r>
              <w:rPr>
                <w:rFonts w:hint="default" w:ascii="Times New Roman" w:hAnsi="Times New Roman" w:cs="Times New Roman"/>
                <w:sz w:val="21"/>
                <w:szCs w:val="21"/>
                <w:lang w:val="en-US"/>
              </w:rPr>
              <w:t>±</w:t>
            </w:r>
            <w:r>
              <w:rPr>
                <w:rFonts w:hint="default" w:ascii="Times New Roman" w:hAnsi="Times New Roman" w:cs="Times New Roman"/>
                <w:sz w:val="21"/>
                <w:szCs w:val="21"/>
                <w:lang w:val="en-US" w:eastAsia="zh-CN"/>
              </w:rPr>
              <w:t>0.05</w:t>
            </w:r>
          </w:p>
        </w:tc>
        <w:tc>
          <w:tcPr>
            <w:tcW w:w="650" w:type="pct"/>
            <w:vMerge w:val="continue"/>
            <w:tcBorders>
              <w:left w:val="nil"/>
              <w:bottom w:val="single" w:color="auto" w:sz="12" w:space="0"/>
              <w:right w:val="nil"/>
            </w:tcBorders>
            <w:vAlign w:val="center"/>
          </w:tcPr>
          <w:p w14:paraId="4FE93222">
            <w:pPr>
              <w:spacing w:line="360" w:lineRule="auto"/>
              <w:jc w:val="center"/>
              <w:rPr>
                <w:rFonts w:hint="default" w:ascii="Times New Roman" w:hAnsi="Times New Roman" w:cs="Times New Roman"/>
                <w:sz w:val="21"/>
                <w:szCs w:val="21"/>
                <w:lang w:val="en-US" w:eastAsia="zh-CN"/>
              </w:rPr>
            </w:pPr>
          </w:p>
        </w:tc>
        <w:tc>
          <w:tcPr>
            <w:tcW w:w="800" w:type="pct"/>
            <w:vMerge w:val="continue"/>
            <w:tcBorders>
              <w:left w:val="nil"/>
              <w:bottom w:val="single" w:color="auto" w:sz="12" w:space="0"/>
              <w:right w:val="nil"/>
            </w:tcBorders>
            <w:vAlign w:val="center"/>
          </w:tcPr>
          <w:p w14:paraId="403518AB">
            <w:pPr>
              <w:spacing w:line="360" w:lineRule="auto"/>
              <w:jc w:val="center"/>
              <w:rPr>
                <w:rFonts w:hint="default" w:ascii="Times New Roman" w:hAnsi="Times New Roman" w:cs="Times New Roman"/>
                <w:sz w:val="21"/>
                <w:szCs w:val="21"/>
                <w:lang w:val="en-US"/>
              </w:rPr>
            </w:pPr>
          </w:p>
        </w:tc>
        <w:tc>
          <w:tcPr>
            <w:tcW w:w="562" w:type="pct"/>
            <w:vMerge w:val="continue"/>
            <w:tcBorders>
              <w:left w:val="nil"/>
              <w:bottom w:val="single" w:color="auto" w:sz="12" w:space="0"/>
            </w:tcBorders>
            <w:vAlign w:val="center"/>
          </w:tcPr>
          <w:p w14:paraId="50003B8D">
            <w:pPr>
              <w:spacing w:line="360" w:lineRule="auto"/>
              <w:jc w:val="center"/>
              <w:rPr>
                <w:rFonts w:hint="default" w:ascii="Times New Roman" w:hAnsi="Times New Roman" w:cs="Times New Roman"/>
                <w:sz w:val="21"/>
                <w:szCs w:val="21"/>
                <w:lang w:val="en-US"/>
              </w:rPr>
            </w:pPr>
          </w:p>
        </w:tc>
      </w:tr>
    </w:tbl>
    <w:p w14:paraId="69207F5B">
      <w:pPr>
        <w:pStyle w:val="3"/>
        <w:keepNext w:val="0"/>
        <w:keepLines w:val="0"/>
        <w:pageBreakBefore w:val="0"/>
        <w:widowControl/>
        <w:kinsoku/>
        <w:wordWrap/>
        <w:overflowPunct/>
        <w:topLinePunct w:val="0"/>
        <w:autoSpaceDN/>
        <w:bidi w:val="0"/>
        <w:spacing w:line="360" w:lineRule="auto"/>
        <w:jc w:val="both"/>
        <w:textAlignment w:val="auto"/>
        <w:rPr>
          <w:rFonts w:hint="default" w:ascii="Times New Roman" w:hAnsi="Times New Roman" w:cs="Times New Roman"/>
          <w:sz w:val="24"/>
          <w:szCs w:val="24"/>
          <w:lang w:val="en-US" w:eastAsia="zh-CN"/>
        </w:rPr>
      </w:pPr>
      <w:bookmarkStart w:id="22" w:name="OLE_LINK14"/>
      <w:r>
        <w:rPr>
          <w:rFonts w:hint="default" w:ascii="Times New Roman" w:hAnsi="Times New Roman" w:eastAsia="宋体" w:cs="Times New Roman"/>
          <w:sz w:val="24"/>
          <w:szCs w:val="24"/>
          <w:lang w:val="en-US" w:eastAsia="zh-CN"/>
        </w:rPr>
        <w:t>Note: [a]</w:t>
      </w:r>
      <w:r>
        <w:rPr>
          <w:rFonts w:hint="default" w:ascii="Times New Roman" w:hAnsi="Times New Roman" w:cs="Times New Roman"/>
          <w:sz w:val="24"/>
          <w:szCs w:val="24"/>
        </w:rPr>
        <w:t xml:space="preserve">* indicates the coordination number was fixed. </w:t>
      </w:r>
      <w:r>
        <w:rPr>
          <w:rFonts w:hint="default" w:ascii="Times New Roman" w:hAnsi="Times New Roman" w:eastAsia="宋体" w:cs="Times New Roman"/>
          <w:sz w:val="24"/>
          <w:szCs w:val="24"/>
          <w:lang w:val="en-US" w:eastAsia="zh-CN"/>
        </w:rPr>
        <w:t xml:space="preserve">[b] </w:t>
      </w:r>
      <w:r>
        <w:rPr>
          <w:rFonts w:hint="default" w:ascii="Times New Roman" w:hAnsi="Times New Roman" w:cs="Times New Roman"/>
          <w:sz w:val="24"/>
          <w:szCs w:val="24"/>
        </w:rPr>
        <w:t>C</w:t>
      </w:r>
      <w:r>
        <w:rPr>
          <w:rFonts w:hint="default" w:ascii="Times New Roman" w:hAnsi="Times New Roman" w:eastAsia="宋体" w:cs="Times New Roman"/>
          <w:sz w:val="24"/>
          <w:szCs w:val="24"/>
          <w:lang w:val="en-US" w:eastAsia="zh-CN"/>
        </w:rPr>
        <w:t>.</w:t>
      </w:r>
      <w:r>
        <w:rPr>
          <w:rFonts w:hint="default" w:ascii="Times New Roman" w:hAnsi="Times New Roman" w:cs="Times New Roman"/>
          <w:sz w:val="24"/>
          <w:szCs w:val="24"/>
        </w:rPr>
        <w:t>N</w:t>
      </w:r>
      <w:r>
        <w:rPr>
          <w:rFonts w:hint="default" w:ascii="Times New Roman" w:hAnsi="Times New Roman" w:eastAsia="宋体" w:cs="Times New Roman"/>
          <w:sz w:val="24"/>
          <w:szCs w:val="24"/>
          <w:lang w:val="en-US" w:eastAsia="zh-CN"/>
        </w:rPr>
        <w:t>.</w:t>
      </w:r>
      <w:r>
        <w:rPr>
          <w:rFonts w:hint="default" w:ascii="Times New Roman" w:hAnsi="Times New Roman" w:cs="Times New Roman"/>
          <w:sz w:val="24"/>
          <w:szCs w:val="24"/>
        </w:rPr>
        <w:t xml:space="preserve"> is the coordination number</w:t>
      </w:r>
      <w:r>
        <w:rPr>
          <w:rFonts w:hint="default" w:ascii="Times New Roman" w:hAnsi="Times New Roman" w:eastAsia="宋体" w:cs="Times New Roman"/>
          <w:sz w:val="24"/>
          <w:szCs w:val="24"/>
          <w:lang w:val="en-US" w:eastAsia="zh-CN"/>
        </w:rPr>
        <w:t>.</w:t>
      </w:r>
      <w:r>
        <w:rPr>
          <w:rFonts w:hint="default" w:ascii="Times New Roman" w:hAnsi="Times New Roman" w:cs="Times New Roman"/>
          <w:sz w:val="24"/>
          <w:szCs w:val="24"/>
        </w:rPr>
        <w:t xml:space="preserve"> </w:t>
      </w:r>
      <w:r>
        <w:rPr>
          <w:rFonts w:hint="default" w:ascii="Times New Roman" w:hAnsi="Times New Roman" w:eastAsia="宋体" w:cs="Times New Roman"/>
          <w:sz w:val="24"/>
          <w:szCs w:val="24"/>
          <w:lang w:val="en-US" w:eastAsia="zh-CN"/>
        </w:rPr>
        <w:t xml:space="preserve">[c] </w:t>
      </w:r>
      <w:r>
        <w:rPr>
          <w:rFonts w:hint="default" w:ascii="Times New Roman" w:hAnsi="Times New Roman" w:cs="Times New Roman"/>
          <w:sz w:val="24"/>
          <w:szCs w:val="24"/>
        </w:rPr>
        <w:t>R is the interatomic distance between absorber and backscatter atom</w:t>
      </w:r>
      <w:r>
        <w:rPr>
          <w:rFonts w:hint="default" w:ascii="Times New Roman" w:hAnsi="Times New Roman" w:eastAsia="宋体" w:cs="Times New Roman"/>
          <w:sz w:val="24"/>
          <w:szCs w:val="24"/>
          <w:lang w:val="en-US" w:eastAsia="zh-CN"/>
        </w:rPr>
        <w:t>. [d]</w:t>
      </w:r>
      <w:r>
        <w:rPr>
          <w:rFonts w:hint="default" w:ascii="Times New Roman" w:hAnsi="Times New Roman" w:cs="Times New Roman"/>
          <w:sz w:val="24"/>
          <w:szCs w:val="24"/>
        </w:rPr>
        <w:t xml:space="preserve"> σ</w:t>
      </w:r>
      <w:r>
        <w:rPr>
          <w:rFonts w:hint="eastAsia" w:ascii="Times New Roman" w:hAnsi="Times New Roman" w:cs="Times New Roman"/>
          <w:sz w:val="24"/>
          <w:szCs w:val="24"/>
          <w:vertAlign w:val="superscript"/>
          <w:lang w:val="en-US" w:eastAsia="zh-CN"/>
        </w:rPr>
        <w:t>2</w:t>
      </w:r>
      <w:r>
        <w:rPr>
          <w:rFonts w:hint="default" w:ascii="Times New Roman" w:hAnsi="Times New Roman" w:cs="Times New Roman"/>
          <w:sz w:val="24"/>
          <w:szCs w:val="24"/>
        </w:rPr>
        <w:t xml:space="preserve"> is the Debye-Waller factor to account for both thermal and structural disorders</w:t>
      </w:r>
      <w:r>
        <w:rPr>
          <w:rFonts w:hint="default" w:ascii="Times New Roman" w:hAnsi="Times New Roman" w:eastAsia="宋体" w:cs="Times New Roman"/>
          <w:sz w:val="24"/>
          <w:szCs w:val="24"/>
          <w:lang w:val="en-US" w:eastAsia="zh-CN"/>
        </w:rPr>
        <w:t>.</w:t>
      </w:r>
      <w:r>
        <w:rPr>
          <w:rFonts w:hint="default" w:ascii="Times New Roman" w:hAnsi="Times New Roman" w:cs="Times New Roman"/>
          <w:sz w:val="24"/>
          <w:szCs w:val="24"/>
        </w:rPr>
        <w:t xml:space="preserve"> </w:t>
      </w:r>
      <w:r>
        <w:rPr>
          <w:rFonts w:hint="default" w:ascii="Times New Roman" w:hAnsi="Times New Roman" w:eastAsia="宋体" w:cs="Times New Roman"/>
          <w:sz w:val="24"/>
          <w:szCs w:val="24"/>
          <w:lang w:val="en-US" w:eastAsia="zh-CN"/>
        </w:rPr>
        <w:t xml:space="preserve">[e] </w:t>
      </w:r>
      <w:r>
        <w:rPr>
          <w:rFonts w:hint="default" w:ascii="Times New Roman" w:hAnsi="Times New Roman" w:cs="Times New Roman"/>
          <w:sz w:val="24"/>
          <w:szCs w:val="24"/>
        </w:rPr>
        <w:t>ΔE</w:t>
      </w:r>
      <w:r>
        <w:rPr>
          <w:rFonts w:hint="default" w:ascii="Times New Roman" w:hAnsi="Times New Roman" w:eastAsia="宋体" w:cs="Times New Roman"/>
          <w:sz w:val="24"/>
          <w:szCs w:val="24"/>
          <w:vertAlign w:val="subscript"/>
          <w:lang w:val="en-US" w:eastAsia="zh-CN"/>
        </w:rPr>
        <w:t>0</w:t>
      </w:r>
      <w:r>
        <w:rPr>
          <w:rFonts w:hint="default" w:ascii="Times New Roman" w:hAnsi="Times New Roman" w:cs="Times New Roman"/>
          <w:sz w:val="24"/>
          <w:szCs w:val="24"/>
        </w:rPr>
        <w:t xml:space="preserve"> is the inner potential correction</w:t>
      </w:r>
      <w:r>
        <w:rPr>
          <w:rFonts w:hint="default" w:ascii="Times New Roman" w:hAnsi="Times New Roman" w:eastAsia="宋体" w:cs="Times New Roman"/>
          <w:sz w:val="24"/>
          <w:szCs w:val="24"/>
          <w:lang w:val="en-US" w:eastAsia="zh-CN"/>
        </w:rPr>
        <w:t xml:space="preserve">. [f] </w:t>
      </w:r>
      <w:r>
        <w:rPr>
          <w:rFonts w:hint="default" w:ascii="Times New Roman" w:hAnsi="Times New Roman" w:cs="Times New Roman"/>
          <w:sz w:val="24"/>
          <w:szCs w:val="24"/>
        </w:rPr>
        <w:t>R factor is used to value the goodness of the fit.</w:t>
      </w:r>
      <w:bookmarkEnd w:id="22"/>
      <w:r>
        <w:rPr>
          <w:rFonts w:hint="default" w:ascii="Times New Roman" w:hAnsi="Times New Roman" w:cs="Times New Roman"/>
          <w:sz w:val="24"/>
          <w:szCs w:val="24"/>
          <w:lang w:val="en-US" w:eastAsia="zh-CN"/>
        </w:rPr>
        <w:br w:type="page"/>
      </w:r>
      <w:r>
        <w:rPr>
          <w:rFonts w:hint="default" w:ascii="Times New Roman" w:hAnsi="Times New Roman" w:eastAsia="宋体" w:cs="Times New Roman"/>
          <w:sz w:val="24"/>
          <w:szCs w:val="24"/>
          <w:lang w:val="en-US" w:eastAsia="zh-CN" w:bidi="ar"/>
        </w:rPr>
        <w:t>Supplement</w:t>
      </w:r>
      <w:r>
        <w:rPr>
          <w:rFonts w:hint="default" w:ascii="Times New Roman" w:hAnsi="Times New Roman" w:eastAsia="宋体" w:cs="Times New Roman"/>
          <w:b w:val="0"/>
          <w:bCs w:val="0"/>
          <w:sz w:val="24"/>
          <w:szCs w:val="24"/>
          <w:lang w:val="en-US" w:eastAsia="zh-CN" w:bidi="ar"/>
        </w:rPr>
        <w:t xml:space="preserve">ary Table </w:t>
      </w:r>
      <w:r>
        <w:rPr>
          <w:rFonts w:hint="default" w:ascii="Times New Roman" w:hAnsi="Times New Roman" w:cs="Times New Roman"/>
          <w:b w:val="0"/>
          <w:bCs w:val="0"/>
          <w:sz w:val="24"/>
          <w:szCs w:val="24"/>
          <w:lang w:val="en-US" w:eastAsia="zh-CN"/>
        </w:rPr>
        <w:t>3. EXAFS results o</w:t>
      </w:r>
      <w:r>
        <w:rPr>
          <w:rFonts w:hint="default" w:ascii="Times New Roman" w:hAnsi="Times New Roman" w:cs="Times New Roman"/>
          <w:sz w:val="24"/>
          <w:szCs w:val="24"/>
          <w:lang w:val="en-US" w:eastAsia="zh-CN"/>
        </w:rPr>
        <w:t>f Ce.</w:t>
      </w:r>
      <w:r>
        <w:rPr>
          <w:rFonts w:hint="default" w:ascii="Times New Roman" w:hAnsi="Times New Roman" w:eastAsia="宋体" w:cs="Times New Roman"/>
          <w:sz w:val="24"/>
          <w:szCs w:val="24"/>
          <w:lang w:val="en-US" w:eastAsia="zh-CN"/>
        </w:rPr>
        <w:t xml:space="preserve"> </w:t>
      </w:r>
      <w:r>
        <w:rPr>
          <w:rFonts w:hint="default" w:ascii="Times New Roman" w:hAnsi="Times New Roman" w:cs="Times New Roman"/>
          <w:sz w:val="24"/>
          <w:szCs w:val="24"/>
        </w:rPr>
        <w:t>S</w:t>
      </w:r>
      <w:r>
        <w:rPr>
          <w:rFonts w:hint="default" w:ascii="Times New Roman" w:hAnsi="Times New Roman" w:cs="Times New Roman"/>
          <w:sz w:val="24"/>
          <w:szCs w:val="24"/>
          <w:vertAlign w:val="subscript"/>
        </w:rPr>
        <w:t>0</w:t>
      </w:r>
      <w:r>
        <w:rPr>
          <w:rFonts w:hint="default" w:ascii="Times New Roman" w:hAnsi="Times New Roman" w:cs="Times New Roman"/>
          <w:sz w:val="24"/>
          <w:szCs w:val="24"/>
        </w:rPr>
        <w:t xml:space="preserve">² was set to </w:t>
      </w:r>
      <w:r>
        <w:rPr>
          <w:rFonts w:hint="default" w:ascii="Times New Roman" w:hAnsi="Times New Roman" w:cs="Times New Roman" w:eastAsiaTheme="minorEastAsia"/>
          <w:sz w:val="24"/>
          <w:szCs w:val="24"/>
          <w:lang w:eastAsia="zh-CN"/>
        </w:rPr>
        <w:t>0.99</w:t>
      </w:r>
      <w:r>
        <w:rPr>
          <w:rFonts w:hint="default" w:ascii="Times New Roman" w:hAnsi="Times New Roman" w:cs="Times New Roman" w:eastAsiaTheme="minorEastAsia"/>
          <w:sz w:val="24"/>
          <w:szCs w:val="24"/>
          <w:lang w:val="en-US" w:eastAsia="zh-CN"/>
        </w:rPr>
        <w:t>.</w:t>
      </w:r>
    </w:p>
    <w:tbl>
      <w:tblPr>
        <w:tblStyle w:val="10"/>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90"/>
        <w:gridCol w:w="1337"/>
        <w:gridCol w:w="1466"/>
        <w:gridCol w:w="1630"/>
        <w:gridCol w:w="1333"/>
        <w:gridCol w:w="1641"/>
        <w:gridCol w:w="1153"/>
      </w:tblGrid>
      <w:tr w14:paraId="59CF05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24" w:type="pct"/>
            <w:tcBorders>
              <w:top w:val="single" w:color="auto" w:sz="12" w:space="0"/>
              <w:bottom w:val="single" w:color="auto" w:sz="12" w:space="0"/>
              <w:right w:val="nil"/>
            </w:tcBorders>
            <w:vAlign w:val="center"/>
          </w:tcPr>
          <w:p w14:paraId="1EC2C1C5">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Sample</w:t>
            </w:r>
          </w:p>
        </w:tc>
        <w:tc>
          <w:tcPr>
            <w:tcW w:w="652" w:type="pct"/>
            <w:tcBorders>
              <w:top w:val="single" w:color="auto" w:sz="12" w:space="0"/>
              <w:left w:val="nil"/>
              <w:bottom w:val="single" w:color="auto" w:sz="12" w:space="0"/>
              <w:right w:val="nil"/>
            </w:tcBorders>
            <w:vAlign w:val="center"/>
          </w:tcPr>
          <w:p w14:paraId="309068C7">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Path</w:t>
            </w:r>
          </w:p>
        </w:tc>
        <w:tc>
          <w:tcPr>
            <w:tcW w:w="715" w:type="pct"/>
            <w:tcBorders>
              <w:top w:val="single" w:color="auto" w:sz="12" w:space="0"/>
              <w:left w:val="nil"/>
              <w:bottom w:val="single" w:color="auto" w:sz="12" w:space="0"/>
              <w:right w:val="nil"/>
            </w:tcBorders>
            <w:vAlign w:val="center"/>
          </w:tcPr>
          <w:p w14:paraId="2F105556">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eastAsia="宋体" w:cs="Times New Roman"/>
                <w:b w:val="0"/>
                <w:bCs w:val="0"/>
                <w:sz w:val="21"/>
                <w:szCs w:val="21"/>
                <w:vertAlign w:val="superscript"/>
                <w:lang w:val="en-US" w:eastAsia="zh-CN"/>
              </w:rPr>
            </w:pPr>
            <w:r>
              <w:rPr>
                <w:rFonts w:hint="default" w:ascii="Times New Roman" w:hAnsi="Times New Roman" w:cs="Times New Roman"/>
                <w:b w:val="0"/>
                <w:bCs w:val="0"/>
                <w:sz w:val="21"/>
                <w:szCs w:val="21"/>
              </w:rPr>
              <w:t>C.N.</w:t>
            </w:r>
            <w:r>
              <w:rPr>
                <w:rFonts w:hint="default" w:ascii="Times New Roman" w:hAnsi="Times New Roman" w:eastAsia="宋体" w:cs="Times New Roman"/>
                <w:b w:val="0"/>
                <w:bCs w:val="0"/>
                <w:sz w:val="21"/>
                <w:szCs w:val="21"/>
                <w:vertAlign w:val="superscript"/>
                <w:lang w:val="en-US" w:eastAsia="zh-CN"/>
              </w:rPr>
              <w:t>[b]</w:t>
            </w:r>
          </w:p>
        </w:tc>
        <w:tc>
          <w:tcPr>
            <w:tcW w:w="795" w:type="pct"/>
            <w:tcBorders>
              <w:top w:val="single" w:color="auto" w:sz="12" w:space="0"/>
              <w:left w:val="nil"/>
              <w:bottom w:val="single" w:color="auto" w:sz="12" w:space="0"/>
              <w:right w:val="nil"/>
            </w:tcBorders>
            <w:vAlign w:val="center"/>
          </w:tcPr>
          <w:p w14:paraId="20A6A32E">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eastAsia="宋体" w:cs="Times New Roman"/>
                <w:b w:val="0"/>
                <w:bCs w:val="0"/>
                <w:sz w:val="21"/>
                <w:szCs w:val="21"/>
                <w:vertAlign w:val="superscript"/>
                <w:lang w:val="en-US" w:eastAsia="zh-CN"/>
              </w:rPr>
            </w:pPr>
            <w:r>
              <w:rPr>
                <w:rFonts w:hint="default" w:ascii="Times New Roman" w:hAnsi="Times New Roman" w:cs="Times New Roman"/>
                <w:b w:val="0"/>
                <w:bCs w:val="0"/>
                <w:sz w:val="21"/>
                <w:szCs w:val="21"/>
              </w:rPr>
              <w:t>R (Å)</w:t>
            </w:r>
            <w:r>
              <w:rPr>
                <w:rFonts w:hint="default" w:ascii="Times New Roman" w:hAnsi="Times New Roman" w:eastAsia="宋体" w:cs="Times New Roman"/>
                <w:b w:val="0"/>
                <w:bCs w:val="0"/>
                <w:sz w:val="21"/>
                <w:szCs w:val="21"/>
                <w:vertAlign w:val="superscript"/>
                <w:lang w:val="en-US" w:eastAsia="zh-CN"/>
              </w:rPr>
              <w:t>[c]</w:t>
            </w:r>
          </w:p>
        </w:tc>
        <w:tc>
          <w:tcPr>
            <w:tcW w:w="650" w:type="pct"/>
            <w:tcBorders>
              <w:top w:val="single" w:color="auto" w:sz="12" w:space="0"/>
              <w:left w:val="nil"/>
              <w:bottom w:val="single" w:color="auto" w:sz="12" w:space="0"/>
              <w:right w:val="nil"/>
            </w:tcBorders>
            <w:vAlign w:val="center"/>
          </w:tcPr>
          <w:p w14:paraId="33CED482">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eastAsia="宋体" w:cs="Times New Roman"/>
                <w:b w:val="0"/>
                <w:bCs w:val="0"/>
                <w:sz w:val="21"/>
                <w:szCs w:val="21"/>
                <w:vertAlign w:val="superscript"/>
                <w:lang w:val="en-US" w:eastAsia="zh-CN"/>
              </w:rPr>
            </w:pPr>
            <w:r>
              <w:rPr>
                <w:rFonts w:hint="default" w:ascii="Times New Roman" w:hAnsi="Times New Roman" w:cs="Times New Roman"/>
                <w:b w:val="0"/>
                <w:bCs w:val="0"/>
                <w:sz w:val="21"/>
                <w:szCs w:val="21"/>
              </w:rPr>
              <w:t>σ²×10</w:t>
            </w:r>
            <w:r>
              <w:rPr>
                <w:rFonts w:hint="default" w:ascii="Times New Roman" w:hAnsi="Times New Roman" w:eastAsia="宋体" w:cs="Times New Roman"/>
                <w:b w:val="0"/>
                <w:bCs w:val="0"/>
                <w:sz w:val="21"/>
                <w:szCs w:val="21"/>
                <w:vertAlign w:val="superscript"/>
                <w:lang w:val="en-US" w:eastAsia="zh-CN"/>
              </w:rPr>
              <w:t>3</w:t>
            </w:r>
            <w:r>
              <w:rPr>
                <w:rFonts w:hint="default" w:ascii="Times New Roman" w:hAnsi="Times New Roman" w:cs="Times New Roman"/>
                <w:b w:val="0"/>
                <w:bCs w:val="0"/>
                <w:sz w:val="21"/>
                <w:szCs w:val="21"/>
                <w:vertAlign w:val="superscript"/>
              </w:rPr>
              <w:t xml:space="preserve"> </w:t>
            </w:r>
            <w:r>
              <w:rPr>
                <w:rFonts w:hint="default" w:ascii="Times New Roman" w:hAnsi="Times New Roman" w:cs="Times New Roman"/>
                <w:b w:val="0"/>
                <w:bCs w:val="0"/>
                <w:sz w:val="21"/>
                <w:szCs w:val="21"/>
              </w:rPr>
              <w:t>(Å</w:t>
            </w:r>
            <w:r>
              <w:rPr>
                <w:rFonts w:hint="default" w:ascii="Times New Roman" w:hAnsi="Times New Roman" w:cs="Times New Roman"/>
                <w:b w:val="0"/>
                <w:bCs w:val="0"/>
                <w:sz w:val="21"/>
                <w:szCs w:val="21"/>
                <w:vertAlign w:val="superscript"/>
              </w:rPr>
              <w:t>2</w:t>
            </w:r>
            <w:r>
              <w:rPr>
                <w:rFonts w:hint="default" w:ascii="Times New Roman" w:hAnsi="Times New Roman" w:cs="Times New Roman"/>
                <w:b w:val="0"/>
                <w:bCs w:val="0"/>
                <w:sz w:val="21"/>
                <w:szCs w:val="21"/>
              </w:rPr>
              <w:t>)</w:t>
            </w:r>
            <w:r>
              <w:rPr>
                <w:rFonts w:hint="default" w:ascii="Times New Roman" w:hAnsi="Times New Roman" w:eastAsia="宋体" w:cs="Times New Roman"/>
                <w:b w:val="0"/>
                <w:bCs w:val="0"/>
                <w:sz w:val="21"/>
                <w:szCs w:val="21"/>
                <w:vertAlign w:val="superscript"/>
                <w:lang w:val="en-US" w:eastAsia="zh-CN"/>
              </w:rPr>
              <w:t>[d]</w:t>
            </w:r>
          </w:p>
        </w:tc>
        <w:tc>
          <w:tcPr>
            <w:tcW w:w="800" w:type="pct"/>
            <w:tcBorders>
              <w:top w:val="single" w:color="auto" w:sz="12" w:space="0"/>
              <w:left w:val="nil"/>
              <w:bottom w:val="single" w:color="auto" w:sz="12" w:space="0"/>
              <w:right w:val="nil"/>
            </w:tcBorders>
            <w:vAlign w:val="center"/>
          </w:tcPr>
          <w:p w14:paraId="20BB4CEE">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eastAsia="宋体" w:cs="Times New Roman"/>
                <w:b w:val="0"/>
                <w:bCs w:val="0"/>
                <w:sz w:val="21"/>
                <w:szCs w:val="21"/>
                <w:vertAlign w:val="superscript"/>
                <w:lang w:val="en-US" w:eastAsia="zh-CN"/>
              </w:rPr>
            </w:pPr>
            <w:r>
              <w:rPr>
                <w:rFonts w:hint="default" w:ascii="Times New Roman" w:hAnsi="Times New Roman" w:cs="Times New Roman"/>
                <w:b w:val="0"/>
                <w:bCs w:val="0"/>
                <w:sz w:val="21"/>
                <w:szCs w:val="21"/>
              </w:rPr>
              <w:t>ΔE</w:t>
            </w:r>
            <w:r>
              <w:rPr>
                <w:rFonts w:hint="default" w:ascii="Times New Roman" w:hAnsi="Times New Roman" w:eastAsia="宋体" w:cs="Times New Roman"/>
                <w:b w:val="0"/>
                <w:bCs w:val="0"/>
                <w:sz w:val="21"/>
                <w:szCs w:val="21"/>
                <w:vertAlign w:val="subscript"/>
                <w:lang w:val="en-US" w:eastAsia="zh-CN"/>
              </w:rPr>
              <w:t>0</w:t>
            </w:r>
            <w:r>
              <w:rPr>
                <w:rFonts w:hint="default" w:ascii="Times New Roman" w:hAnsi="Times New Roman" w:cs="Times New Roman"/>
                <w:b w:val="0"/>
                <w:bCs w:val="0"/>
                <w:sz w:val="21"/>
                <w:szCs w:val="21"/>
              </w:rPr>
              <w:t xml:space="preserve"> (eV)</w:t>
            </w:r>
            <w:r>
              <w:rPr>
                <w:rFonts w:hint="default" w:ascii="Times New Roman" w:hAnsi="Times New Roman" w:eastAsia="宋体" w:cs="Times New Roman"/>
                <w:b w:val="0"/>
                <w:bCs w:val="0"/>
                <w:sz w:val="21"/>
                <w:szCs w:val="21"/>
                <w:vertAlign w:val="superscript"/>
                <w:lang w:val="en-US" w:eastAsia="zh-CN"/>
              </w:rPr>
              <w:t>[e]</w:t>
            </w:r>
          </w:p>
        </w:tc>
        <w:tc>
          <w:tcPr>
            <w:tcW w:w="562" w:type="pct"/>
            <w:tcBorders>
              <w:top w:val="single" w:color="auto" w:sz="12" w:space="0"/>
              <w:left w:val="nil"/>
              <w:bottom w:val="single" w:color="auto" w:sz="12" w:space="0"/>
            </w:tcBorders>
            <w:vAlign w:val="center"/>
          </w:tcPr>
          <w:p w14:paraId="4C8307CC">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eastAsia="宋体" w:cs="Times New Roman"/>
                <w:b w:val="0"/>
                <w:bCs w:val="0"/>
                <w:sz w:val="21"/>
                <w:szCs w:val="21"/>
                <w:vertAlign w:val="superscript"/>
                <w:lang w:val="en-US" w:eastAsia="zh-CN"/>
              </w:rPr>
            </w:pPr>
            <w:r>
              <w:rPr>
                <w:rFonts w:hint="default" w:ascii="Times New Roman" w:hAnsi="Times New Roman" w:cs="Times New Roman"/>
                <w:b w:val="0"/>
                <w:bCs w:val="0"/>
                <w:sz w:val="21"/>
                <w:szCs w:val="21"/>
              </w:rPr>
              <w:t>R-factor</w:t>
            </w:r>
            <w:r>
              <w:rPr>
                <w:rFonts w:hint="default" w:ascii="Times New Roman" w:hAnsi="Times New Roman" w:eastAsia="宋体" w:cs="Times New Roman"/>
                <w:b w:val="0"/>
                <w:bCs w:val="0"/>
                <w:sz w:val="21"/>
                <w:szCs w:val="21"/>
                <w:vertAlign w:val="superscript"/>
                <w:lang w:val="en-US" w:eastAsia="zh-CN"/>
              </w:rPr>
              <w:t>[f]</w:t>
            </w:r>
          </w:p>
        </w:tc>
      </w:tr>
      <w:tr w14:paraId="2205E5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24" w:type="pct"/>
            <w:tcBorders>
              <w:top w:val="nil"/>
              <w:bottom w:val="nil"/>
              <w:right w:val="nil"/>
            </w:tcBorders>
            <w:vAlign w:val="center"/>
          </w:tcPr>
          <w:p w14:paraId="76238015">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cs="Times New Roman"/>
                <w:b w:val="0"/>
                <w:bCs w:val="0"/>
                <w:sz w:val="21"/>
                <w:szCs w:val="21"/>
              </w:rPr>
            </w:pPr>
            <w:r>
              <w:rPr>
                <w:rFonts w:hint="default" w:ascii="Times New Roman" w:hAnsi="Times New Roman" w:cs="Times New Roman" w:eastAsiaTheme="minorEastAsia"/>
                <w:b w:val="0"/>
                <w:bCs w:val="0"/>
                <w:sz w:val="21"/>
                <w:szCs w:val="21"/>
                <w:lang w:eastAsia="zh-CN"/>
              </w:rPr>
              <w:t>CeO</w:t>
            </w:r>
            <w:r>
              <w:rPr>
                <w:rFonts w:hint="default" w:ascii="Times New Roman" w:hAnsi="Times New Roman" w:cs="Times New Roman" w:eastAsiaTheme="minorEastAsia"/>
                <w:b w:val="0"/>
                <w:bCs w:val="0"/>
                <w:sz w:val="21"/>
                <w:szCs w:val="21"/>
                <w:vertAlign w:val="subscript"/>
                <w:lang w:eastAsia="zh-CN"/>
              </w:rPr>
              <w:t>2</w:t>
            </w:r>
          </w:p>
        </w:tc>
        <w:tc>
          <w:tcPr>
            <w:tcW w:w="652" w:type="pct"/>
            <w:tcBorders>
              <w:top w:val="nil"/>
              <w:left w:val="nil"/>
              <w:bottom w:val="nil"/>
              <w:right w:val="nil"/>
            </w:tcBorders>
            <w:vAlign w:val="center"/>
          </w:tcPr>
          <w:p w14:paraId="4AF592CD">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cs="Times New Roman" w:eastAsiaTheme="minorEastAsia"/>
                <w:b w:val="0"/>
                <w:bCs w:val="0"/>
                <w:sz w:val="21"/>
                <w:szCs w:val="21"/>
                <w:lang w:eastAsia="zh-CN"/>
              </w:rPr>
            </w:pPr>
            <w:r>
              <w:rPr>
                <w:rFonts w:hint="default" w:ascii="Times New Roman" w:hAnsi="Times New Roman" w:eastAsia="等线" w:cs="Times New Roman"/>
                <w:b w:val="0"/>
                <w:bCs w:val="0"/>
                <w:color w:val="000000" w:themeColor="text1"/>
                <w:sz w:val="21"/>
                <w:szCs w:val="21"/>
                <w14:textFill>
                  <w14:solidFill>
                    <w14:schemeClr w14:val="tx1"/>
                  </w14:solidFill>
                </w14:textFill>
              </w:rPr>
              <w:t>Ce-O</w:t>
            </w:r>
          </w:p>
        </w:tc>
        <w:tc>
          <w:tcPr>
            <w:tcW w:w="715" w:type="pct"/>
            <w:tcBorders>
              <w:top w:val="nil"/>
              <w:left w:val="nil"/>
              <w:bottom w:val="nil"/>
              <w:right w:val="nil"/>
            </w:tcBorders>
            <w:vAlign w:val="center"/>
          </w:tcPr>
          <w:p w14:paraId="4A0D8EF9">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cs="Times New Roman" w:eastAsiaTheme="minorEastAsia"/>
                <w:b w:val="0"/>
                <w:bCs w:val="0"/>
                <w:sz w:val="21"/>
                <w:szCs w:val="21"/>
                <w:lang w:val="en-US" w:eastAsia="zh-CN"/>
              </w:rPr>
            </w:pPr>
            <w:r>
              <w:rPr>
                <w:rFonts w:hint="default" w:ascii="Times New Roman" w:hAnsi="Times New Roman" w:cs="Times New Roman" w:eastAsiaTheme="minorEastAsia"/>
                <w:b w:val="0"/>
                <w:bCs w:val="0"/>
                <w:sz w:val="21"/>
                <w:szCs w:val="21"/>
                <w:lang w:eastAsia="zh-CN"/>
              </w:rPr>
              <w:t>8*</w:t>
            </w:r>
            <w:r>
              <w:rPr>
                <w:rFonts w:hint="default" w:ascii="Times New Roman" w:hAnsi="Times New Roman" w:cs="Times New Roman" w:eastAsiaTheme="minorEastAsia"/>
                <w:b w:val="0"/>
                <w:bCs w:val="0"/>
                <w:sz w:val="21"/>
                <w:szCs w:val="21"/>
                <w:vertAlign w:val="superscript"/>
                <w:lang w:val="en-US" w:eastAsia="zh-CN"/>
              </w:rPr>
              <w:t>[a]</w:t>
            </w:r>
          </w:p>
        </w:tc>
        <w:tc>
          <w:tcPr>
            <w:tcW w:w="795" w:type="pct"/>
            <w:tcBorders>
              <w:top w:val="nil"/>
              <w:left w:val="nil"/>
              <w:bottom w:val="nil"/>
              <w:right w:val="nil"/>
            </w:tcBorders>
            <w:vAlign w:val="center"/>
          </w:tcPr>
          <w:p w14:paraId="0532D1C2">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cs="Times New Roman" w:eastAsiaTheme="minorEastAsia"/>
                <w:b w:val="0"/>
                <w:bCs w:val="0"/>
                <w:sz w:val="21"/>
                <w:szCs w:val="21"/>
                <w:lang w:eastAsia="zh-CN"/>
              </w:rPr>
            </w:pPr>
            <w:r>
              <w:rPr>
                <w:rFonts w:hint="default" w:ascii="Times New Roman" w:hAnsi="Times New Roman" w:eastAsia="等线" w:cs="Times New Roman"/>
                <w:b w:val="0"/>
                <w:bCs w:val="0"/>
                <w:color w:val="000000" w:themeColor="text1"/>
                <w:sz w:val="21"/>
                <w:szCs w:val="21"/>
                <w14:textFill>
                  <w14:solidFill>
                    <w14:schemeClr w14:val="tx1"/>
                  </w14:solidFill>
                </w14:textFill>
              </w:rPr>
              <w:t>2.</w:t>
            </w:r>
            <w:r>
              <w:rPr>
                <w:rFonts w:hint="default" w:ascii="Times New Roman" w:hAnsi="Times New Roman" w:eastAsia="等线" w:cs="Times New Roman"/>
                <w:b w:val="0"/>
                <w:bCs w:val="0"/>
                <w:color w:val="000000" w:themeColor="text1"/>
                <w:sz w:val="21"/>
                <w:szCs w:val="21"/>
                <w:lang w:eastAsia="zh-CN"/>
                <w14:textFill>
                  <w14:solidFill>
                    <w14:schemeClr w14:val="tx1"/>
                  </w14:solidFill>
                </w14:textFill>
              </w:rPr>
              <w:t>34</w:t>
            </w:r>
            <w:r>
              <w:rPr>
                <w:rFonts w:hint="default" w:ascii="Times New Roman" w:hAnsi="Times New Roman" w:eastAsia="等线" w:cs="Times New Roman"/>
                <w:b w:val="0"/>
                <w:bCs w:val="0"/>
                <w:color w:val="000000" w:themeColor="text1"/>
                <w:sz w:val="21"/>
                <w:szCs w:val="21"/>
                <w14:textFill>
                  <w14:solidFill>
                    <w14:schemeClr w14:val="tx1"/>
                  </w14:solidFill>
                </w14:textFill>
              </w:rPr>
              <w:t>±0.02</w:t>
            </w:r>
          </w:p>
        </w:tc>
        <w:tc>
          <w:tcPr>
            <w:tcW w:w="650" w:type="pct"/>
            <w:tcBorders>
              <w:top w:val="single" w:color="auto" w:sz="12" w:space="0"/>
              <w:left w:val="nil"/>
              <w:bottom w:val="nil"/>
              <w:right w:val="nil"/>
            </w:tcBorders>
            <w:vAlign w:val="center"/>
          </w:tcPr>
          <w:p w14:paraId="09A5B727">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cs="Times New Roman" w:eastAsiaTheme="minorEastAsia"/>
                <w:b w:val="0"/>
                <w:bCs w:val="0"/>
                <w:sz w:val="21"/>
                <w:szCs w:val="21"/>
                <w:lang w:eastAsia="zh-CN"/>
              </w:rPr>
            </w:pPr>
            <w:r>
              <w:rPr>
                <w:rFonts w:hint="default" w:ascii="Times New Roman" w:hAnsi="Times New Roman" w:eastAsia="等线" w:cs="Times New Roman"/>
                <w:b w:val="0"/>
                <w:bCs w:val="0"/>
                <w:color w:val="000000" w:themeColor="text1"/>
                <w:sz w:val="21"/>
                <w:szCs w:val="21"/>
                <w14:textFill>
                  <w14:solidFill>
                    <w14:schemeClr w14:val="tx1"/>
                  </w14:solidFill>
                </w14:textFill>
              </w:rPr>
              <w:t>0.008</w:t>
            </w:r>
            <w:r>
              <w:rPr>
                <w:rFonts w:hint="default" w:ascii="Times New Roman" w:hAnsi="Times New Roman" w:eastAsia="等线" w:cs="Times New Roman"/>
                <w:b w:val="0"/>
                <w:bCs w:val="0"/>
                <w:color w:val="000000" w:themeColor="text1"/>
                <w:sz w:val="21"/>
                <w:szCs w:val="21"/>
                <w:lang w:eastAsia="zh-CN"/>
                <w14:textFill>
                  <w14:solidFill>
                    <w14:schemeClr w14:val="tx1"/>
                  </w14:solidFill>
                </w14:textFill>
              </w:rPr>
              <w:t>6</w:t>
            </w:r>
          </w:p>
        </w:tc>
        <w:tc>
          <w:tcPr>
            <w:tcW w:w="800" w:type="pct"/>
            <w:tcBorders>
              <w:top w:val="single" w:color="auto" w:sz="12" w:space="0"/>
              <w:left w:val="nil"/>
              <w:bottom w:val="nil"/>
              <w:right w:val="nil"/>
            </w:tcBorders>
            <w:vAlign w:val="center"/>
          </w:tcPr>
          <w:p w14:paraId="35700512">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cs="Times New Roman"/>
                <w:b w:val="0"/>
                <w:bCs w:val="0"/>
                <w:sz w:val="21"/>
                <w:szCs w:val="21"/>
                <w:lang w:eastAsia="zh-CN"/>
              </w:rPr>
            </w:pPr>
            <w:r>
              <w:rPr>
                <w:rFonts w:hint="default" w:ascii="Times New Roman" w:hAnsi="Times New Roman" w:eastAsia="等线" w:cs="Times New Roman"/>
                <w:b w:val="0"/>
                <w:bCs w:val="0"/>
                <w:color w:val="000000" w:themeColor="text1"/>
                <w:sz w:val="21"/>
                <w:szCs w:val="21"/>
                <w:lang w:eastAsia="zh-CN"/>
                <w14:textFill>
                  <w14:solidFill>
                    <w14:schemeClr w14:val="tx1"/>
                  </w14:solidFill>
                </w14:textFill>
              </w:rPr>
              <w:t>6.7</w:t>
            </w:r>
            <w:r>
              <w:rPr>
                <w:rFonts w:hint="default" w:ascii="Times New Roman" w:hAnsi="Times New Roman" w:eastAsia="等线" w:cs="Times New Roman"/>
                <w:b w:val="0"/>
                <w:bCs w:val="0"/>
                <w:color w:val="000000" w:themeColor="text1"/>
                <w:sz w:val="21"/>
                <w:szCs w:val="21"/>
                <w14:textFill>
                  <w14:solidFill>
                    <w14:schemeClr w14:val="tx1"/>
                  </w14:solidFill>
                </w14:textFill>
              </w:rPr>
              <w:t>±</w:t>
            </w:r>
            <w:r>
              <w:rPr>
                <w:rFonts w:hint="default" w:ascii="Times New Roman" w:hAnsi="Times New Roman" w:eastAsia="等线" w:cs="Times New Roman"/>
                <w:b w:val="0"/>
                <w:bCs w:val="0"/>
                <w:color w:val="000000" w:themeColor="text1"/>
                <w:sz w:val="21"/>
                <w:szCs w:val="21"/>
                <w:lang w:eastAsia="zh-CN"/>
                <w14:textFill>
                  <w14:solidFill>
                    <w14:schemeClr w14:val="tx1"/>
                  </w14:solidFill>
                </w14:textFill>
              </w:rPr>
              <w:t>0.9</w:t>
            </w:r>
          </w:p>
        </w:tc>
        <w:tc>
          <w:tcPr>
            <w:tcW w:w="562" w:type="pct"/>
            <w:tcBorders>
              <w:top w:val="single" w:color="auto" w:sz="12" w:space="0"/>
              <w:left w:val="nil"/>
              <w:bottom w:val="nil"/>
            </w:tcBorders>
            <w:vAlign w:val="center"/>
          </w:tcPr>
          <w:p w14:paraId="257F5C55">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cs="Times New Roman"/>
                <w:b w:val="0"/>
                <w:bCs w:val="0"/>
                <w:sz w:val="21"/>
                <w:szCs w:val="21"/>
                <w:lang w:eastAsia="zh-CN"/>
              </w:rPr>
            </w:pPr>
            <w:r>
              <w:rPr>
                <w:rFonts w:hint="default" w:ascii="Times New Roman" w:hAnsi="Times New Roman" w:eastAsia="等线" w:cs="Times New Roman"/>
                <w:b w:val="0"/>
                <w:bCs w:val="0"/>
                <w:color w:val="000000" w:themeColor="text1"/>
                <w:sz w:val="21"/>
                <w:szCs w:val="21"/>
                <w14:textFill>
                  <w14:solidFill>
                    <w14:schemeClr w14:val="tx1"/>
                  </w14:solidFill>
                </w14:textFill>
              </w:rPr>
              <w:t>0.01</w:t>
            </w:r>
            <w:r>
              <w:rPr>
                <w:rFonts w:hint="default" w:ascii="Times New Roman" w:hAnsi="Times New Roman" w:eastAsia="等线" w:cs="Times New Roman"/>
                <w:b w:val="0"/>
                <w:bCs w:val="0"/>
                <w:color w:val="000000" w:themeColor="text1"/>
                <w:sz w:val="21"/>
                <w:szCs w:val="21"/>
                <w:lang w:eastAsia="zh-CN"/>
                <w14:textFill>
                  <w14:solidFill>
                    <w14:schemeClr w14:val="tx1"/>
                  </w14:solidFill>
                </w14:textFill>
              </w:rPr>
              <w:t>69</w:t>
            </w:r>
          </w:p>
        </w:tc>
      </w:tr>
      <w:tr w14:paraId="4BA656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24" w:type="pct"/>
            <w:tcBorders>
              <w:top w:val="nil"/>
              <w:bottom w:val="single" w:color="auto" w:sz="12" w:space="0"/>
              <w:right w:val="nil"/>
            </w:tcBorders>
            <w:vAlign w:val="center"/>
          </w:tcPr>
          <w:p w14:paraId="574AB090">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cs="Times New Roman" w:eastAsiaTheme="minorEastAsia"/>
                <w:b w:val="0"/>
                <w:bCs w:val="0"/>
                <w:sz w:val="21"/>
                <w:szCs w:val="21"/>
                <w:lang w:eastAsia="zh-CN"/>
              </w:rPr>
            </w:pPr>
            <w:bookmarkStart w:id="23" w:name="_Hlk222862566"/>
            <w:r>
              <w:rPr>
                <w:rFonts w:hint="default" w:ascii="Times New Roman" w:hAnsi="Times New Roman" w:cs="Times New Roman" w:eastAsiaTheme="minorEastAsia"/>
                <w:b w:val="0"/>
                <w:bCs w:val="0"/>
                <w:sz w:val="21"/>
                <w:szCs w:val="21"/>
                <w:lang w:eastAsia="zh-CN"/>
              </w:rPr>
              <w:t>Ce Sample</w:t>
            </w:r>
          </w:p>
        </w:tc>
        <w:tc>
          <w:tcPr>
            <w:tcW w:w="652" w:type="pct"/>
            <w:tcBorders>
              <w:top w:val="nil"/>
              <w:left w:val="nil"/>
              <w:bottom w:val="single" w:color="auto" w:sz="12" w:space="0"/>
              <w:right w:val="nil"/>
            </w:tcBorders>
            <w:vAlign w:val="center"/>
          </w:tcPr>
          <w:p w14:paraId="676473A7">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eastAsia="等线" w:cs="Times New Roman"/>
                <w:b w:val="0"/>
                <w:bCs w:val="0"/>
                <w:color w:val="000000" w:themeColor="text1"/>
                <w:sz w:val="21"/>
                <w:szCs w:val="21"/>
                <w14:textFill>
                  <w14:solidFill>
                    <w14:schemeClr w14:val="tx1"/>
                  </w14:solidFill>
                </w14:textFill>
              </w:rPr>
            </w:pPr>
            <w:r>
              <w:rPr>
                <w:rFonts w:hint="default" w:ascii="Times New Roman" w:hAnsi="Times New Roman" w:eastAsia="等线" w:cs="Times New Roman"/>
                <w:b w:val="0"/>
                <w:bCs w:val="0"/>
                <w:color w:val="000000" w:themeColor="text1"/>
                <w:sz w:val="21"/>
                <w:szCs w:val="21"/>
                <w14:textFill>
                  <w14:solidFill>
                    <w14:schemeClr w14:val="tx1"/>
                  </w14:solidFill>
                </w14:textFill>
              </w:rPr>
              <w:t>Ce-O</w:t>
            </w:r>
          </w:p>
        </w:tc>
        <w:tc>
          <w:tcPr>
            <w:tcW w:w="715" w:type="pct"/>
            <w:tcBorders>
              <w:top w:val="nil"/>
              <w:left w:val="nil"/>
              <w:bottom w:val="single" w:color="auto" w:sz="12" w:space="0"/>
              <w:right w:val="nil"/>
            </w:tcBorders>
            <w:vAlign w:val="center"/>
          </w:tcPr>
          <w:p w14:paraId="13B5CABA">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cs="Times New Roman" w:eastAsiaTheme="minorEastAsia"/>
                <w:b w:val="0"/>
                <w:bCs w:val="0"/>
                <w:sz w:val="21"/>
                <w:szCs w:val="21"/>
                <w:lang w:eastAsia="zh-CN"/>
              </w:rPr>
            </w:pPr>
            <w:r>
              <w:rPr>
                <w:rFonts w:hint="default" w:ascii="Times New Roman" w:hAnsi="Times New Roman" w:cs="Times New Roman" w:eastAsiaTheme="minorEastAsia"/>
                <w:b w:val="0"/>
                <w:bCs w:val="0"/>
                <w:sz w:val="21"/>
                <w:szCs w:val="21"/>
                <w:lang w:eastAsia="zh-CN"/>
              </w:rPr>
              <w:t>6*</w:t>
            </w:r>
            <w:r>
              <w:rPr>
                <w:rFonts w:hint="default" w:ascii="Times New Roman" w:hAnsi="Times New Roman" w:cs="Times New Roman" w:eastAsiaTheme="minorEastAsia"/>
                <w:b w:val="0"/>
                <w:bCs w:val="0"/>
                <w:sz w:val="21"/>
                <w:szCs w:val="21"/>
                <w:vertAlign w:val="superscript"/>
                <w:lang w:val="en-US" w:eastAsia="zh-CN"/>
              </w:rPr>
              <w:t>[b]</w:t>
            </w:r>
          </w:p>
        </w:tc>
        <w:tc>
          <w:tcPr>
            <w:tcW w:w="795" w:type="pct"/>
            <w:tcBorders>
              <w:top w:val="nil"/>
              <w:left w:val="nil"/>
              <w:bottom w:val="single" w:color="auto" w:sz="12" w:space="0"/>
              <w:right w:val="nil"/>
            </w:tcBorders>
            <w:vAlign w:val="center"/>
          </w:tcPr>
          <w:p w14:paraId="402EFB1E">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eastAsia="等线" w:cs="Times New Roman"/>
                <w:b w:val="0"/>
                <w:bCs w:val="0"/>
                <w:color w:val="000000" w:themeColor="text1"/>
                <w:sz w:val="21"/>
                <w:szCs w:val="21"/>
                <w14:textFill>
                  <w14:solidFill>
                    <w14:schemeClr w14:val="tx1"/>
                  </w14:solidFill>
                </w14:textFill>
              </w:rPr>
            </w:pPr>
            <w:r>
              <w:rPr>
                <w:rFonts w:hint="default" w:ascii="Times New Roman" w:hAnsi="Times New Roman" w:eastAsia="等线" w:cs="Times New Roman"/>
                <w:b w:val="0"/>
                <w:bCs w:val="0"/>
                <w:color w:val="000000" w:themeColor="text1"/>
                <w:sz w:val="21"/>
                <w:szCs w:val="21"/>
                <w14:textFill>
                  <w14:solidFill>
                    <w14:schemeClr w14:val="tx1"/>
                  </w14:solidFill>
                </w14:textFill>
              </w:rPr>
              <w:t>2.42±0.05</w:t>
            </w:r>
          </w:p>
        </w:tc>
        <w:tc>
          <w:tcPr>
            <w:tcW w:w="650" w:type="pct"/>
            <w:tcBorders>
              <w:top w:val="nil"/>
              <w:left w:val="nil"/>
              <w:bottom w:val="single" w:color="auto" w:sz="12" w:space="0"/>
              <w:right w:val="nil"/>
            </w:tcBorders>
            <w:vAlign w:val="center"/>
          </w:tcPr>
          <w:p w14:paraId="6564748E">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eastAsia="等线" w:cs="Times New Roman"/>
                <w:b w:val="0"/>
                <w:bCs w:val="0"/>
                <w:color w:val="000000" w:themeColor="text1"/>
                <w:sz w:val="21"/>
                <w:szCs w:val="21"/>
                <w14:textFill>
                  <w14:solidFill>
                    <w14:schemeClr w14:val="tx1"/>
                  </w14:solidFill>
                </w14:textFill>
              </w:rPr>
            </w:pPr>
            <w:r>
              <w:rPr>
                <w:rFonts w:hint="default" w:ascii="Times New Roman" w:hAnsi="Times New Roman" w:eastAsia="等线" w:cs="Times New Roman"/>
                <w:b w:val="0"/>
                <w:bCs w:val="0"/>
                <w:color w:val="000000" w:themeColor="text1"/>
                <w:sz w:val="21"/>
                <w:szCs w:val="21"/>
                <w14:textFill>
                  <w14:solidFill>
                    <w14:schemeClr w14:val="tx1"/>
                  </w14:solidFill>
                </w14:textFill>
              </w:rPr>
              <w:t>0.0111</w:t>
            </w:r>
          </w:p>
        </w:tc>
        <w:tc>
          <w:tcPr>
            <w:tcW w:w="800" w:type="pct"/>
            <w:tcBorders>
              <w:top w:val="nil"/>
              <w:left w:val="nil"/>
              <w:bottom w:val="single" w:color="auto" w:sz="12" w:space="0"/>
              <w:right w:val="nil"/>
            </w:tcBorders>
            <w:vAlign w:val="center"/>
          </w:tcPr>
          <w:p w14:paraId="59D85070">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eastAsia="等线" w:cs="Times New Roman"/>
                <w:b w:val="0"/>
                <w:bCs w:val="0"/>
                <w:color w:val="000000" w:themeColor="text1"/>
                <w:sz w:val="21"/>
                <w:szCs w:val="21"/>
                <w14:textFill>
                  <w14:solidFill>
                    <w14:schemeClr w14:val="tx1"/>
                  </w14:solidFill>
                </w14:textFill>
              </w:rPr>
            </w:pPr>
            <w:r>
              <w:rPr>
                <w:rFonts w:hint="default" w:ascii="Times New Roman" w:hAnsi="Times New Roman" w:eastAsia="等线" w:cs="Times New Roman"/>
                <w:b w:val="0"/>
                <w:bCs w:val="0"/>
                <w:color w:val="000000" w:themeColor="text1"/>
                <w:sz w:val="21"/>
                <w:szCs w:val="21"/>
                <w14:textFill>
                  <w14:solidFill>
                    <w14:schemeClr w14:val="tx1"/>
                  </w14:solidFill>
                </w14:textFill>
              </w:rPr>
              <w:t>-1.2±2.4</w:t>
            </w:r>
          </w:p>
        </w:tc>
        <w:tc>
          <w:tcPr>
            <w:tcW w:w="562" w:type="pct"/>
            <w:tcBorders>
              <w:top w:val="nil"/>
              <w:left w:val="nil"/>
              <w:bottom w:val="single" w:color="auto" w:sz="12" w:space="0"/>
            </w:tcBorders>
            <w:vAlign w:val="center"/>
          </w:tcPr>
          <w:p w14:paraId="5A92C542">
            <w:pPr>
              <w:keepNext w:val="0"/>
              <w:keepLines w:val="0"/>
              <w:pageBreakBefore w:val="0"/>
              <w:widowControl/>
              <w:kinsoku/>
              <w:wordWrap/>
              <w:overflowPunct/>
              <w:topLinePunct w:val="0"/>
              <w:autoSpaceDN/>
              <w:bidi w:val="0"/>
              <w:spacing w:line="360" w:lineRule="auto"/>
              <w:jc w:val="center"/>
              <w:textAlignment w:val="auto"/>
              <w:rPr>
                <w:rFonts w:hint="default" w:ascii="Times New Roman" w:hAnsi="Times New Roman" w:eastAsia="等线" w:cs="Times New Roman"/>
                <w:b w:val="0"/>
                <w:bCs w:val="0"/>
                <w:color w:val="000000" w:themeColor="text1"/>
                <w:sz w:val="21"/>
                <w:szCs w:val="21"/>
                <w14:textFill>
                  <w14:solidFill>
                    <w14:schemeClr w14:val="tx1"/>
                  </w14:solidFill>
                </w14:textFill>
              </w:rPr>
            </w:pPr>
            <w:r>
              <w:rPr>
                <w:rFonts w:hint="default" w:ascii="Times New Roman" w:hAnsi="Times New Roman" w:eastAsia="等线" w:cs="Times New Roman"/>
                <w:b w:val="0"/>
                <w:bCs w:val="0"/>
                <w:color w:val="000000" w:themeColor="text1"/>
                <w:sz w:val="21"/>
                <w:szCs w:val="21"/>
                <w14:textFill>
                  <w14:solidFill>
                    <w14:schemeClr w14:val="tx1"/>
                  </w14:solidFill>
                </w14:textFill>
              </w:rPr>
              <w:t>0.0222</w:t>
            </w:r>
          </w:p>
        </w:tc>
      </w:tr>
      <w:bookmarkEnd w:id="23"/>
    </w:tbl>
    <w:p w14:paraId="474CCC89">
      <w:pPr>
        <w:pStyle w:val="30"/>
        <w:keepNext w:val="0"/>
        <w:keepLines w:val="0"/>
        <w:pageBreakBefore w:val="0"/>
        <w:widowControl/>
        <w:kinsoku/>
        <w:wordWrap/>
        <w:overflowPunct/>
        <w:topLinePunct w:val="0"/>
        <w:autoSpaceDN/>
        <w:bidi w:val="0"/>
        <w:spacing w:before="0" w:after="0" w:line="360" w:lineRule="auto"/>
        <w:textAlignment w:val="auto"/>
        <w:rPr>
          <w:rFonts w:hint="default" w:ascii="Times New Roman" w:hAnsi="Times New Roman" w:cs="Times New Roman"/>
          <w:sz w:val="24"/>
          <w:szCs w:val="24"/>
          <w:lang w:val="en-US" w:eastAsia="zh-CN"/>
        </w:rPr>
      </w:pPr>
      <w:r>
        <w:rPr>
          <w:rFonts w:hint="default" w:ascii="Times New Roman" w:hAnsi="Times New Roman" w:eastAsia="宋体" w:cs="Times New Roman"/>
          <w:sz w:val="24"/>
          <w:szCs w:val="24"/>
          <w:lang w:val="en-US" w:eastAsia="zh-CN"/>
        </w:rPr>
        <w:t>Note: [a]</w:t>
      </w:r>
      <w:r>
        <w:rPr>
          <w:rFonts w:hint="default" w:ascii="Times New Roman" w:hAnsi="Times New Roman" w:cs="Times New Roman"/>
          <w:sz w:val="24"/>
          <w:szCs w:val="24"/>
        </w:rPr>
        <w:t xml:space="preserve">* indicates the coordination number was fixed. </w:t>
      </w:r>
      <w:r>
        <w:rPr>
          <w:rFonts w:hint="default" w:ascii="Times New Roman" w:hAnsi="Times New Roman" w:eastAsia="宋体" w:cs="Times New Roman"/>
          <w:sz w:val="24"/>
          <w:szCs w:val="24"/>
          <w:lang w:val="en-US" w:eastAsia="zh-CN"/>
        </w:rPr>
        <w:t xml:space="preserve">[b] </w:t>
      </w:r>
      <w:r>
        <w:rPr>
          <w:rFonts w:hint="default" w:ascii="Times New Roman" w:hAnsi="Times New Roman" w:cs="Times New Roman"/>
          <w:sz w:val="24"/>
          <w:szCs w:val="24"/>
        </w:rPr>
        <w:t>C</w:t>
      </w:r>
      <w:r>
        <w:rPr>
          <w:rFonts w:hint="default" w:ascii="Times New Roman" w:hAnsi="Times New Roman" w:eastAsia="宋体" w:cs="Times New Roman"/>
          <w:sz w:val="24"/>
          <w:szCs w:val="24"/>
          <w:lang w:val="en-US" w:eastAsia="zh-CN"/>
        </w:rPr>
        <w:t>.</w:t>
      </w:r>
      <w:r>
        <w:rPr>
          <w:rFonts w:hint="default" w:ascii="Times New Roman" w:hAnsi="Times New Roman" w:cs="Times New Roman"/>
          <w:sz w:val="24"/>
          <w:szCs w:val="24"/>
        </w:rPr>
        <w:t>N</w:t>
      </w:r>
      <w:r>
        <w:rPr>
          <w:rFonts w:hint="default" w:ascii="Times New Roman" w:hAnsi="Times New Roman" w:eastAsia="宋体" w:cs="Times New Roman"/>
          <w:sz w:val="24"/>
          <w:szCs w:val="24"/>
          <w:lang w:val="en-US" w:eastAsia="zh-CN"/>
        </w:rPr>
        <w:t>.</w:t>
      </w:r>
      <w:r>
        <w:rPr>
          <w:rFonts w:hint="default" w:ascii="Times New Roman" w:hAnsi="Times New Roman" w:cs="Times New Roman"/>
          <w:sz w:val="24"/>
          <w:szCs w:val="24"/>
        </w:rPr>
        <w:t xml:space="preserve"> is the coordination number</w:t>
      </w:r>
      <w:r>
        <w:rPr>
          <w:rFonts w:hint="default" w:ascii="Times New Roman" w:hAnsi="Times New Roman" w:eastAsia="宋体" w:cs="Times New Roman"/>
          <w:sz w:val="24"/>
          <w:szCs w:val="24"/>
          <w:lang w:val="en-US" w:eastAsia="zh-CN"/>
        </w:rPr>
        <w:t>.</w:t>
      </w:r>
      <w:r>
        <w:rPr>
          <w:rFonts w:hint="default" w:ascii="Times New Roman" w:hAnsi="Times New Roman" w:cs="Times New Roman"/>
          <w:sz w:val="24"/>
          <w:szCs w:val="24"/>
        </w:rPr>
        <w:t xml:space="preserve"> </w:t>
      </w:r>
      <w:r>
        <w:rPr>
          <w:rFonts w:hint="default" w:ascii="Times New Roman" w:hAnsi="Times New Roman" w:eastAsia="宋体" w:cs="Times New Roman"/>
          <w:sz w:val="24"/>
          <w:szCs w:val="24"/>
          <w:lang w:val="en-US" w:eastAsia="zh-CN"/>
        </w:rPr>
        <w:t xml:space="preserve">[c] </w:t>
      </w:r>
      <w:r>
        <w:rPr>
          <w:rFonts w:hint="default" w:ascii="Times New Roman" w:hAnsi="Times New Roman" w:cs="Times New Roman"/>
          <w:sz w:val="24"/>
          <w:szCs w:val="24"/>
        </w:rPr>
        <w:t>R is the interatomic distance between absorber and backscatter atom</w:t>
      </w:r>
      <w:r>
        <w:rPr>
          <w:rFonts w:hint="default" w:ascii="Times New Roman" w:hAnsi="Times New Roman" w:eastAsia="宋体" w:cs="Times New Roman"/>
          <w:sz w:val="24"/>
          <w:szCs w:val="24"/>
          <w:lang w:val="en-US" w:eastAsia="zh-CN"/>
        </w:rPr>
        <w:t>. [d]</w:t>
      </w:r>
      <w:r>
        <w:rPr>
          <w:rFonts w:hint="default" w:ascii="Times New Roman" w:hAnsi="Times New Roman" w:cs="Times New Roman"/>
          <w:sz w:val="24"/>
          <w:szCs w:val="24"/>
        </w:rPr>
        <w:t xml:space="preserve"> σ² is the Debye-Waller factor to account for both thermal and structural disorders</w:t>
      </w:r>
      <w:r>
        <w:rPr>
          <w:rFonts w:hint="default" w:ascii="Times New Roman" w:hAnsi="Times New Roman" w:eastAsia="宋体" w:cs="Times New Roman"/>
          <w:sz w:val="24"/>
          <w:szCs w:val="24"/>
          <w:lang w:val="en-US" w:eastAsia="zh-CN"/>
        </w:rPr>
        <w:t>.</w:t>
      </w:r>
      <w:r>
        <w:rPr>
          <w:rFonts w:hint="default" w:ascii="Times New Roman" w:hAnsi="Times New Roman" w:cs="Times New Roman"/>
          <w:sz w:val="24"/>
          <w:szCs w:val="24"/>
        </w:rPr>
        <w:t xml:space="preserve"> </w:t>
      </w:r>
      <w:r>
        <w:rPr>
          <w:rFonts w:hint="default" w:ascii="Times New Roman" w:hAnsi="Times New Roman" w:eastAsia="宋体" w:cs="Times New Roman"/>
          <w:sz w:val="24"/>
          <w:szCs w:val="24"/>
          <w:lang w:val="en-US" w:eastAsia="zh-CN"/>
        </w:rPr>
        <w:t xml:space="preserve">[e] </w:t>
      </w:r>
      <w:r>
        <w:rPr>
          <w:rFonts w:hint="default" w:ascii="Times New Roman" w:hAnsi="Times New Roman" w:cs="Times New Roman"/>
          <w:sz w:val="24"/>
          <w:szCs w:val="24"/>
        </w:rPr>
        <w:t>ΔE</w:t>
      </w:r>
      <w:r>
        <w:rPr>
          <w:rFonts w:hint="default" w:ascii="Times New Roman" w:hAnsi="Times New Roman" w:eastAsia="宋体" w:cs="Times New Roman"/>
          <w:sz w:val="24"/>
          <w:szCs w:val="24"/>
          <w:vertAlign w:val="subscript"/>
          <w:lang w:val="en-US" w:eastAsia="zh-CN"/>
        </w:rPr>
        <w:t>0</w:t>
      </w:r>
      <w:r>
        <w:rPr>
          <w:rFonts w:hint="default" w:ascii="Times New Roman" w:hAnsi="Times New Roman" w:cs="Times New Roman"/>
          <w:sz w:val="24"/>
          <w:szCs w:val="24"/>
        </w:rPr>
        <w:t xml:space="preserve"> is the inner potential correction</w:t>
      </w:r>
      <w:r>
        <w:rPr>
          <w:rFonts w:hint="default" w:ascii="Times New Roman" w:hAnsi="Times New Roman" w:eastAsia="宋体" w:cs="Times New Roman"/>
          <w:sz w:val="24"/>
          <w:szCs w:val="24"/>
          <w:lang w:val="en-US" w:eastAsia="zh-CN"/>
        </w:rPr>
        <w:t xml:space="preserve">. [f] </w:t>
      </w:r>
      <w:r>
        <w:rPr>
          <w:rFonts w:hint="default" w:ascii="Times New Roman" w:hAnsi="Times New Roman" w:cs="Times New Roman"/>
          <w:sz w:val="24"/>
          <w:szCs w:val="24"/>
        </w:rPr>
        <w:t>R factor is used to value the goodness of the fit.</w:t>
      </w:r>
    </w:p>
    <w:sectPr>
      <w:headerReference r:id="rId3" w:type="default"/>
      <w:footerReference r:id="rId4" w:type="default"/>
      <w:type w:val="continuous"/>
      <w:pgSz w:w="11906" w:h="16838"/>
      <w:pgMar w:top="1134" w:right="936" w:bottom="1134" w:left="936" w:header="1021" w:footer="0" w:gutter="0"/>
      <w:cols w:space="284"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S Mincho">
    <w:altName w:val="Yu Gothic UI"/>
    <w:panose1 w:val="02020609040205080304"/>
    <w:charset w:val="80"/>
    <w:family w:val="modern"/>
    <w:pitch w:val="default"/>
    <w:sig w:usb0="00000000" w:usb1="00000000" w:usb2="08000012" w:usb3="00000000" w:csb0="0002009F" w:csb1="00000000"/>
  </w:font>
  <w:font w:name="Yu Gothic UI">
    <w:panose1 w:val="020B0500000000000000"/>
    <w:charset w:val="80"/>
    <w:family w:val="auto"/>
    <w:pitch w:val="default"/>
    <w:sig w:usb0="E00002FF" w:usb1="2AC7FDFF" w:usb2="00000016" w:usb3="00000000" w:csb0="2002009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Arial Black">
    <w:panose1 w:val="020B0A04020102020204"/>
    <w:charset w:val="00"/>
    <w:family w:val="swiss"/>
    <w:pitch w:val="default"/>
    <w:sig w:usb0="A00002AF" w:usb1="400078FB" w:usb2="00000000" w:usb3="00000000" w:csb0="6000009F" w:csb1="DFD70000"/>
  </w:font>
  <w:font w:name="Times">
    <w:altName w:val="Times New Roman"/>
    <w:panose1 w:val="02020603050405020304"/>
    <w:charset w:val="00"/>
    <w:family w:val="roman"/>
    <w:pitch w:val="default"/>
    <w:sig w:usb0="00000000" w:usb1="00000000" w:usb2="00000009" w:usb3="00000000" w:csb0="000001FF" w:csb1="00000000"/>
  </w:font>
  <w:font w:name="等线">
    <w:panose1 w:val="02010600030101010101"/>
    <w:charset w:val="86"/>
    <w:family w:val="auto"/>
    <w:pitch w:val="default"/>
    <w:sig w:usb0="A00002BF" w:usb1="38CF7CFA" w:usb2="00000016" w:usb3="00000000" w:csb0="0004000F" w:csb1="00000000"/>
  </w:font>
  <w:font w:name="Yu Gothic">
    <w:panose1 w:val="020B0400000000000000"/>
    <w:charset w:val="80"/>
    <w:family w:val="swiss"/>
    <w:pitch w:val="default"/>
    <w:sig w:usb0="E00002FF" w:usb1="2AC7FDFF" w:usb2="00000016" w:usb3="00000000" w:csb0="2002009F"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A0757D">
    <w:pPr>
      <w:pStyle w:val="6"/>
      <w:jc w:val="center"/>
    </w:pPr>
    <w:r>
      <w:fldChar w:fldCharType="begin"/>
    </w:r>
    <w:r>
      <w:instrText xml:space="preserve"> PAGE   \* MERGEFORMAT </w:instrText>
    </w:r>
    <w:r>
      <w:fldChar w:fldCharType="separate"/>
    </w:r>
    <w:r>
      <w:t>26</w:t>
    </w:r>
    <w:r>
      <w:fldChar w:fldCharType="end"/>
    </w:r>
  </w:p>
  <w:p w14:paraId="57C835DE">
    <w:pPr>
      <w:pStyle w:val="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53A574">
    <w:pPr>
      <w:pStyle w:val="7"/>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425"/>
  <w:hyphenationZone w:val="425"/>
  <w:drawingGridHorizontalSpacing w:val="120"/>
  <w:displayHorizontalDrawingGridEvery w:val="0"/>
  <w:displayVerticalDrawingGridEvery w:val="2"/>
  <w:characterSpacingControl w:val="doNotCompress"/>
  <w:compat>
    <w:balanceSingleByteDoubleByteWidth/>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2NDI1NjYzMzEwsDQ1MjJU0lEKTi0uzszPAykwMq0FAGI8uigtAAAA"/>
    <w:docVar w:name="EN.InstantFormat" w:val="&lt;ENInstantFormat&gt;&lt;Enabled&gt;1&lt;/Enabled&gt;&lt;ScanUnformatted&gt;1&lt;/ScanUnformatted&gt;&lt;ScanChanges&gt;1&lt;/ScanChanges&gt;&lt;Suspended&gt;0&lt;/Suspended&gt;&lt;/ENInstantFormat&gt;"/>
    <w:docVar w:name="EN.Layout" w:val="&lt;ENLayout&gt;&lt;Style&gt;Angewandte Chemie-1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es0290f4evvxwef52apwvaer9s5zdeva5dv&quot;&gt;FeMo references&lt;record-ids&gt;&lt;item&gt;112&lt;/item&gt;&lt;item&gt;113&lt;/item&gt;&lt;item&gt;114&lt;/item&gt;&lt;item&gt;115&lt;/item&gt;&lt;item&gt;116&lt;/item&gt;&lt;item&gt;117&lt;/item&gt;&lt;item&gt;118&lt;/item&gt;&lt;item&gt;119&lt;/item&gt;&lt;/record-ids&gt;&lt;/item&gt;&lt;/Libraries&gt;"/>
  </w:docVars>
  <w:rsids>
    <w:rsidRoot w:val="00435445"/>
    <w:rsid w:val="00000F61"/>
    <w:rsid w:val="000013B9"/>
    <w:rsid w:val="0000159A"/>
    <w:rsid w:val="0000214A"/>
    <w:rsid w:val="00002DBC"/>
    <w:rsid w:val="00003927"/>
    <w:rsid w:val="0000457A"/>
    <w:rsid w:val="00010410"/>
    <w:rsid w:val="00010BA1"/>
    <w:rsid w:val="00011D51"/>
    <w:rsid w:val="000136A4"/>
    <w:rsid w:val="00013DD7"/>
    <w:rsid w:val="00013F21"/>
    <w:rsid w:val="0001654B"/>
    <w:rsid w:val="00017495"/>
    <w:rsid w:val="00022DB4"/>
    <w:rsid w:val="0002337F"/>
    <w:rsid w:val="000234E7"/>
    <w:rsid w:val="00023815"/>
    <w:rsid w:val="00024418"/>
    <w:rsid w:val="00025284"/>
    <w:rsid w:val="00027E75"/>
    <w:rsid w:val="00027F3A"/>
    <w:rsid w:val="00030395"/>
    <w:rsid w:val="000323DA"/>
    <w:rsid w:val="00033C26"/>
    <w:rsid w:val="00033D1A"/>
    <w:rsid w:val="00033F43"/>
    <w:rsid w:val="00036490"/>
    <w:rsid w:val="00040889"/>
    <w:rsid w:val="0004091A"/>
    <w:rsid w:val="0004118D"/>
    <w:rsid w:val="00041327"/>
    <w:rsid w:val="00042BF0"/>
    <w:rsid w:val="0004393F"/>
    <w:rsid w:val="00045AB9"/>
    <w:rsid w:val="00047B49"/>
    <w:rsid w:val="0005096E"/>
    <w:rsid w:val="0005140E"/>
    <w:rsid w:val="0005415A"/>
    <w:rsid w:val="00055137"/>
    <w:rsid w:val="00055485"/>
    <w:rsid w:val="00060390"/>
    <w:rsid w:val="0006121B"/>
    <w:rsid w:val="0006281D"/>
    <w:rsid w:val="00063E0F"/>
    <w:rsid w:val="0006489B"/>
    <w:rsid w:val="000650AB"/>
    <w:rsid w:val="00066104"/>
    <w:rsid w:val="0006694D"/>
    <w:rsid w:val="000669E3"/>
    <w:rsid w:val="00066B8E"/>
    <w:rsid w:val="00067930"/>
    <w:rsid w:val="00070B55"/>
    <w:rsid w:val="00070E0D"/>
    <w:rsid w:val="00070F66"/>
    <w:rsid w:val="0007315F"/>
    <w:rsid w:val="000736AA"/>
    <w:rsid w:val="00074B4F"/>
    <w:rsid w:val="00074CB4"/>
    <w:rsid w:val="00076E37"/>
    <w:rsid w:val="00077560"/>
    <w:rsid w:val="00077B56"/>
    <w:rsid w:val="0008077D"/>
    <w:rsid w:val="00082933"/>
    <w:rsid w:val="000907F4"/>
    <w:rsid w:val="00090993"/>
    <w:rsid w:val="000918A0"/>
    <w:rsid w:val="00094B15"/>
    <w:rsid w:val="0009539C"/>
    <w:rsid w:val="00095C2F"/>
    <w:rsid w:val="000A162D"/>
    <w:rsid w:val="000A1CAB"/>
    <w:rsid w:val="000A37F3"/>
    <w:rsid w:val="000A658A"/>
    <w:rsid w:val="000A77DC"/>
    <w:rsid w:val="000B0921"/>
    <w:rsid w:val="000B11CD"/>
    <w:rsid w:val="000B237F"/>
    <w:rsid w:val="000B3113"/>
    <w:rsid w:val="000B66B8"/>
    <w:rsid w:val="000B6D66"/>
    <w:rsid w:val="000B6DF3"/>
    <w:rsid w:val="000B7D96"/>
    <w:rsid w:val="000C1DBD"/>
    <w:rsid w:val="000C3D41"/>
    <w:rsid w:val="000C4579"/>
    <w:rsid w:val="000C53F1"/>
    <w:rsid w:val="000C65C7"/>
    <w:rsid w:val="000C660E"/>
    <w:rsid w:val="000C7FE5"/>
    <w:rsid w:val="000D11BD"/>
    <w:rsid w:val="000D24C1"/>
    <w:rsid w:val="000D37AC"/>
    <w:rsid w:val="000D5893"/>
    <w:rsid w:val="000D70F8"/>
    <w:rsid w:val="000D75B7"/>
    <w:rsid w:val="000D7701"/>
    <w:rsid w:val="000E069D"/>
    <w:rsid w:val="000E0815"/>
    <w:rsid w:val="000E0CEA"/>
    <w:rsid w:val="000E0EC4"/>
    <w:rsid w:val="000E1C81"/>
    <w:rsid w:val="000E20E1"/>
    <w:rsid w:val="000E3557"/>
    <w:rsid w:val="000E3924"/>
    <w:rsid w:val="000E434B"/>
    <w:rsid w:val="000E517A"/>
    <w:rsid w:val="000E5FDC"/>
    <w:rsid w:val="000E718F"/>
    <w:rsid w:val="000E76B8"/>
    <w:rsid w:val="000F29A4"/>
    <w:rsid w:val="000F2C63"/>
    <w:rsid w:val="000F2EA1"/>
    <w:rsid w:val="000F32BB"/>
    <w:rsid w:val="000F5BD1"/>
    <w:rsid w:val="000F7847"/>
    <w:rsid w:val="000F7D66"/>
    <w:rsid w:val="000F7EA0"/>
    <w:rsid w:val="001026D5"/>
    <w:rsid w:val="001037A1"/>
    <w:rsid w:val="00103EF7"/>
    <w:rsid w:val="00104119"/>
    <w:rsid w:val="001044D3"/>
    <w:rsid w:val="0010543E"/>
    <w:rsid w:val="00105D38"/>
    <w:rsid w:val="00105F97"/>
    <w:rsid w:val="00107DDC"/>
    <w:rsid w:val="00107E8C"/>
    <w:rsid w:val="00110EC9"/>
    <w:rsid w:val="001158DE"/>
    <w:rsid w:val="00115DEB"/>
    <w:rsid w:val="00117873"/>
    <w:rsid w:val="00120F2E"/>
    <w:rsid w:val="00121F66"/>
    <w:rsid w:val="001237B3"/>
    <w:rsid w:val="0012381E"/>
    <w:rsid w:val="00125D8C"/>
    <w:rsid w:val="00127CB3"/>
    <w:rsid w:val="001308BE"/>
    <w:rsid w:val="001313BA"/>
    <w:rsid w:val="0013149B"/>
    <w:rsid w:val="001322FF"/>
    <w:rsid w:val="0013316F"/>
    <w:rsid w:val="001332DF"/>
    <w:rsid w:val="001344F7"/>
    <w:rsid w:val="001348CD"/>
    <w:rsid w:val="0014043E"/>
    <w:rsid w:val="00140DB6"/>
    <w:rsid w:val="00141356"/>
    <w:rsid w:val="00141630"/>
    <w:rsid w:val="00143551"/>
    <w:rsid w:val="0014374D"/>
    <w:rsid w:val="00143B89"/>
    <w:rsid w:val="001460A2"/>
    <w:rsid w:val="001475BF"/>
    <w:rsid w:val="00151CD4"/>
    <w:rsid w:val="00152E6D"/>
    <w:rsid w:val="00155000"/>
    <w:rsid w:val="00155FB7"/>
    <w:rsid w:val="0015631F"/>
    <w:rsid w:val="00157C67"/>
    <w:rsid w:val="00160A85"/>
    <w:rsid w:val="0016203E"/>
    <w:rsid w:val="001639AE"/>
    <w:rsid w:val="001654DF"/>
    <w:rsid w:val="001662F3"/>
    <w:rsid w:val="00166BEB"/>
    <w:rsid w:val="00166D41"/>
    <w:rsid w:val="001678B6"/>
    <w:rsid w:val="0017048F"/>
    <w:rsid w:val="00171057"/>
    <w:rsid w:val="001719EA"/>
    <w:rsid w:val="001722F8"/>
    <w:rsid w:val="00172F48"/>
    <w:rsid w:val="00172F8E"/>
    <w:rsid w:val="001732A4"/>
    <w:rsid w:val="001769D6"/>
    <w:rsid w:val="001800AA"/>
    <w:rsid w:val="0018156F"/>
    <w:rsid w:val="0018165B"/>
    <w:rsid w:val="00181774"/>
    <w:rsid w:val="00181B78"/>
    <w:rsid w:val="00181E83"/>
    <w:rsid w:val="00181FF5"/>
    <w:rsid w:val="00184380"/>
    <w:rsid w:val="00186601"/>
    <w:rsid w:val="00186D91"/>
    <w:rsid w:val="0018748F"/>
    <w:rsid w:val="001878D0"/>
    <w:rsid w:val="0019014F"/>
    <w:rsid w:val="001905F0"/>
    <w:rsid w:val="00190B6C"/>
    <w:rsid w:val="00191970"/>
    <w:rsid w:val="00194818"/>
    <w:rsid w:val="00194A21"/>
    <w:rsid w:val="0019681C"/>
    <w:rsid w:val="00196DEB"/>
    <w:rsid w:val="00197F42"/>
    <w:rsid w:val="001A0582"/>
    <w:rsid w:val="001A0D55"/>
    <w:rsid w:val="001A3120"/>
    <w:rsid w:val="001A39AE"/>
    <w:rsid w:val="001A3B4E"/>
    <w:rsid w:val="001A438D"/>
    <w:rsid w:val="001A7A28"/>
    <w:rsid w:val="001B0DFC"/>
    <w:rsid w:val="001B17A7"/>
    <w:rsid w:val="001B1E08"/>
    <w:rsid w:val="001B6B09"/>
    <w:rsid w:val="001C1039"/>
    <w:rsid w:val="001C21E3"/>
    <w:rsid w:val="001C26A7"/>
    <w:rsid w:val="001C39B9"/>
    <w:rsid w:val="001C480E"/>
    <w:rsid w:val="001C4A86"/>
    <w:rsid w:val="001D0766"/>
    <w:rsid w:val="001D1155"/>
    <w:rsid w:val="001D13EA"/>
    <w:rsid w:val="001D13FE"/>
    <w:rsid w:val="001D216B"/>
    <w:rsid w:val="001D29CA"/>
    <w:rsid w:val="001D39CA"/>
    <w:rsid w:val="001D54CA"/>
    <w:rsid w:val="001D7940"/>
    <w:rsid w:val="001D7BD8"/>
    <w:rsid w:val="001D7ECC"/>
    <w:rsid w:val="001E06B2"/>
    <w:rsid w:val="001E0BB0"/>
    <w:rsid w:val="001E164A"/>
    <w:rsid w:val="001E28DF"/>
    <w:rsid w:val="001E2F1C"/>
    <w:rsid w:val="001E4A7C"/>
    <w:rsid w:val="001E5BD3"/>
    <w:rsid w:val="001E6DD2"/>
    <w:rsid w:val="001F16EA"/>
    <w:rsid w:val="001F16EF"/>
    <w:rsid w:val="001F1A2D"/>
    <w:rsid w:val="001F252B"/>
    <w:rsid w:val="001F4235"/>
    <w:rsid w:val="001F45C3"/>
    <w:rsid w:val="001F4EE4"/>
    <w:rsid w:val="001F6499"/>
    <w:rsid w:val="00200C6E"/>
    <w:rsid w:val="0020142E"/>
    <w:rsid w:val="0020306E"/>
    <w:rsid w:val="00204309"/>
    <w:rsid w:val="00205632"/>
    <w:rsid w:val="00207DAE"/>
    <w:rsid w:val="00210D6A"/>
    <w:rsid w:val="0021231A"/>
    <w:rsid w:val="00212CDE"/>
    <w:rsid w:val="00213D0E"/>
    <w:rsid w:val="00213FE3"/>
    <w:rsid w:val="002147D8"/>
    <w:rsid w:val="002155EE"/>
    <w:rsid w:val="002178C8"/>
    <w:rsid w:val="00221615"/>
    <w:rsid w:val="002221BA"/>
    <w:rsid w:val="00222D97"/>
    <w:rsid w:val="002235E4"/>
    <w:rsid w:val="00223C01"/>
    <w:rsid w:val="0022537E"/>
    <w:rsid w:val="0022582C"/>
    <w:rsid w:val="00232C14"/>
    <w:rsid w:val="00233184"/>
    <w:rsid w:val="002362C7"/>
    <w:rsid w:val="00240EC9"/>
    <w:rsid w:val="00241D85"/>
    <w:rsid w:val="0024269D"/>
    <w:rsid w:val="00242E54"/>
    <w:rsid w:val="002433F0"/>
    <w:rsid w:val="002436A8"/>
    <w:rsid w:val="00243927"/>
    <w:rsid w:val="00243A5C"/>
    <w:rsid w:val="00243B77"/>
    <w:rsid w:val="00246AB6"/>
    <w:rsid w:val="0025134D"/>
    <w:rsid w:val="002514A3"/>
    <w:rsid w:val="00251FE3"/>
    <w:rsid w:val="00252544"/>
    <w:rsid w:val="00252711"/>
    <w:rsid w:val="00260EDA"/>
    <w:rsid w:val="00261387"/>
    <w:rsid w:val="00261882"/>
    <w:rsid w:val="00264ED5"/>
    <w:rsid w:val="0026553A"/>
    <w:rsid w:val="00265DCA"/>
    <w:rsid w:val="002678E2"/>
    <w:rsid w:val="00267F8A"/>
    <w:rsid w:val="002702BC"/>
    <w:rsid w:val="00270394"/>
    <w:rsid w:val="0027068B"/>
    <w:rsid w:val="00271803"/>
    <w:rsid w:val="002756FF"/>
    <w:rsid w:val="00275765"/>
    <w:rsid w:val="002818E6"/>
    <w:rsid w:val="00286288"/>
    <w:rsid w:val="00286A95"/>
    <w:rsid w:val="00287256"/>
    <w:rsid w:val="00287610"/>
    <w:rsid w:val="00287981"/>
    <w:rsid w:val="00287B32"/>
    <w:rsid w:val="00291C93"/>
    <w:rsid w:val="00293A7C"/>
    <w:rsid w:val="00294812"/>
    <w:rsid w:val="00297DC9"/>
    <w:rsid w:val="002A36FA"/>
    <w:rsid w:val="002A561E"/>
    <w:rsid w:val="002A69D1"/>
    <w:rsid w:val="002B16E2"/>
    <w:rsid w:val="002B22BA"/>
    <w:rsid w:val="002B25E2"/>
    <w:rsid w:val="002B453B"/>
    <w:rsid w:val="002B54C4"/>
    <w:rsid w:val="002B7CA9"/>
    <w:rsid w:val="002C1028"/>
    <w:rsid w:val="002C36E0"/>
    <w:rsid w:val="002C5A4F"/>
    <w:rsid w:val="002C6B86"/>
    <w:rsid w:val="002D0B17"/>
    <w:rsid w:val="002D24CB"/>
    <w:rsid w:val="002D3369"/>
    <w:rsid w:val="002D3670"/>
    <w:rsid w:val="002D42FF"/>
    <w:rsid w:val="002D5148"/>
    <w:rsid w:val="002D58A9"/>
    <w:rsid w:val="002D5B99"/>
    <w:rsid w:val="002D60BC"/>
    <w:rsid w:val="002D612D"/>
    <w:rsid w:val="002E066F"/>
    <w:rsid w:val="002E11D0"/>
    <w:rsid w:val="002E2CA8"/>
    <w:rsid w:val="002E50C0"/>
    <w:rsid w:val="002E5E1E"/>
    <w:rsid w:val="002F0269"/>
    <w:rsid w:val="002F1479"/>
    <w:rsid w:val="002F17FB"/>
    <w:rsid w:val="002F3B6F"/>
    <w:rsid w:val="002F431C"/>
    <w:rsid w:val="002F45F5"/>
    <w:rsid w:val="002F56D6"/>
    <w:rsid w:val="002F6A4C"/>
    <w:rsid w:val="002F73A5"/>
    <w:rsid w:val="002F76D1"/>
    <w:rsid w:val="003006A7"/>
    <w:rsid w:val="00300918"/>
    <w:rsid w:val="00301167"/>
    <w:rsid w:val="00301D1E"/>
    <w:rsid w:val="00303FBE"/>
    <w:rsid w:val="003040CB"/>
    <w:rsid w:val="003059BA"/>
    <w:rsid w:val="00307510"/>
    <w:rsid w:val="003079D2"/>
    <w:rsid w:val="00307C5A"/>
    <w:rsid w:val="00311020"/>
    <w:rsid w:val="003113EB"/>
    <w:rsid w:val="003116F4"/>
    <w:rsid w:val="00312ED2"/>
    <w:rsid w:val="0031480C"/>
    <w:rsid w:val="0031651F"/>
    <w:rsid w:val="0032027F"/>
    <w:rsid w:val="0032048F"/>
    <w:rsid w:val="003219A5"/>
    <w:rsid w:val="00322D02"/>
    <w:rsid w:val="00322E1F"/>
    <w:rsid w:val="00323FC3"/>
    <w:rsid w:val="003244E2"/>
    <w:rsid w:val="00324724"/>
    <w:rsid w:val="00324B59"/>
    <w:rsid w:val="00324FF6"/>
    <w:rsid w:val="00325147"/>
    <w:rsid w:val="003254D1"/>
    <w:rsid w:val="00325516"/>
    <w:rsid w:val="003275FF"/>
    <w:rsid w:val="003300AD"/>
    <w:rsid w:val="0033054D"/>
    <w:rsid w:val="00331B5E"/>
    <w:rsid w:val="00332AF6"/>
    <w:rsid w:val="00333FAD"/>
    <w:rsid w:val="00335543"/>
    <w:rsid w:val="0033586B"/>
    <w:rsid w:val="00335A5A"/>
    <w:rsid w:val="00336A5A"/>
    <w:rsid w:val="00340164"/>
    <w:rsid w:val="003403BB"/>
    <w:rsid w:val="00340A08"/>
    <w:rsid w:val="00342B32"/>
    <w:rsid w:val="00343158"/>
    <w:rsid w:val="00344645"/>
    <w:rsid w:val="003447D7"/>
    <w:rsid w:val="0034496B"/>
    <w:rsid w:val="00345448"/>
    <w:rsid w:val="00354B57"/>
    <w:rsid w:val="003559AD"/>
    <w:rsid w:val="00356170"/>
    <w:rsid w:val="0036064A"/>
    <w:rsid w:val="00360F69"/>
    <w:rsid w:val="00363C63"/>
    <w:rsid w:val="00364753"/>
    <w:rsid w:val="00364A2A"/>
    <w:rsid w:val="003657B6"/>
    <w:rsid w:val="00365AF6"/>
    <w:rsid w:val="00366676"/>
    <w:rsid w:val="00366A82"/>
    <w:rsid w:val="00367779"/>
    <w:rsid w:val="003726F4"/>
    <w:rsid w:val="003728A6"/>
    <w:rsid w:val="00375415"/>
    <w:rsid w:val="003754E4"/>
    <w:rsid w:val="00376792"/>
    <w:rsid w:val="00376874"/>
    <w:rsid w:val="00376F37"/>
    <w:rsid w:val="00377E17"/>
    <w:rsid w:val="00382A32"/>
    <w:rsid w:val="00382A3F"/>
    <w:rsid w:val="003837A7"/>
    <w:rsid w:val="003838E0"/>
    <w:rsid w:val="0038463E"/>
    <w:rsid w:val="0038506F"/>
    <w:rsid w:val="00390DD7"/>
    <w:rsid w:val="003912BD"/>
    <w:rsid w:val="003935B5"/>
    <w:rsid w:val="00396BC6"/>
    <w:rsid w:val="00396BE2"/>
    <w:rsid w:val="00396CD6"/>
    <w:rsid w:val="00396E46"/>
    <w:rsid w:val="00396E8B"/>
    <w:rsid w:val="003972D7"/>
    <w:rsid w:val="003A2789"/>
    <w:rsid w:val="003A3C4D"/>
    <w:rsid w:val="003B03E8"/>
    <w:rsid w:val="003B04BA"/>
    <w:rsid w:val="003B0FC4"/>
    <w:rsid w:val="003B21F8"/>
    <w:rsid w:val="003B36A0"/>
    <w:rsid w:val="003B6C60"/>
    <w:rsid w:val="003B70C8"/>
    <w:rsid w:val="003C134A"/>
    <w:rsid w:val="003C16F3"/>
    <w:rsid w:val="003C1CCA"/>
    <w:rsid w:val="003C2390"/>
    <w:rsid w:val="003C2972"/>
    <w:rsid w:val="003C2C9C"/>
    <w:rsid w:val="003C3327"/>
    <w:rsid w:val="003C33C4"/>
    <w:rsid w:val="003C40A1"/>
    <w:rsid w:val="003C5551"/>
    <w:rsid w:val="003C5C7E"/>
    <w:rsid w:val="003C6B59"/>
    <w:rsid w:val="003C6E1A"/>
    <w:rsid w:val="003D0F51"/>
    <w:rsid w:val="003D136F"/>
    <w:rsid w:val="003D1C1A"/>
    <w:rsid w:val="003D2581"/>
    <w:rsid w:val="003D41CC"/>
    <w:rsid w:val="003E03C3"/>
    <w:rsid w:val="003E0ED3"/>
    <w:rsid w:val="003E262A"/>
    <w:rsid w:val="003E54CD"/>
    <w:rsid w:val="003E7319"/>
    <w:rsid w:val="003E7506"/>
    <w:rsid w:val="003F07ED"/>
    <w:rsid w:val="003F1223"/>
    <w:rsid w:val="003F2556"/>
    <w:rsid w:val="003F50D4"/>
    <w:rsid w:val="003F5872"/>
    <w:rsid w:val="0040080D"/>
    <w:rsid w:val="00401D47"/>
    <w:rsid w:val="0040270E"/>
    <w:rsid w:val="00403876"/>
    <w:rsid w:val="004062B1"/>
    <w:rsid w:val="0040649A"/>
    <w:rsid w:val="00406AD6"/>
    <w:rsid w:val="004070B6"/>
    <w:rsid w:val="004072DD"/>
    <w:rsid w:val="00410A76"/>
    <w:rsid w:val="00411759"/>
    <w:rsid w:val="00411AA6"/>
    <w:rsid w:val="00412148"/>
    <w:rsid w:val="00414412"/>
    <w:rsid w:val="00415780"/>
    <w:rsid w:val="00415971"/>
    <w:rsid w:val="00416B05"/>
    <w:rsid w:val="00417E49"/>
    <w:rsid w:val="00421281"/>
    <w:rsid w:val="00422AFE"/>
    <w:rsid w:val="00423593"/>
    <w:rsid w:val="00423FB9"/>
    <w:rsid w:val="0042409B"/>
    <w:rsid w:val="00424978"/>
    <w:rsid w:val="0042545B"/>
    <w:rsid w:val="00427CBD"/>
    <w:rsid w:val="004308F4"/>
    <w:rsid w:val="00431151"/>
    <w:rsid w:val="00432307"/>
    <w:rsid w:val="00432846"/>
    <w:rsid w:val="004347EB"/>
    <w:rsid w:val="00434F62"/>
    <w:rsid w:val="004353D7"/>
    <w:rsid w:val="00435445"/>
    <w:rsid w:val="00435D6F"/>
    <w:rsid w:val="00436338"/>
    <w:rsid w:val="00437B5A"/>
    <w:rsid w:val="00440C63"/>
    <w:rsid w:val="00441DFF"/>
    <w:rsid w:val="00444E3C"/>
    <w:rsid w:val="00445D5C"/>
    <w:rsid w:val="004465F9"/>
    <w:rsid w:val="004466B0"/>
    <w:rsid w:val="0045469F"/>
    <w:rsid w:val="0045489F"/>
    <w:rsid w:val="00454A2D"/>
    <w:rsid w:val="004556E1"/>
    <w:rsid w:val="004609E1"/>
    <w:rsid w:val="00460C28"/>
    <w:rsid w:val="00461BD2"/>
    <w:rsid w:val="00462A09"/>
    <w:rsid w:val="004644E1"/>
    <w:rsid w:val="0046574E"/>
    <w:rsid w:val="004657E8"/>
    <w:rsid w:val="00466E60"/>
    <w:rsid w:val="00467E99"/>
    <w:rsid w:val="00470790"/>
    <w:rsid w:val="00470FBB"/>
    <w:rsid w:val="004713DF"/>
    <w:rsid w:val="0047223E"/>
    <w:rsid w:val="00473029"/>
    <w:rsid w:val="00473EE4"/>
    <w:rsid w:val="004748CF"/>
    <w:rsid w:val="00474ACB"/>
    <w:rsid w:val="00477B4C"/>
    <w:rsid w:val="00477B99"/>
    <w:rsid w:val="004806C0"/>
    <w:rsid w:val="00480C3B"/>
    <w:rsid w:val="004841CA"/>
    <w:rsid w:val="00485C84"/>
    <w:rsid w:val="00486215"/>
    <w:rsid w:val="0048630D"/>
    <w:rsid w:val="00486723"/>
    <w:rsid w:val="0049023F"/>
    <w:rsid w:val="00490E63"/>
    <w:rsid w:val="00491D2F"/>
    <w:rsid w:val="004921CF"/>
    <w:rsid w:val="00492AEE"/>
    <w:rsid w:val="004930F0"/>
    <w:rsid w:val="0049314F"/>
    <w:rsid w:val="004A0BA8"/>
    <w:rsid w:val="004A1DD3"/>
    <w:rsid w:val="004A3D91"/>
    <w:rsid w:val="004A489D"/>
    <w:rsid w:val="004A4A2E"/>
    <w:rsid w:val="004A4CD0"/>
    <w:rsid w:val="004A5108"/>
    <w:rsid w:val="004A6A76"/>
    <w:rsid w:val="004A6B6D"/>
    <w:rsid w:val="004A6DB6"/>
    <w:rsid w:val="004A73A8"/>
    <w:rsid w:val="004A75D5"/>
    <w:rsid w:val="004A771F"/>
    <w:rsid w:val="004A78AE"/>
    <w:rsid w:val="004B004E"/>
    <w:rsid w:val="004B0589"/>
    <w:rsid w:val="004B0B74"/>
    <w:rsid w:val="004B1783"/>
    <w:rsid w:val="004B30A7"/>
    <w:rsid w:val="004B40FF"/>
    <w:rsid w:val="004B5192"/>
    <w:rsid w:val="004B5349"/>
    <w:rsid w:val="004B65AE"/>
    <w:rsid w:val="004B7661"/>
    <w:rsid w:val="004C01E5"/>
    <w:rsid w:val="004C1836"/>
    <w:rsid w:val="004C22E6"/>
    <w:rsid w:val="004C2834"/>
    <w:rsid w:val="004C2FAC"/>
    <w:rsid w:val="004C3CC9"/>
    <w:rsid w:val="004C471F"/>
    <w:rsid w:val="004C536E"/>
    <w:rsid w:val="004C5F41"/>
    <w:rsid w:val="004C619A"/>
    <w:rsid w:val="004C67EA"/>
    <w:rsid w:val="004C6D04"/>
    <w:rsid w:val="004D026F"/>
    <w:rsid w:val="004D090A"/>
    <w:rsid w:val="004D31C6"/>
    <w:rsid w:val="004D4293"/>
    <w:rsid w:val="004D4EE4"/>
    <w:rsid w:val="004D51AD"/>
    <w:rsid w:val="004D5ABB"/>
    <w:rsid w:val="004D6DB8"/>
    <w:rsid w:val="004E0056"/>
    <w:rsid w:val="004E13F1"/>
    <w:rsid w:val="004E3F83"/>
    <w:rsid w:val="004E4A53"/>
    <w:rsid w:val="004E4DFF"/>
    <w:rsid w:val="004E5278"/>
    <w:rsid w:val="004E74F4"/>
    <w:rsid w:val="004E7DB6"/>
    <w:rsid w:val="004F0129"/>
    <w:rsid w:val="004F257F"/>
    <w:rsid w:val="004F35CD"/>
    <w:rsid w:val="004F4AAF"/>
    <w:rsid w:val="004F5521"/>
    <w:rsid w:val="004F58A5"/>
    <w:rsid w:val="004F6AD1"/>
    <w:rsid w:val="00501639"/>
    <w:rsid w:val="00501EFF"/>
    <w:rsid w:val="005020B7"/>
    <w:rsid w:val="00502541"/>
    <w:rsid w:val="0050277D"/>
    <w:rsid w:val="005029F9"/>
    <w:rsid w:val="00502BD1"/>
    <w:rsid w:val="005035EB"/>
    <w:rsid w:val="00505C5D"/>
    <w:rsid w:val="0050689B"/>
    <w:rsid w:val="005068AA"/>
    <w:rsid w:val="00506EDB"/>
    <w:rsid w:val="00511093"/>
    <w:rsid w:val="00512A8E"/>
    <w:rsid w:val="00512ABD"/>
    <w:rsid w:val="0051366E"/>
    <w:rsid w:val="00516B8F"/>
    <w:rsid w:val="00517236"/>
    <w:rsid w:val="00520422"/>
    <w:rsid w:val="0052085F"/>
    <w:rsid w:val="00521A6B"/>
    <w:rsid w:val="0052404D"/>
    <w:rsid w:val="00525FD1"/>
    <w:rsid w:val="00527D68"/>
    <w:rsid w:val="00530284"/>
    <w:rsid w:val="005321B0"/>
    <w:rsid w:val="005328A9"/>
    <w:rsid w:val="005340FB"/>
    <w:rsid w:val="0053418A"/>
    <w:rsid w:val="005349D6"/>
    <w:rsid w:val="005352D1"/>
    <w:rsid w:val="005353A2"/>
    <w:rsid w:val="00536BC1"/>
    <w:rsid w:val="00536C05"/>
    <w:rsid w:val="00537952"/>
    <w:rsid w:val="00537F36"/>
    <w:rsid w:val="00540626"/>
    <w:rsid w:val="00541205"/>
    <w:rsid w:val="0054161B"/>
    <w:rsid w:val="005420CB"/>
    <w:rsid w:val="005433DE"/>
    <w:rsid w:val="0054352A"/>
    <w:rsid w:val="005435CB"/>
    <w:rsid w:val="0054376F"/>
    <w:rsid w:val="0054420E"/>
    <w:rsid w:val="00546955"/>
    <w:rsid w:val="005472E5"/>
    <w:rsid w:val="00547D5A"/>
    <w:rsid w:val="0055057E"/>
    <w:rsid w:val="005507B0"/>
    <w:rsid w:val="005507E6"/>
    <w:rsid w:val="00550B0C"/>
    <w:rsid w:val="005510B4"/>
    <w:rsid w:val="0055113D"/>
    <w:rsid w:val="005551F3"/>
    <w:rsid w:val="00556A65"/>
    <w:rsid w:val="005578E8"/>
    <w:rsid w:val="00561C0E"/>
    <w:rsid w:val="0056203A"/>
    <w:rsid w:val="00564774"/>
    <w:rsid w:val="005661CA"/>
    <w:rsid w:val="005662EA"/>
    <w:rsid w:val="00567B5A"/>
    <w:rsid w:val="00567C18"/>
    <w:rsid w:val="0057009B"/>
    <w:rsid w:val="00570DFC"/>
    <w:rsid w:val="005735B3"/>
    <w:rsid w:val="005765EE"/>
    <w:rsid w:val="005801F0"/>
    <w:rsid w:val="005807D9"/>
    <w:rsid w:val="00581CBD"/>
    <w:rsid w:val="00582020"/>
    <w:rsid w:val="005826CC"/>
    <w:rsid w:val="00582C9E"/>
    <w:rsid w:val="005839B9"/>
    <w:rsid w:val="00586DF8"/>
    <w:rsid w:val="00591AB8"/>
    <w:rsid w:val="00594C91"/>
    <w:rsid w:val="00597954"/>
    <w:rsid w:val="005A2DAA"/>
    <w:rsid w:val="005A59DE"/>
    <w:rsid w:val="005A6AE7"/>
    <w:rsid w:val="005B10C2"/>
    <w:rsid w:val="005B15A7"/>
    <w:rsid w:val="005B32D7"/>
    <w:rsid w:val="005B3509"/>
    <w:rsid w:val="005B430B"/>
    <w:rsid w:val="005B4324"/>
    <w:rsid w:val="005B43B7"/>
    <w:rsid w:val="005B515E"/>
    <w:rsid w:val="005B5599"/>
    <w:rsid w:val="005B5D4F"/>
    <w:rsid w:val="005B6716"/>
    <w:rsid w:val="005B6C80"/>
    <w:rsid w:val="005B71FC"/>
    <w:rsid w:val="005B722E"/>
    <w:rsid w:val="005C01A0"/>
    <w:rsid w:val="005C08BF"/>
    <w:rsid w:val="005C2238"/>
    <w:rsid w:val="005C4CEE"/>
    <w:rsid w:val="005C4F38"/>
    <w:rsid w:val="005C5196"/>
    <w:rsid w:val="005C5B26"/>
    <w:rsid w:val="005D1EBB"/>
    <w:rsid w:val="005D43FD"/>
    <w:rsid w:val="005D49C5"/>
    <w:rsid w:val="005D65E6"/>
    <w:rsid w:val="005E05F5"/>
    <w:rsid w:val="005E20F0"/>
    <w:rsid w:val="005E2182"/>
    <w:rsid w:val="005E30A1"/>
    <w:rsid w:val="005E5FE1"/>
    <w:rsid w:val="005E7F03"/>
    <w:rsid w:val="005F19CB"/>
    <w:rsid w:val="005F3E5B"/>
    <w:rsid w:val="005F5348"/>
    <w:rsid w:val="005F74E7"/>
    <w:rsid w:val="006011C8"/>
    <w:rsid w:val="006024FD"/>
    <w:rsid w:val="0060310C"/>
    <w:rsid w:val="00603D0A"/>
    <w:rsid w:val="00604D4E"/>
    <w:rsid w:val="00605777"/>
    <w:rsid w:val="00605FAC"/>
    <w:rsid w:val="00607594"/>
    <w:rsid w:val="0061173C"/>
    <w:rsid w:val="006150DB"/>
    <w:rsid w:val="00617527"/>
    <w:rsid w:val="006200AB"/>
    <w:rsid w:val="00620450"/>
    <w:rsid w:val="00620753"/>
    <w:rsid w:val="00620911"/>
    <w:rsid w:val="00620C61"/>
    <w:rsid w:val="00621EDB"/>
    <w:rsid w:val="006232E1"/>
    <w:rsid w:val="006235B9"/>
    <w:rsid w:val="006268CD"/>
    <w:rsid w:val="00627CF8"/>
    <w:rsid w:val="00627F57"/>
    <w:rsid w:val="00632043"/>
    <w:rsid w:val="00635094"/>
    <w:rsid w:val="00635480"/>
    <w:rsid w:val="00635CF3"/>
    <w:rsid w:val="00636E7E"/>
    <w:rsid w:val="00644209"/>
    <w:rsid w:val="006457C6"/>
    <w:rsid w:val="00647525"/>
    <w:rsid w:val="006479FE"/>
    <w:rsid w:val="00650442"/>
    <w:rsid w:val="00650656"/>
    <w:rsid w:val="0065259C"/>
    <w:rsid w:val="00654750"/>
    <w:rsid w:val="00654D9D"/>
    <w:rsid w:val="00654E17"/>
    <w:rsid w:val="00655C2B"/>
    <w:rsid w:val="00656014"/>
    <w:rsid w:val="00656634"/>
    <w:rsid w:val="006576F7"/>
    <w:rsid w:val="0066216C"/>
    <w:rsid w:val="006626A2"/>
    <w:rsid w:val="00665E34"/>
    <w:rsid w:val="00667019"/>
    <w:rsid w:val="006675EA"/>
    <w:rsid w:val="00667B9A"/>
    <w:rsid w:val="00671E1E"/>
    <w:rsid w:val="006722A0"/>
    <w:rsid w:val="006724B9"/>
    <w:rsid w:val="00672587"/>
    <w:rsid w:val="0067512C"/>
    <w:rsid w:val="0067756A"/>
    <w:rsid w:val="00677AB5"/>
    <w:rsid w:val="00677D6F"/>
    <w:rsid w:val="00680AA4"/>
    <w:rsid w:val="006812E2"/>
    <w:rsid w:val="006814C9"/>
    <w:rsid w:val="00681A96"/>
    <w:rsid w:val="00683FFF"/>
    <w:rsid w:val="00684C1E"/>
    <w:rsid w:val="00685DA5"/>
    <w:rsid w:val="0068673B"/>
    <w:rsid w:val="00691E8F"/>
    <w:rsid w:val="0069430F"/>
    <w:rsid w:val="00694EC1"/>
    <w:rsid w:val="006956E5"/>
    <w:rsid w:val="0069644B"/>
    <w:rsid w:val="006976AD"/>
    <w:rsid w:val="00697E3B"/>
    <w:rsid w:val="006A024A"/>
    <w:rsid w:val="006A108F"/>
    <w:rsid w:val="006A170F"/>
    <w:rsid w:val="006A2254"/>
    <w:rsid w:val="006A5AE8"/>
    <w:rsid w:val="006A6116"/>
    <w:rsid w:val="006A7E4F"/>
    <w:rsid w:val="006B04A7"/>
    <w:rsid w:val="006B1FB1"/>
    <w:rsid w:val="006B369F"/>
    <w:rsid w:val="006B3A2C"/>
    <w:rsid w:val="006B4DC6"/>
    <w:rsid w:val="006B4E8D"/>
    <w:rsid w:val="006B50E8"/>
    <w:rsid w:val="006B5BA8"/>
    <w:rsid w:val="006B5DE9"/>
    <w:rsid w:val="006B5F9D"/>
    <w:rsid w:val="006B6806"/>
    <w:rsid w:val="006B700F"/>
    <w:rsid w:val="006B72C2"/>
    <w:rsid w:val="006B7C3F"/>
    <w:rsid w:val="006C1123"/>
    <w:rsid w:val="006C2335"/>
    <w:rsid w:val="006C2DBE"/>
    <w:rsid w:val="006C5C46"/>
    <w:rsid w:val="006C5F03"/>
    <w:rsid w:val="006C643D"/>
    <w:rsid w:val="006C6BFE"/>
    <w:rsid w:val="006C6D39"/>
    <w:rsid w:val="006C71E0"/>
    <w:rsid w:val="006C7693"/>
    <w:rsid w:val="006C7F18"/>
    <w:rsid w:val="006D02C0"/>
    <w:rsid w:val="006D184F"/>
    <w:rsid w:val="006D2D7B"/>
    <w:rsid w:val="006D31D6"/>
    <w:rsid w:val="006D3595"/>
    <w:rsid w:val="006D46FF"/>
    <w:rsid w:val="006D4F77"/>
    <w:rsid w:val="006D6793"/>
    <w:rsid w:val="006D7111"/>
    <w:rsid w:val="006E041E"/>
    <w:rsid w:val="006E4F3A"/>
    <w:rsid w:val="006E5BAA"/>
    <w:rsid w:val="006E5BEA"/>
    <w:rsid w:val="006E7083"/>
    <w:rsid w:val="006F0EB7"/>
    <w:rsid w:val="006F18CA"/>
    <w:rsid w:val="006F328A"/>
    <w:rsid w:val="006F6671"/>
    <w:rsid w:val="006F689E"/>
    <w:rsid w:val="006F77BC"/>
    <w:rsid w:val="00700F72"/>
    <w:rsid w:val="007013DE"/>
    <w:rsid w:val="00701830"/>
    <w:rsid w:val="00702F63"/>
    <w:rsid w:val="00703481"/>
    <w:rsid w:val="00703DB0"/>
    <w:rsid w:val="00705629"/>
    <w:rsid w:val="00705EE6"/>
    <w:rsid w:val="00710252"/>
    <w:rsid w:val="00710283"/>
    <w:rsid w:val="00710812"/>
    <w:rsid w:val="00710C68"/>
    <w:rsid w:val="00711E9D"/>
    <w:rsid w:val="007130CE"/>
    <w:rsid w:val="00713548"/>
    <w:rsid w:val="00713B1C"/>
    <w:rsid w:val="00714DB9"/>
    <w:rsid w:val="00714DC9"/>
    <w:rsid w:val="0071700B"/>
    <w:rsid w:val="007171CE"/>
    <w:rsid w:val="00717BD5"/>
    <w:rsid w:val="00720A2A"/>
    <w:rsid w:val="00720FED"/>
    <w:rsid w:val="00723E75"/>
    <w:rsid w:val="007249D7"/>
    <w:rsid w:val="007252DA"/>
    <w:rsid w:val="00726401"/>
    <w:rsid w:val="007319B1"/>
    <w:rsid w:val="00731B44"/>
    <w:rsid w:val="00732798"/>
    <w:rsid w:val="00733156"/>
    <w:rsid w:val="00733F53"/>
    <w:rsid w:val="00736B44"/>
    <w:rsid w:val="00737098"/>
    <w:rsid w:val="00737264"/>
    <w:rsid w:val="007406C2"/>
    <w:rsid w:val="007407AE"/>
    <w:rsid w:val="00740CE1"/>
    <w:rsid w:val="00740D95"/>
    <w:rsid w:val="0074126C"/>
    <w:rsid w:val="00741B47"/>
    <w:rsid w:val="00745DE7"/>
    <w:rsid w:val="00746C0D"/>
    <w:rsid w:val="007476C4"/>
    <w:rsid w:val="00747B19"/>
    <w:rsid w:val="00750326"/>
    <w:rsid w:val="00751CD6"/>
    <w:rsid w:val="0075278E"/>
    <w:rsid w:val="00754F5F"/>
    <w:rsid w:val="00756A05"/>
    <w:rsid w:val="00757401"/>
    <w:rsid w:val="00757673"/>
    <w:rsid w:val="007576FA"/>
    <w:rsid w:val="00757C71"/>
    <w:rsid w:val="00760A21"/>
    <w:rsid w:val="00761092"/>
    <w:rsid w:val="00761B49"/>
    <w:rsid w:val="00763D77"/>
    <w:rsid w:val="00763EDE"/>
    <w:rsid w:val="007643D1"/>
    <w:rsid w:val="00764F01"/>
    <w:rsid w:val="00765C4D"/>
    <w:rsid w:val="007663E0"/>
    <w:rsid w:val="00767D19"/>
    <w:rsid w:val="007709DB"/>
    <w:rsid w:val="00772B96"/>
    <w:rsid w:val="00773904"/>
    <w:rsid w:val="00773C11"/>
    <w:rsid w:val="00773C4B"/>
    <w:rsid w:val="00773D16"/>
    <w:rsid w:val="007740A8"/>
    <w:rsid w:val="007743EB"/>
    <w:rsid w:val="0077483D"/>
    <w:rsid w:val="00775C8A"/>
    <w:rsid w:val="00775F73"/>
    <w:rsid w:val="007776E8"/>
    <w:rsid w:val="007804C7"/>
    <w:rsid w:val="007815C4"/>
    <w:rsid w:val="00781855"/>
    <w:rsid w:val="00781B48"/>
    <w:rsid w:val="00781B8A"/>
    <w:rsid w:val="00782145"/>
    <w:rsid w:val="00783FBE"/>
    <w:rsid w:val="0078628B"/>
    <w:rsid w:val="0078784C"/>
    <w:rsid w:val="00792322"/>
    <w:rsid w:val="00792ED4"/>
    <w:rsid w:val="00794DEA"/>
    <w:rsid w:val="007958BF"/>
    <w:rsid w:val="00795C58"/>
    <w:rsid w:val="007A2294"/>
    <w:rsid w:val="007A6D99"/>
    <w:rsid w:val="007A7E01"/>
    <w:rsid w:val="007B05F5"/>
    <w:rsid w:val="007B6A97"/>
    <w:rsid w:val="007B721B"/>
    <w:rsid w:val="007B726E"/>
    <w:rsid w:val="007B7D02"/>
    <w:rsid w:val="007C22AE"/>
    <w:rsid w:val="007C2805"/>
    <w:rsid w:val="007C3D60"/>
    <w:rsid w:val="007C542A"/>
    <w:rsid w:val="007C5712"/>
    <w:rsid w:val="007C672F"/>
    <w:rsid w:val="007C7343"/>
    <w:rsid w:val="007C7C12"/>
    <w:rsid w:val="007D02BD"/>
    <w:rsid w:val="007D0337"/>
    <w:rsid w:val="007D0701"/>
    <w:rsid w:val="007D1787"/>
    <w:rsid w:val="007D2ED9"/>
    <w:rsid w:val="007D3A7B"/>
    <w:rsid w:val="007E1184"/>
    <w:rsid w:val="007E1B1B"/>
    <w:rsid w:val="007E2CB8"/>
    <w:rsid w:val="007E3A49"/>
    <w:rsid w:val="007E3D55"/>
    <w:rsid w:val="007E52D5"/>
    <w:rsid w:val="007E6725"/>
    <w:rsid w:val="007E7187"/>
    <w:rsid w:val="007F00BA"/>
    <w:rsid w:val="007F0352"/>
    <w:rsid w:val="007F202F"/>
    <w:rsid w:val="007F20D9"/>
    <w:rsid w:val="007F46F6"/>
    <w:rsid w:val="007F5B98"/>
    <w:rsid w:val="007F664A"/>
    <w:rsid w:val="007F66E6"/>
    <w:rsid w:val="007F68CC"/>
    <w:rsid w:val="007F6E9D"/>
    <w:rsid w:val="007F712B"/>
    <w:rsid w:val="00800492"/>
    <w:rsid w:val="00803619"/>
    <w:rsid w:val="00804822"/>
    <w:rsid w:val="00805041"/>
    <w:rsid w:val="00806A50"/>
    <w:rsid w:val="00813005"/>
    <w:rsid w:val="00813DFB"/>
    <w:rsid w:val="00813FEF"/>
    <w:rsid w:val="00814FBC"/>
    <w:rsid w:val="00817ACD"/>
    <w:rsid w:val="00821553"/>
    <w:rsid w:val="00823310"/>
    <w:rsid w:val="00823778"/>
    <w:rsid w:val="008249B7"/>
    <w:rsid w:val="008262CD"/>
    <w:rsid w:val="00826879"/>
    <w:rsid w:val="008272FD"/>
    <w:rsid w:val="00827664"/>
    <w:rsid w:val="00827A4E"/>
    <w:rsid w:val="00830818"/>
    <w:rsid w:val="00832891"/>
    <w:rsid w:val="00832945"/>
    <w:rsid w:val="008339A8"/>
    <w:rsid w:val="008342AD"/>
    <w:rsid w:val="00836959"/>
    <w:rsid w:val="008404CB"/>
    <w:rsid w:val="0084271E"/>
    <w:rsid w:val="00843236"/>
    <w:rsid w:val="00843A60"/>
    <w:rsid w:val="00845668"/>
    <w:rsid w:val="00847104"/>
    <w:rsid w:val="00847D4E"/>
    <w:rsid w:val="00850B2B"/>
    <w:rsid w:val="00851D03"/>
    <w:rsid w:val="008536CE"/>
    <w:rsid w:val="00854866"/>
    <w:rsid w:val="00854941"/>
    <w:rsid w:val="00854C3B"/>
    <w:rsid w:val="00855272"/>
    <w:rsid w:val="00855988"/>
    <w:rsid w:val="00856D80"/>
    <w:rsid w:val="00860C40"/>
    <w:rsid w:val="00862A5B"/>
    <w:rsid w:val="00862D4C"/>
    <w:rsid w:val="00863080"/>
    <w:rsid w:val="008642D7"/>
    <w:rsid w:val="0086441B"/>
    <w:rsid w:val="00865208"/>
    <w:rsid w:val="00865C7C"/>
    <w:rsid w:val="00866118"/>
    <w:rsid w:val="008669E6"/>
    <w:rsid w:val="00866FEE"/>
    <w:rsid w:val="00870558"/>
    <w:rsid w:val="00871FE4"/>
    <w:rsid w:val="00872778"/>
    <w:rsid w:val="0087301C"/>
    <w:rsid w:val="00873E64"/>
    <w:rsid w:val="00874B74"/>
    <w:rsid w:val="00874EBC"/>
    <w:rsid w:val="008753A4"/>
    <w:rsid w:val="00875FFC"/>
    <w:rsid w:val="008773A8"/>
    <w:rsid w:val="00880861"/>
    <w:rsid w:val="008833CC"/>
    <w:rsid w:val="00884733"/>
    <w:rsid w:val="00885A42"/>
    <w:rsid w:val="00886901"/>
    <w:rsid w:val="00887CE2"/>
    <w:rsid w:val="008935DC"/>
    <w:rsid w:val="00896252"/>
    <w:rsid w:val="0089651C"/>
    <w:rsid w:val="00896608"/>
    <w:rsid w:val="008977FD"/>
    <w:rsid w:val="008A130A"/>
    <w:rsid w:val="008A2569"/>
    <w:rsid w:val="008A518E"/>
    <w:rsid w:val="008A5714"/>
    <w:rsid w:val="008A6134"/>
    <w:rsid w:val="008A75A2"/>
    <w:rsid w:val="008B2369"/>
    <w:rsid w:val="008B23AF"/>
    <w:rsid w:val="008C0905"/>
    <w:rsid w:val="008C26A3"/>
    <w:rsid w:val="008C2777"/>
    <w:rsid w:val="008C4A56"/>
    <w:rsid w:val="008C642F"/>
    <w:rsid w:val="008D05CC"/>
    <w:rsid w:val="008D0BC5"/>
    <w:rsid w:val="008D0D68"/>
    <w:rsid w:val="008D119A"/>
    <w:rsid w:val="008D306F"/>
    <w:rsid w:val="008D3292"/>
    <w:rsid w:val="008D3912"/>
    <w:rsid w:val="008D7809"/>
    <w:rsid w:val="008E1352"/>
    <w:rsid w:val="008E1877"/>
    <w:rsid w:val="008E4C32"/>
    <w:rsid w:val="008E53B0"/>
    <w:rsid w:val="008E62C6"/>
    <w:rsid w:val="008E64E2"/>
    <w:rsid w:val="008F195C"/>
    <w:rsid w:val="008F2DDE"/>
    <w:rsid w:val="008F3789"/>
    <w:rsid w:val="008F4089"/>
    <w:rsid w:val="008F525A"/>
    <w:rsid w:val="008F5663"/>
    <w:rsid w:val="008F6479"/>
    <w:rsid w:val="008F6D3F"/>
    <w:rsid w:val="008F708C"/>
    <w:rsid w:val="008F71A1"/>
    <w:rsid w:val="008F7FE1"/>
    <w:rsid w:val="00900AC8"/>
    <w:rsid w:val="00900B9E"/>
    <w:rsid w:val="00901A45"/>
    <w:rsid w:val="00902210"/>
    <w:rsid w:val="00902AF3"/>
    <w:rsid w:val="00903AA4"/>
    <w:rsid w:val="009079A2"/>
    <w:rsid w:val="00907D35"/>
    <w:rsid w:val="00910E72"/>
    <w:rsid w:val="009143B1"/>
    <w:rsid w:val="0091442D"/>
    <w:rsid w:val="00914D23"/>
    <w:rsid w:val="0091517C"/>
    <w:rsid w:val="00915ACB"/>
    <w:rsid w:val="00915FA4"/>
    <w:rsid w:val="009165F1"/>
    <w:rsid w:val="009170AD"/>
    <w:rsid w:val="009179FB"/>
    <w:rsid w:val="009203FD"/>
    <w:rsid w:val="0092483C"/>
    <w:rsid w:val="009264DF"/>
    <w:rsid w:val="0092652D"/>
    <w:rsid w:val="009273BC"/>
    <w:rsid w:val="009317ED"/>
    <w:rsid w:val="00932DE0"/>
    <w:rsid w:val="00932F5B"/>
    <w:rsid w:val="0093321D"/>
    <w:rsid w:val="0093355D"/>
    <w:rsid w:val="0093457B"/>
    <w:rsid w:val="00935D92"/>
    <w:rsid w:val="009361EB"/>
    <w:rsid w:val="00937057"/>
    <w:rsid w:val="00941003"/>
    <w:rsid w:val="009425B3"/>
    <w:rsid w:val="00945BF2"/>
    <w:rsid w:val="00945CCF"/>
    <w:rsid w:val="0094711E"/>
    <w:rsid w:val="0094724E"/>
    <w:rsid w:val="009514B8"/>
    <w:rsid w:val="009523B9"/>
    <w:rsid w:val="00952951"/>
    <w:rsid w:val="009530DF"/>
    <w:rsid w:val="00953A07"/>
    <w:rsid w:val="00954442"/>
    <w:rsid w:val="00955B6D"/>
    <w:rsid w:val="009570F0"/>
    <w:rsid w:val="00957398"/>
    <w:rsid w:val="0096219B"/>
    <w:rsid w:val="00962EE3"/>
    <w:rsid w:val="00963289"/>
    <w:rsid w:val="00963607"/>
    <w:rsid w:val="009640D9"/>
    <w:rsid w:val="0096523F"/>
    <w:rsid w:val="009658DA"/>
    <w:rsid w:val="00966208"/>
    <w:rsid w:val="0096675F"/>
    <w:rsid w:val="00966884"/>
    <w:rsid w:val="00970138"/>
    <w:rsid w:val="00971D8C"/>
    <w:rsid w:val="00971FC5"/>
    <w:rsid w:val="0097200E"/>
    <w:rsid w:val="00972425"/>
    <w:rsid w:val="009733F5"/>
    <w:rsid w:val="00973F03"/>
    <w:rsid w:val="009763B5"/>
    <w:rsid w:val="00981139"/>
    <w:rsid w:val="0098119C"/>
    <w:rsid w:val="009823DA"/>
    <w:rsid w:val="0098401D"/>
    <w:rsid w:val="009849E5"/>
    <w:rsid w:val="00986705"/>
    <w:rsid w:val="0098683C"/>
    <w:rsid w:val="0098753E"/>
    <w:rsid w:val="00987FE4"/>
    <w:rsid w:val="00990408"/>
    <w:rsid w:val="009923A9"/>
    <w:rsid w:val="00993922"/>
    <w:rsid w:val="00994D6B"/>
    <w:rsid w:val="00995198"/>
    <w:rsid w:val="009957A9"/>
    <w:rsid w:val="00995FF8"/>
    <w:rsid w:val="00996071"/>
    <w:rsid w:val="009964CD"/>
    <w:rsid w:val="00997637"/>
    <w:rsid w:val="009A1ACD"/>
    <w:rsid w:val="009A27D2"/>
    <w:rsid w:val="009A3E4B"/>
    <w:rsid w:val="009A53C8"/>
    <w:rsid w:val="009A5460"/>
    <w:rsid w:val="009A6414"/>
    <w:rsid w:val="009B22E8"/>
    <w:rsid w:val="009B39A1"/>
    <w:rsid w:val="009B3D65"/>
    <w:rsid w:val="009B426B"/>
    <w:rsid w:val="009B4717"/>
    <w:rsid w:val="009B4963"/>
    <w:rsid w:val="009B5513"/>
    <w:rsid w:val="009B626F"/>
    <w:rsid w:val="009B7251"/>
    <w:rsid w:val="009C0ABF"/>
    <w:rsid w:val="009C308F"/>
    <w:rsid w:val="009C43E7"/>
    <w:rsid w:val="009C501A"/>
    <w:rsid w:val="009C5F40"/>
    <w:rsid w:val="009C5FA0"/>
    <w:rsid w:val="009C7C84"/>
    <w:rsid w:val="009D0096"/>
    <w:rsid w:val="009D14CA"/>
    <w:rsid w:val="009D320F"/>
    <w:rsid w:val="009D4DED"/>
    <w:rsid w:val="009D4F51"/>
    <w:rsid w:val="009D5757"/>
    <w:rsid w:val="009D6A57"/>
    <w:rsid w:val="009D7AEE"/>
    <w:rsid w:val="009D7BDD"/>
    <w:rsid w:val="009D7DB0"/>
    <w:rsid w:val="009E0747"/>
    <w:rsid w:val="009E10F4"/>
    <w:rsid w:val="009E16C0"/>
    <w:rsid w:val="009E1D78"/>
    <w:rsid w:val="009E20AB"/>
    <w:rsid w:val="009E295D"/>
    <w:rsid w:val="009E4F38"/>
    <w:rsid w:val="009E4FB0"/>
    <w:rsid w:val="009E5B17"/>
    <w:rsid w:val="009E78B5"/>
    <w:rsid w:val="009E7925"/>
    <w:rsid w:val="009E798E"/>
    <w:rsid w:val="009F1127"/>
    <w:rsid w:val="009F1D14"/>
    <w:rsid w:val="009F6250"/>
    <w:rsid w:val="009F6F5E"/>
    <w:rsid w:val="009F6FBF"/>
    <w:rsid w:val="009F70DC"/>
    <w:rsid w:val="00A001C3"/>
    <w:rsid w:val="00A00D9B"/>
    <w:rsid w:val="00A02C15"/>
    <w:rsid w:val="00A0349A"/>
    <w:rsid w:val="00A04427"/>
    <w:rsid w:val="00A04A2F"/>
    <w:rsid w:val="00A04B91"/>
    <w:rsid w:val="00A04D83"/>
    <w:rsid w:val="00A054B0"/>
    <w:rsid w:val="00A06557"/>
    <w:rsid w:val="00A069E1"/>
    <w:rsid w:val="00A0742F"/>
    <w:rsid w:val="00A1019C"/>
    <w:rsid w:val="00A11648"/>
    <w:rsid w:val="00A15B6D"/>
    <w:rsid w:val="00A16372"/>
    <w:rsid w:val="00A163FF"/>
    <w:rsid w:val="00A1706E"/>
    <w:rsid w:val="00A200F8"/>
    <w:rsid w:val="00A2029A"/>
    <w:rsid w:val="00A21D9C"/>
    <w:rsid w:val="00A24878"/>
    <w:rsid w:val="00A2546D"/>
    <w:rsid w:val="00A2596D"/>
    <w:rsid w:val="00A25E1C"/>
    <w:rsid w:val="00A25ED4"/>
    <w:rsid w:val="00A26E89"/>
    <w:rsid w:val="00A30DC0"/>
    <w:rsid w:val="00A3229D"/>
    <w:rsid w:val="00A32D0C"/>
    <w:rsid w:val="00A33868"/>
    <w:rsid w:val="00A34208"/>
    <w:rsid w:val="00A34213"/>
    <w:rsid w:val="00A3587B"/>
    <w:rsid w:val="00A369AD"/>
    <w:rsid w:val="00A3761C"/>
    <w:rsid w:val="00A379D6"/>
    <w:rsid w:val="00A37A6F"/>
    <w:rsid w:val="00A41956"/>
    <w:rsid w:val="00A42756"/>
    <w:rsid w:val="00A43EB3"/>
    <w:rsid w:val="00A44DD4"/>
    <w:rsid w:val="00A45F42"/>
    <w:rsid w:val="00A46F83"/>
    <w:rsid w:val="00A4784F"/>
    <w:rsid w:val="00A47DD9"/>
    <w:rsid w:val="00A50FB9"/>
    <w:rsid w:val="00A51DB3"/>
    <w:rsid w:val="00A51EAF"/>
    <w:rsid w:val="00A51F4E"/>
    <w:rsid w:val="00A52FE9"/>
    <w:rsid w:val="00A5397B"/>
    <w:rsid w:val="00A53B9F"/>
    <w:rsid w:val="00A547A5"/>
    <w:rsid w:val="00A54DA6"/>
    <w:rsid w:val="00A57D58"/>
    <w:rsid w:val="00A6116D"/>
    <w:rsid w:val="00A65F2C"/>
    <w:rsid w:val="00A66C60"/>
    <w:rsid w:val="00A71DC3"/>
    <w:rsid w:val="00A72188"/>
    <w:rsid w:val="00A734EF"/>
    <w:rsid w:val="00A737D3"/>
    <w:rsid w:val="00A73873"/>
    <w:rsid w:val="00A8004A"/>
    <w:rsid w:val="00A8041F"/>
    <w:rsid w:val="00A8062A"/>
    <w:rsid w:val="00A807A5"/>
    <w:rsid w:val="00A842F8"/>
    <w:rsid w:val="00A8458D"/>
    <w:rsid w:val="00A87B0A"/>
    <w:rsid w:val="00A91348"/>
    <w:rsid w:val="00A93198"/>
    <w:rsid w:val="00A9668D"/>
    <w:rsid w:val="00A968D0"/>
    <w:rsid w:val="00A97137"/>
    <w:rsid w:val="00AA0151"/>
    <w:rsid w:val="00AA1821"/>
    <w:rsid w:val="00AA1BF0"/>
    <w:rsid w:val="00AA2971"/>
    <w:rsid w:val="00AA39D3"/>
    <w:rsid w:val="00AA4441"/>
    <w:rsid w:val="00AA5045"/>
    <w:rsid w:val="00AA73FE"/>
    <w:rsid w:val="00AA79D2"/>
    <w:rsid w:val="00AA7D8F"/>
    <w:rsid w:val="00AB14AF"/>
    <w:rsid w:val="00AB173C"/>
    <w:rsid w:val="00AC2FC9"/>
    <w:rsid w:val="00AC390C"/>
    <w:rsid w:val="00AC3B7A"/>
    <w:rsid w:val="00AC51F3"/>
    <w:rsid w:val="00AC532F"/>
    <w:rsid w:val="00AC710B"/>
    <w:rsid w:val="00AC768E"/>
    <w:rsid w:val="00AC7B67"/>
    <w:rsid w:val="00AD0B89"/>
    <w:rsid w:val="00AD2D47"/>
    <w:rsid w:val="00AD3C19"/>
    <w:rsid w:val="00AD47D4"/>
    <w:rsid w:val="00AD62D8"/>
    <w:rsid w:val="00AD6488"/>
    <w:rsid w:val="00AD7DB8"/>
    <w:rsid w:val="00AE1546"/>
    <w:rsid w:val="00AE3031"/>
    <w:rsid w:val="00AE33D9"/>
    <w:rsid w:val="00AE7A63"/>
    <w:rsid w:val="00AF0660"/>
    <w:rsid w:val="00AF0BEC"/>
    <w:rsid w:val="00AF267E"/>
    <w:rsid w:val="00AF48C1"/>
    <w:rsid w:val="00AF4A9D"/>
    <w:rsid w:val="00AF63C3"/>
    <w:rsid w:val="00AF7CE1"/>
    <w:rsid w:val="00B00DD1"/>
    <w:rsid w:val="00B00E7C"/>
    <w:rsid w:val="00B011E3"/>
    <w:rsid w:val="00B0301F"/>
    <w:rsid w:val="00B0351C"/>
    <w:rsid w:val="00B03934"/>
    <w:rsid w:val="00B048B1"/>
    <w:rsid w:val="00B0671F"/>
    <w:rsid w:val="00B0730C"/>
    <w:rsid w:val="00B1125C"/>
    <w:rsid w:val="00B1153A"/>
    <w:rsid w:val="00B11686"/>
    <w:rsid w:val="00B1226A"/>
    <w:rsid w:val="00B122FC"/>
    <w:rsid w:val="00B12C6B"/>
    <w:rsid w:val="00B13276"/>
    <w:rsid w:val="00B139D9"/>
    <w:rsid w:val="00B20D4A"/>
    <w:rsid w:val="00B21411"/>
    <w:rsid w:val="00B2238A"/>
    <w:rsid w:val="00B22DD8"/>
    <w:rsid w:val="00B23D7F"/>
    <w:rsid w:val="00B24363"/>
    <w:rsid w:val="00B25D79"/>
    <w:rsid w:val="00B26826"/>
    <w:rsid w:val="00B26E27"/>
    <w:rsid w:val="00B31350"/>
    <w:rsid w:val="00B31D15"/>
    <w:rsid w:val="00B31D8A"/>
    <w:rsid w:val="00B31D8E"/>
    <w:rsid w:val="00B32E81"/>
    <w:rsid w:val="00B33195"/>
    <w:rsid w:val="00B33516"/>
    <w:rsid w:val="00B34146"/>
    <w:rsid w:val="00B351C5"/>
    <w:rsid w:val="00B4081D"/>
    <w:rsid w:val="00B41CED"/>
    <w:rsid w:val="00B437D7"/>
    <w:rsid w:val="00B43C10"/>
    <w:rsid w:val="00B46744"/>
    <w:rsid w:val="00B477DB"/>
    <w:rsid w:val="00B50209"/>
    <w:rsid w:val="00B50307"/>
    <w:rsid w:val="00B5050B"/>
    <w:rsid w:val="00B50518"/>
    <w:rsid w:val="00B50C74"/>
    <w:rsid w:val="00B50EBF"/>
    <w:rsid w:val="00B53ED3"/>
    <w:rsid w:val="00B54E3D"/>
    <w:rsid w:val="00B55214"/>
    <w:rsid w:val="00B55DFC"/>
    <w:rsid w:val="00B55FAF"/>
    <w:rsid w:val="00B579C9"/>
    <w:rsid w:val="00B60834"/>
    <w:rsid w:val="00B6089F"/>
    <w:rsid w:val="00B61A6F"/>
    <w:rsid w:val="00B61D1F"/>
    <w:rsid w:val="00B64AEB"/>
    <w:rsid w:val="00B64D08"/>
    <w:rsid w:val="00B7006B"/>
    <w:rsid w:val="00B70A39"/>
    <w:rsid w:val="00B70AB2"/>
    <w:rsid w:val="00B71049"/>
    <w:rsid w:val="00B72D68"/>
    <w:rsid w:val="00B72EEE"/>
    <w:rsid w:val="00B766E0"/>
    <w:rsid w:val="00B76F72"/>
    <w:rsid w:val="00B809B1"/>
    <w:rsid w:val="00B824F1"/>
    <w:rsid w:val="00B83645"/>
    <w:rsid w:val="00B83F63"/>
    <w:rsid w:val="00B86672"/>
    <w:rsid w:val="00B87183"/>
    <w:rsid w:val="00B87CE6"/>
    <w:rsid w:val="00B87D2E"/>
    <w:rsid w:val="00B912E4"/>
    <w:rsid w:val="00B91EDC"/>
    <w:rsid w:val="00B92AD4"/>
    <w:rsid w:val="00B94675"/>
    <w:rsid w:val="00B94811"/>
    <w:rsid w:val="00B95A1F"/>
    <w:rsid w:val="00BA0B40"/>
    <w:rsid w:val="00BA0C42"/>
    <w:rsid w:val="00BA1009"/>
    <w:rsid w:val="00BA1684"/>
    <w:rsid w:val="00BA5C4C"/>
    <w:rsid w:val="00BA6DFD"/>
    <w:rsid w:val="00BB1819"/>
    <w:rsid w:val="00BB1D93"/>
    <w:rsid w:val="00BB1FA7"/>
    <w:rsid w:val="00BB42DF"/>
    <w:rsid w:val="00BB4EBA"/>
    <w:rsid w:val="00BB5DA9"/>
    <w:rsid w:val="00BC014F"/>
    <w:rsid w:val="00BC0164"/>
    <w:rsid w:val="00BC210A"/>
    <w:rsid w:val="00BC28D4"/>
    <w:rsid w:val="00BC3740"/>
    <w:rsid w:val="00BC4B33"/>
    <w:rsid w:val="00BC5B54"/>
    <w:rsid w:val="00BC78A2"/>
    <w:rsid w:val="00BD060B"/>
    <w:rsid w:val="00BD142D"/>
    <w:rsid w:val="00BD1547"/>
    <w:rsid w:val="00BD1E87"/>
    <w:rsid w:val="00BD2F90"/>
    <w:rsid w:val="00BD32FE"/>
    <w:rsid w:val="00BD3978"/>
    <w:rsid w:val="00BD505D"/>
    <w:rsid w:val="00BD52FC"/>
    <w:rsid w:val="00BD61A7"/>
    <w:rsid w:val="00BE09CA"/>
    <w:rsid w:val="00BE114C"/>
    <w:rsid w:val="00BE1AFF"/>
    <w:rsid w:val="00BE7761"/>
    <w:rsid w:val="00BE77B4"/>
    <w:rsid w:val="00BF03A9"/>
    <w:rsid w:val="00BF0B23"/>
    <w:rsid w:val="00BF0F57"/>
    <w:rsid w:val="00BF14BC"/>
    <w:rsid w:val="00BF1AC9"/>
    <w:rsid w:val="00BF2110"/>
    <w:rsid w:val="00BF32D9"/>
    <w:rsid w:val="00BF4AEF"/>
    <w:rsid w:val="00BF5368"/>
    <w:rsid w:val="00BF6F3E"/>
    <w:rsid w:val="00BF7292"/>
    <w:rsid w:val="00C00948"/>
    <w:rsid w:val="00C0248C"/>
    <w:rsid w:val="00C0296F"/>
    <w:rsid w:val="00C047F9"/>
    <w:rsid w:val="00C059B6"/>
    <w:rsid w:val="00C06CDB"/>
    <w:rsid w:val="00C06D0F"/>
    <w:rsid w:val="00C070FB"/>
    <w:rsid w:val="00C13799"/>
    <w:rsid w:val="00C13FC7"/>
    <w:rsid w:val="00C14218"/>
    <w:rsid w:val="00C174FA"/>
    <w:rsid w:val="00C2123A"/>
    <w:rsid w:val="00C21D0D"/>
    <w:rsid w:val="00C2460C"/>
    <w:rsid w:val="00C2552A"/>
    <w:rsid w:val="00C25922"/>
    <w:rsid w:val="00C26B50"/>
    <w:rsid w:val="00C308BE"/>
    <w:rsid w:val="00C31F5F"/>
    <w:rsid w:val="00C32053"/>
    <w:rsid w:val="00C35169"/>
    <w:rsid w:val="00C36154"/>
    <w:rsid w:val="00C40FD8"/>
    <w:rsid w:val="00C41733"/>
    <w:rsid w:val="00C43D44"/>
    <w:rsid w:val="00C446ED"/>
    <w:rsid w:val="00C462C4"/>
    <w:rsid w:val="00C53572"/>
    <w:rsid w:val="00C53D6E"/>
    <w:rsid w:val="00C54093"/>
    <w:rsid w:val="00C55A65"/>
    <w:rsid w:val="00C60C71"/>
    <w:rsid w:val="00C632B3"/>
    <w:rsid w:val="00C63B7C"/>
    <w:rsid w:val="00C651E3"/>
    <w:rsid w:val="00C658EF"/>
    <w:rsid w:val="00C67E31"/>
    <w:rsid w:val="00C70D48"/>
    <w:rsid w:val="00C71038"/>
    <w:rsid w:val="00C73A97"/>
    <w:rsid w:val="00C73F9B"/>
    <w:rsid w:val="00C7592C"/>
    <w:rsid w:val="00C77158"/>
    <w:rsid w:val="00C77DFE"/>
    <w:rsid w:val="00C80D4B"/>
    <w:rsid w:val="00C822CF"/>
    <w:rsid w:val="00C8278A"/>
    <w:rsid w:val="00C83686"/>
    <w:rsid w:val="00C84471"/>
    <w:rsid w:val="00C8558C"/>
    <w:rsid w:val="00C85ABE"/>
    <w:rsid w:val="00C87571"/>
    <w:rsid w:val="00C90A57"/>
    <w:rsid w:val="00C915DD"/>
    <w:rsid w:val="00C91F07"/>
    <w:rsid w:val="00C92120"/>
    <w:rsid w:val="00C939E5"/>
    <w:rsid w:val="00C942FC"/>
    <w:rsid w:val="00C95753"/>
    <w:rsid w:val="00C966DA"/>
    <w:rsid w:val="00C976B2"/>
    <w:rsid w:val="00C97CE8"/>
    <w:rsid w:val="00CA1213"/>
    <w:rsid w:val="00CA2E29"/>
    <w:rsid w:val="00CA3607"/>
    <w:rsid w:val="00CA47B5"/>
    <w:rsid w:val="00CA625E"/>
    <w:rsid w:val="00CA6D7F"/>
    <w:rsid w:val="00CA72F1"/>
    <w:rsid w:val="00CB0CF2"/>
    <w:rsid w:val="00CB2DCB"/>
    <w:rsid w:val="00CB37F7"/>
    <w:rsid w:val="00CB4591"/>
    <w:rsid w:val="00CB4B4A"/>
    <w:rsid w:val="00CB6F85"/>
    <w:rsid w:val="00CB747F"/>
    <w:rsid w:val="00CC027B"/>
    <w:rsid w:val="00CC0473"/>
    <w:rsid w:val="00CC04C1"/>
    <w:rsid w:val="00CC0761"/>
    <w:rsid w:val="00CC1794"/>
    <w:rsid w:val="00CC1E8D"/>
    <w:rsid w:val="00CC3970"/>
    <w:rsid w:val="00CC3ED1"/>
    <w:rsid w:val="00CC4580"/>
    <w:rsid w:val="00CC45A9"/>
    <w:rsid w:val="00CC4988"/>
    <w:rsid w:val="00CC6113"/>
    <w:rsid w:val="00CC67A6"/>
    <w:rsid w:val="00CC7FE6"/>
    <w:rsid w:val="00CD2E6D"/>
    <w:rsid w:val="00CD4415"/>
    <w:rsid w:val="00CD4647"/>
    <w:rsid w:val="00CD66D5"/>
    <w:rsid w:val="00CE0513"/>
    <w:rsid w:val="00CE08F3"/>
    <w:rsid w:val="00CE0A40"/>
    <w:rsid w:val="00CE1852"/>
    <w:rsid w:val="00CE2946"/>
    <w:rsid w:val="00CE319E"/>
    <w:rsid w:val="00CE4329"/>
    <w:rsid w:val="00CF1014"/>
    <w:rsid w:val="00CF2388"/>
    <w:rsid w:val="00CF3553"/>
    <w:rsid w:val="00CF4D16"/>
    <w:rsid w:val="00CF613A"/>
    <w:rsid w:val="00CF6B17"/>
    <w:rsid w:val="00CF7619"/>
    <w:rsid w:val="00D0000A"/>
    <w:rsid w:val="00D00E48"/>
    <w:rsid w:val="00D00EA0"/>
    <w:rsid w:val="00D01999"/>
    <w:rsid w:val="00D01A50"/>
    <w:rsid w:val="00D02AFB"/>
    <w:rsid w:val="00D02D66"/>
    <w:rsid w:val="00D03FA2"/>
    <w:rsid w:val="00D04C51"/>
    <w:rsid w:val="00D05997"/>
    <w:rsid w:val="00D05D33"/>
    <w:rsid w:val="00D1430C"/>
    <w:rsid w:val="00D160F3"/>
    <w:rsid w:val="00D1615C"/>
    <w:rsid w:val="00D16A56"/>
    <w:rsid w:val="00D17B72"/>
    <w:rsid w:val="00D17E86"/>
    <w:rsid w:val="00D201E6"/>
    <w:rsid w:val="00D20FFB"/>
    <w:rsid w:val="00D21649"/>
    <w:rsid w:val="00D222F6"/>
    <w:rsid w:val="00D23118"/>
    <w:rsid w:val="00D2517E"/>
    <w:rsid w:val="00D25CD7"/>
    <w:rsid w:val="00D2701C"/>
    <w:rsid w:val="00D276B9"/>
    <w:rsid w:val="00D30337"/>
    <w:rsid w:val="00D3261D"/>
    <w:rsid w:val="00D33215"/>
    <w:rsid w:val="00D33A08"/>
    <w:rsid w:val="00D341D6"/>
    <w:rsid w:val="00D35F06"/>
    <w:rsid w:val="00D36226"/>
    <w:rsid w:val="00D36756"/>
    <w:rsid w:val="00D42146"/>
    <w:rsid w:val="00D42585"/>
    <w:rsid w:val="00D455D4"/>
    <w:rsid w:val="00D45E62"/>
    <w:rsid w:val="00D46A28"/>
    <w:rsid w:val="00D46DC4"/>
    <w:rsid w:val="00D5062B"/>
    <w:rsid w:val="00D50E75"/>
    <w:rsid w:val="00D519CC"/>
    <w:rsid w:val="00D51F84"/>
    <w:rsid w:val="00D53541"/>
    <w:rsid w:val="00D55E39"/>
    <w:rsid w:val="00D56066"/>
    <w:rsid w:val="00D60633"/>
    <w:rsid w:val="00D620FF"/>
    <w:rsid w:val="00D63C7E"/>
    <w:rsid w:val="00D63E1C"/>
    <w:rsid w:val="00D64D36"/>
    <w:rsid w:val="00D65A90"/>
    <w:rsid w:val="00D65BF3"/>
    <w:rsid w:val="00D675DC"/>
    <w:rsid w:val="00D70CDE"/>
    <w:rsid w:val="00D73D35"/>
    <w:rsid w:val="00D74C34"/>
    <w:rsid w:val="00D7615A"/>
    <w:rsid w:val="00D761E4"/>
    <w:rsid w:val="00D7679A"/>
    <w:rsid w:val="00D76A3B"/>
    <w:rsid w:val="00D77F1C"/>
    <w:rsid w:val="00D8336F"/>
    <w:rsid w:val="00D83505"/>
    <w:rsid w:val="00D8352C"/>
    <w:rsid w:val="00D86664"/>
    <w:rsid w:val="00D872B1"/>
    <w:rsid w:val="00D908C0"/>
    <w:rsid w:val="00D91D07"/>
    <w:rsid w:val="00DA0AFE"/>
    <w:rsid w:val="00DA40E8"/>
    <w:rsid w:val="00DA55F6"/>
    <w:rsid w:val="00DA6C68"/>
    <w:rsid w:val="00DA7554"/>
    <w:rsid w:val="00DA7F36"/>
    <w:rsid w:val="00DB3B48"/>
    <w:rsid w:val="00DB5AC6"/>
    <w:rsid w:val="00DC18A3"/>
    <w:rsid w:val="00DC1CC0"/>
    <w:rsid w:val="00DC273F"/>
    <w:rsid w:val="00DC38B8"/>
    <w:rsid w:val="00DC4475"/>
    <w:rsid w:val="00DC46F0"/>
    <w:rsid w:val="00DC58C0"/>
    <w:rsid w:val="00DC7A2E"/>
    <w:rsid w:val="00DD3A2B"/>
    <w:rsid w:val="00DD61DE"/>
    <w:rsid w:val="00DD7094"/>
    <w:rsid w:val="00DE11A5"/>
    <w:rsid w:val="00DE25A0"/>
    <w:rsid w:val="00DE2AF0"/>
    <w:rsid w:val="00DE4E91"/>
    <w:rsid w:val="00DE5FB4"/>
    <w:rsid w:val="00DF0B35"/>
    <w:rsid w:val="00DF0E8D"/>
    <w:rsid w:val="00DF3766"/>
    <w:rsid w:val="00DF39D2"/>
    <w:rsid w:val="00DF5354"/>
    <w:rsid w:val="00DF56A7"/>
    <w:rsid w:val="00DF6BBB"/>
    <w:rsid w:val="00DF7125"/>
    <w:rsid w:val="00DF7EEB"/>
    <w:rsid w:val="00E0060E"/>
    <w:rsid w:val="00E017F3"/>
    <w:rsid w:val="00E01912"/>
    <w:rsid w:val="00E01B32"/>
    <w:rsid w:val="00E02FD6"/>
    <w:rsid w:val="00E03B21"/>
    <w:rsid w:val="00E04749"/>
    <w:rsid w:val="00E05E2C"/>
    <w:rsid w:val="00E05F25"/>
    <w:rsid w:val="00E0714C"/>
    <w:rsid w:val="00E07A22"/>
    <w:rsid w:val="00E07C1C"/>
    <w:rsid w:val="00E10085"/>
    <w:rsid w:val="00E10161"/>
    <w:rsid w:val="00E16674"/>
    <w:rsid w:val="00E168A7"/>
    <w:rsid w:val="00E16A6E"/>
    <w:rsid w:val="00E207BD"/>
    <w:rsid w:val="00E21911"/>
    <w:rsid w:val="00E2417A"/>
    <w:rsid w:val="00E25B4B"/>
    <w:rsid w:val="00E26437"/>
    <w:rsid w:val="00E26913"/>
    <w:rsid w:val="00E270E2"/>
    <w:rsid w:val="00E27F39"/>
    <w:rsid w:val="00E35032"/>
    <w:rsid w:val="00E37F4B"/>
    <w:rsid w:val="00E411A9"/>
    <w:rsid w:val="00E4350D"/>
    <w:rsid w:val="00E4387D"/>
    <w:rsid w:val="00E43A22"/>
    <w:rsid w:val="00E45FA8"/>
    <w:rsid w:val="00E46063"/>
    <w:rsid w:val="00E46599"/>
    <w:rsid w:val="00E51C17"/>
    <w:rsid w:val="00E5227E"/>
    <w:rsid w:val="00E5325E"/>
    <w:rsid w:val="00E53E8F"/>
    <w:rsid w:val="00E53F6F"/>
    <w:rsid w:val="00E54CEB"/>
    <w:rsid w:val="00E557D7"/>
    <w:rsid w:val="00E55E85"/>
    <w:rsid w:val="00E55EED"/>
    <w:rsid w:val="00E560EA"/>
    <w:rsid w:val="00E60952"/>
    <w:rsid w:val="00E60B74"/>
    <w:rsid w:val="00E62588"/>
    <w:rsid w:val="00E6313E"/>
    <w:rsid w:val="00E707CA"/>
    <w:rsid w:val="00E7178B"/>
    <w:rsid w:val="00E7396A"/>
    <w:rsid w:val="00E73FD6"/>
    <w:rsid w:val="00E74EFA"/>
    <w:rsid w:val="00E75850"/>
    <w:rsid w:val="00E76CD4"/>
    <w:rsid w:val="00E84027"/>
    <w:rsid w:val="00E867A2"/>
    <w:rsid w:val="00E86CF4"/>
    <w:rsid w:val="00E90586"/>
    <w:rsid w:val="00E90EA2"/>
    <w:rsid w:val="00E9183E"/>
    <w:rsid w:val="00E91C1D"/>
    <w:rsid w:val="00E936B6"/>
    <w:rsid w:val="00E94476"/>
    <w:rsid w:val="00E948E4"/>
    <w:rsid w:val="00E960BA"/>
    <w:rsid w:val="00E96221"/>
    <w:rsid w:val="00E96C90"/>
    <w:rsid w:val="00E9768D"/>
    <w:rsid w:val="00EA067A"/>
    <w:rsid w:val="00EA1A26"/>
    <w:rsid w:val="00EA2437"/>
    <w:rsid w:val="00EA2F92"/>
    <w:rsid w:val="00EA3599"/>
    <w:rsid w:val="00EA4F03"/>
    <w:rsid w:val="00EA5A23"/>
    <w:rsid w:val="00EA7141"/>
    <w:rsid w:val="00EA7F92"/>
    <w:rsid w:val="00EB27E9"/>
    <w:rsid w:val="00EB3D22"/>
    <w:rsid w:val="00EB5176"/>
    <w:rsid w:val="00EB5774"/>
    <w:rsid w:val="00EB6169"/>
    <w:rsid w:val="00EB64CF"/>
    <w:rsid w:val="00EB74A3"/>
    <w:rsid w:val="00EC05B9"/>
    <w:rsid w:val="00EC1BAD"/>
    <w:rsid w:val="00EC1F3E"/>
    <w:rsid w:val="00EC25B6"/>
    <w:rsid w:val="00EC364C"/>
    <w:rsid w:val="00EC3650"/>
    <w:rsid w:val="00EC4E05"/>
    <w:rsid w:val="00EC57E9"/>
    <w:rsid w:val="00EC65CA"/>
    <w:rsid w:val="00EC76AF"/>
    <w:rsid w:val="00ED2C01"/>
    <w:rsid w:val="00ED306E"/>
    <w:rsid w:val="00ED6A9A"/>
    <w:rsid w:val="00ED7B9C"/>
    <w:rsid w:val="00ED7BC1"/>
    <w:rsid w:val="00EE0ADC"/>
    <w:rsid w:val="00EE2467"/>
    <w:rsid w:val="00EE3131"/>
    <w:rsid w:val="00EE4071"/>
    <w:rsid w:val="00EE4714"/>
    <w:rsid w:val="00EE631C"/>
    <w:rsid w:val="00EE6D9A"/>
    <w:rsid w:val="00EE7426"/>
    <w:rsid w:val="00EF0027"/>
    <w:rsid w:val="00EF0F49"/>
    <w:rsid w:val="00EF26EB"/>
    <w:rsid w:val="00EF291C"/>
    <w:rsid w:val="00EF584E"/>
    <w:rsid w:val="00EF7C2B"/>
    <w:rsid w:val="00F007F5"/>
    <w:rsid w:val="00F010AE"/>
    <w:rsid w:val="00F01D4C"/>
    <w:rsid w:val="00F02583"/>
    <w:rsid w:val="00F04C12"/>
    <w:rsid w:val="00F052B6"/>
    <w:rsid w:val="00F05762"/>
    <w:rsid w:val="00F059BE"/>
    <w:rsid w:val="00F06042"/>
    <w:rsid w:val="00F06D4F"/>
    <w:rsid w:val="00F07226"/>
    <w:rsid w:val="00F1056D"/>
    <w:rsid w:val="00F1067C"/>
    <w:rsid w:val="00F10700"/>
    <w:rsid w:val="00F115D4"/>
    <w:rsid w:val="00F14219"/>
    <w:rsid w:val="00F14A3D"/>
    <w:rsid w:val="00F1565A"/>
    <w:rsid w:val="00F156C3"/>
    <w:rsid w:val="00F21C30"/>
    <w:rsid w:val="00F2211F"/>
    <w:rsid w:val="00F22B15"/>
    <w:rsid w:val="00F234D5"/>
    <w:rsid w:val="00F259EC"/>
    <w:rsid w:val="00F25E14"/>
    <w:rsid w:val="00F26730"/>
    <w:rsid w:val="00F26AE2"/>
    <w:rsid w:val="00F271F7"/>
    <w:rsid w:val="00F32BCB"/>
    <w:rsid w:val="00F34E9D"/>
    <w:rsid w:val="00F36B32"/>
    <w:rsid w:val="00F43589"/>
    <w:rsid w:val="00F444F7"/>
    <w:rsid w:val="00F451FB"/>
    <w:rsid w:val="00F45722"/>
    <w:rsid w:val="00F45F14"/>
    <w:rsid w:val="00F462EB"/>
    <w:rsid w:val="00F50082"/>
    <w:rsid w:val="00F519C6"/>
    <w:rsid w:val="00F51B2D"/>
    <w:rsid w:val="00F542AE"/>
    <w:rsid w:val="00F54B9B"/>
    <w:rsid w:val="00F55497"/>
    <w:rsid w:val="00F56075"/>
    <w:rsid w:val="00F57166"/>
    <w:rsid w:val="00F57A5E"/>
    <w:rsid w:val="00F57CF7"/>
    <w:rsid w:val="00F62599"/>
    <w:rsid w:val="00F62C3C"/>
    <w:rsid w:val="00F63164"/>
    <w:rsid w:val="00F631EF"/>
    <w:rsid w:val="00F639E0"/>
    <w:rsid w:val="00F63B47"/>
    <w:rsid w:val="00F64602"/>
    <w:rsid w:val="00F65701"/>
    <w:rsid w:val="00F6594F"/>
    <w:rsid w:val="00F660A2"/>
    <w:rsid w:val="00F7230C"/>
    <w:rsid w:val="00F74C22"/>
    <w:rsid w:val="00F803DB"/>
    <w:rsid w:val="00F80B2F"/>
    <w:rsid w:val="00F81173"/>
    <w:rsid w:val="00F81D1A"/>
    <w:rsid w:val="00F83B02"/>
    <w:rsid w:val="00F84389"/>
    <w:rsid w:val="00F851EC"/>
    <w:rsid w:val="00F854CA"/>
    <w:rsid w:val="00F855A7"/>
    <w:rsid w:val="00F86B1F"/>
    <w:rsid w:val="00F87AF0"/>
    <w:rsid w:val="00F87E59"/>
    <w:rsid w:val="00F94259"/>
    <w:rsid w:val="00F94D6A"/>
    <w:rsid w:val="00F96F1F"/>
    <w:rsid w:val="00F97E33"/>
    <w:rsid w:val="00FA0025"/>
    <w:rsid w:val="00FA0E7F"/>
    <w:rsid w:val="00FA24B0"/>
    <w:rsid w:val="00FA4314"/>
    <w:rsid w:val="00FA45BB"/>
    <w:rsid w:val="00FA5099"/>
    <w:rsid w:val="00FA5B59"/>
    <w:rsid w:val="00FA72FD"/>
    <w:rsid w:val="00FB04B7"/>
    <w:rsid w:val="00FB0520"/>
    <w:rsid w:val="00FB3843"/>
    <w:rsid w:val="00FB5DF7"/>
    <w:rsid w:val="00FB698B"/>
    <w:rsid w:val="00FC1D22"/>
    <w:rsid w:val="00FC2F44"/>
    <w:rsid w:val="00FC62BC"/>
    <w:rsid w:val="00FC63D2"/>
    <w:rsid w:val="00FC65C8"/>
    <w:rsid w:val="00FC6947"/>
    <w:rsid w:val="00FD1481"/>
    <w:rsid w:val="00FD2164"/>
    <w:rsid w:val="00FD30D6"/>
    <w:rsid w:val="00FD5AEC"/>
    <w:rsid w:val="00FD6378"/>
    <w:rsid w:val="00FE0B63"/>
    <w:rsid w:val="00FE2612"/>
    <w:rsid w:val="00FE2DE8"/>
    <w:rsid w:val="00FE6C45"/>
    <w:rsid w:val="00FE7F47"/>
    <w:rsid w:val="00FF018B"/>
    <w:rsid w:val="00FF0708"/>
    <w:rsid w:val="00FF0CF2"/>
    <w:rsid w:val="00FF170B"/>
    <w:rsid w:val="00FF3038"/>
    <w:rsid w:val="00FF39F5"/>
    <w:rsid w:val="00FF432E"/>
    <w:rsid w:val="00FF47AC"/>
    <w:rsid w:val="00FF5E96"/>
    <w:rsid w:val="00FF7048"/>
    <w:rsid w:val="00FF7BA7"/>
    <w:rsid w:val="08453DE2"/>
    <w:rsid w:val="0E64031E"/>
    <w:rsid w:val="10A3105B"/>
    <w:rsid w:val="14CD18FF"/>
    <w:rsid w:val="2CE7345E"/>
    <w:rsid w:val="31B610A8"/>
    <w:rsid w:val="324418EC"/>
    <w:rsid w:val="32953D03"/>
    <w:rsid w:val="32B30F12"/>
    <w:rsid w:val="3CE477F3"/>
    <w:rsid w:val="3E4539A9"/>
    <w:rsid w:val="48A6133A"/>
    <w:rsid w:val="4E637D70"/>
    <w:rsid w:val="4F730D1A"/>
    <w:rsid w:val="53175705"/>
    <w:rsid w:val="58F2393E"/>
    <w:rsid w:val="59DE5286"/>
    <w:rsid w:val="67136A06"/>
    <w:rsid w:val="6AD50349"/>
    <w:rsid w:val="6D8600DC"/>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32767"/>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qFormat="1"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unhideWhenUsed="0" w:uiPriority="22" w:semiHidden="0" w:name="Strong"/>
    <w:lsdException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iPriority="0"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MS Mincho" w:cs="Times New Roman"/>
      <w:sz w:val="24"/>
      <w:szCs w:val="24"/>
      <w:lang w:val="de-DE" w:eastAsia="ja-JP" w:bidi="ar-SA"/>
    </w:rPr>
  </w:style>
  <w:style w:type="paragraph" w:styleId="2">
    <w:name w:val="heading 1"/>
    <w:basedOn w:val="1"/>
    <w:next w:val="1"/>
    <w:link w:val="14"/>
    <w:qFormat/>
    <w:uiPriority w:val="9"/>
    <w:pPr>
      <w:spacing w:before="460" w:after="230" w:line="230" w:lineRule="atLeast"/>
      <w:outlineLvl w:val="0"/>
    </w:pPr>
    <w:rPr>
      <w:rFonts w:ascii="Arial" w:hAnsi="Arial"/>
      <w:b/>
      <w:sz w:val="22"/>
      <w:szCs w:val="20"/>
      <w:lang w:val="en-US"/>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3">
    <w:name w:val="caption"/>
    <w:basedOn w:val="1"/>
    <w:next w:val="1"/>
    <w:unhideWhenUsed/>
    <w:qFormat/>
    <w:uiPriority w:val="35"/>
    <w:rPr>
      <w:rFonts w:eastAsia="黑体" w:asciiTheme="majorHAnsi" w:hAnsiTheme="majorHAnsi" w:cstheme="majorBidi"/>
      <w:sz w:val="20"/>
      <w:szCs w:val="20"/>
    </w:rPr>
  </w:style>
  <w:style w:type="paragraph" w:styleId="4">
    <w:name w:val="annotation text"/>
    <w:basedOn w:val="1"/>
    <w:link w:val="63"/>
    <w:semiHidden/>
    <w:unhideWhenUsed/>
    <w:qFormat/>
    <w:uiPriority w:val="99"/>
  </w:style>
  <w:style w:type="paragraph" w:styleId="5">
    <w:name w:val="Balloon Text"/>
    <w:basedOn w:val="1"/>
    <w:link w:val="43"/>
    <w:semiHidden/>
    <w:unhideWhenUsed/>
    <w:qFormat/>
    <w:uiPriority w:val="99"/>
    <w:rPr>
      <w:rFonts w:ascii="Tahoma" w:hAnsi="Tahoma" w:cs="Tahoma"/>
      <w:sz w:val="16"/>
      <w:szCs w:val="16"/>
    </w:rPr>
  </w:style>
  <w:style w:type="paragraph" w:styleId="6">
    <w:name w:val="footer"/>
    <w:basedOn w:val="1"/>
    <w:link w:val="42"/>
    <w:unhideWhenUsed/>
    <w:qFormat/>
    <w:uiPriority w:val="99"/>
    <w:pPr>
      <w:tabs>
        <w:tab w:val="center" w:pos="4703"/>
        <w:tab w:val="right" w:pos="9406"/>
      </w:tabs>
    </w:pPr>
  </w:style>
  <w:style w:type="paragraph" w:styleId="7">
    <w:name w:val="header"/>
    <w:basedOn w:val="1"/>
    <w:link w:val="41"/>
    <w:unhideWhenUsed/>
    <w:qFormat/>
    <w:uiPriority w:val="99"/>
    <w:pPr>
      <w:tabs>
        <w:tab w:val="center" w:pos="4703"/>
        <w:tab w:val="right" w:pos="9406"/>
      </w:tabs>
    </w:pPr>
  </w:style>
  <w:style w:type="paragraph" w:styleId="8">
    <w:name w:val="annotation subject"/>
    <w:basedOn w:val="4"/>
    <w:next w:val="4"/>
    <w:link w:val="64"/>
    <w:semiHidden/>
    <w:unhideWhenUsed/>
    <w:qFormat/>
    <w:uiPriority w:val="99"/>
    <w:rPr>
      <w:b/>
      <w:bCs/>
    </w:rPr>
  </w:style>
  <w:style w:type="table" w:styleId="10">
    <w:name w:val="Table Grid"/>
    <w:basedOn w:val="9"/>
    <w:unhideWhenUsed/>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line number"/>
    <w:semiHidden/>
    <w:unhideWhenUsed/>
    <w:qFormat/>
    <w:uiPriority w:val="99"/>
  </w:style>
  <w:style w:type="character" w:styleId="13">
    <w:name w:val="annotation reference"/>
    <w:basedOn w:val="11"/>
    <w:semiHidden/>
    <w:unhideWhenUsed/>
    <w:qFormat/>
    <w:uiPriority w:val="99"/>
    <w:rPr>
      <w:sz w:val="21"/>
      <w:szCs w:val="21"/>
    </w:rPr>
  </w:style>
  <w:style w:type="character" w:customStyle="1" w:styleId="14">
    <w:name w:val="标题 1 字符"/>
    <w:link w:val="2"/>
    <w:qFormat/>
    <w:uiPriority w:val="9"/>
    <w:rPr>
      <w:rFonts w:ascii="Arial" w:hAnsi="Arial"/>
      <w:b/>
      <w:sz w:val="22"/>
      <w:lang w:eastAsia="ja-JP"/>
    </w:rPr>
  </w:style>
  <w:style w:type="paragraph" w:customStyle="1" w:styleId="15">
    <w:name w:val="Title1"/>
    <w:basedOn w:val="1"/>
    <w:next w:val="1"/>
    <w:qFormat/>
    <w:uiPriority w:val="0"/>
    <w:pPr>
      <w:spacing w:before="360" w:line="480" w:lineRule="exact"/>
    </w:pPr>
    <w:rPr>
      <w:rFonts w:ascii="Arial" w:hAnsi="Arial"/>
      <w:b/>
      <w:sz w:val="32"/>
      <w:szCs w:val="28"/>
    </w:rPr>
  </w:style>
  <w:style w:type="paragraph" w:customStyle="1" w:styleId="16">
    <w:name w:val="Authors"/>
    <w:basedOn w:val="1"/>
    <w:qFormat/>
    <w:uiPriority w:val="0"/>
    <w:pPr>
      <w:spacing w:before="120" w:after="360" w:line="320" w:lineRule="exact"/>
    </w:pPr>
    <w:rPr>
      <w:rFonts w:ascii="Arial" w:hAnsi="Arial"/>
      <w:sz w:val="22"/>
      <w:lang w:val="en-GB"/>
    </w:rPr>
  </w:style>
  <w:style w:type="paragraph" w:customStyle="1" w:styleId="17">
    <w:name w:val="P1_without_Indendation"/>
    <w:basedOn w:val="1"/>
    <w:qFormat/>
    <w:uiPriority w:val="0"/>
    <w:pPr>
      <w:spacing w:line="225" w:lineRule="exact"/>
      <w:jc w:val="both"/>
    </w:pPr>
    <w:rPr>
      <w:rFonts w:ascii="Arial" w:hAnsi="Arial"/>
      <w:sz w:val="17"/>
    </w:rPr>
  </w:style>
  <w:style w:type="paragraph" w:customStyle="1" w:styleId="18">
    <w:name w:val="H1"/>
    <w:basedOn w:val="2"/>
    <w:qFormat/>
    <w:uiPriority w:val="0"/>
  </w:style>
  <w:style w:type="paragraph" w:customStyle="1" w:styleId="19">
    <w:name w:val="Adress"/>
    <w:basedOn w:val="1"/>
    <w:qFormat/>
    <w:uiPriority w:val="0"/>
    <w:pPr>
      <w:spacing w:line="180" w:lineRule="exact"/>
      <w:ind w:left="425" w:hanging="425"/>
    </w:pPr>
    <w:rPr>
      <w:rFonts w:ascii="Arial" w:hAnsi="Arial"/>
      <w:sz w:val="14"/>
      <w:szCs w:val="20"/>
    </w:rPr>
  </w:style>
  <w:style w:type="paragraph" w:customStyle="1" w:styleId="20">
    <w:name w:val="Footnote"/>
    <w:basedOn w:val="19"/>
    <w:unhideWhenUsed/>
    <w:qFormat/>
    <w:uiPriority w:val="0"/>
    <w:pPr>
      <w:spacing w:before="120"/>
    </w:pPr>
    <w:rPr>
      <w:szCs w:val="14"/>
      <w:lang w:val="en-GB"/>
    </w:rPr>
  </w:style>
  <w:style w:type="paragraph" w:customStyle="1" w:styleId="21">
    <w:name w:val="References"/>
    <w:basedOn w:val="1"/>
    <w:qFormat/>
    <w:uiPriority w:val="0"/>
    <w:pPr>
      <w:spacing w:line="200" w:lineRule="exact"/>
      <w:ind w:left="425" w:hanging="425"/>
      <w:jc w:val="both"/>
    </w:pPr>
    <w:rPr>
      <w:rFonts w:ascii="Arial" w:hAnsi="Arial"/>
      <w:sz w:val="14"/>
      <w:szCs w:val="14"/>
      <w:lang w:val="en-GB"/>
    </w:rPr>
  </w:style>
  <w:style w:type="paragraph" w:customStyle="1" w:styleId="22">
    <w:name w:val="ColumnTitle"/>
    <w:basedOn w:val="1"/>
    <w:qFormat/>
    <w:uiPriority w:val="0"/>
    <w:pPr>
      <w:pBdr>
        <w:bottom w:val="single" w:color="DDDDDD" w:sz="36" w:space="1"/>
      </w:pBdr>
      <w:spacing w:after="320"/>
      <w:jc w:val="right"/>
    </w:pPr>
    <w:rPr>
      <w:rFonts w:ascii="Arial" w:hAnsi="Arial" w:cs="Arial"/>
      <w:b/>
      <w:color w:val="C0C0C0"/>
      <w:sz w:val="36"/>
      <w:szCs w:val="36"/>
      <w:lang w:val="en-GB"/>
    </w:rPr>
  </w:style>
  <w:style w:type="paragraph" w:customStyle="1" w:styleId="23">
    <w:name w:val="H2"/>
    <w:basedOn w:val="18"/>
    <w:qFormat/>
    <w:uiPriority w:val="0"/>
    <w:rPr>
      <w:bCs/>
      <w:sz w:val="18"/>
    </w:rPr>
  </w:style>
  <w:style w:type="character" w:customStyle="1" w:styleId="24">
    <w:name w:val="Comment"/>
    <w:qFormat/>
    <w:uiPriority w:val="0"/>
    <w:rPr>
      <w:rFonts w:ascii="Arial" w:hAnsi="Arial"/>
      <w:color w:val="FF0000"/>
      <w:sz w:val="14"/>
    </w:rPr>
  </w:style>
  <w:style w:type="paragraph" w:customStyle="1" w:styleId="25">
    <w:name w:val="SchemeCaption"/>
    <w:basedOn w:val="1"/>
    <w:qFormat/>
    <w:uiPriority w:val="0"/>
    <w:pPr>
      <w:spacing w:before="230" w:after="460" w:line="180" w:lineRule="exact"/>
      <w:jc w:val="both"/>
    </w:pPr>
    <w:rPr>
      <w:rFonts w:ascii="Arial" w:hAnsi="Arial"/>
      <w:sz w:val="14"/>
      <w:szCs w:val="14"/>
      <w:lang w:val="en-GB"/>
    </w:rPr>
  </w:style>
  <w:style w:type="paragraph" w:customStyle="1" w:styleId="26">
    <w:name w:val="FigureCaption"/>
    <w:basedOn w:val="1"/>
    <w:qFormat/>
    <w:uiPriority w:val="0"/>
    <w:pPr>
      <w:spacing w:before="230" w:after="460" w:line="180" w:lineRule="exact"/>
      <w:jc w:val="both"/>
    </w:pPr>
    <w:rPr>
      <w:rFonts w:ascii="Arial" w:hAnsi="Arial"/>
      <w:sz w:val="14"/>
      <w:szCs w:val="14"/>
      <w:lang w:val="en-GB"/>
    </w:rPr>
  </w:style>
  <w:style w:type="paragraph" w:customStyle="1" w:styleId="27">
    <w:name w:val="TableCaption"/>
    <w:basedOn w:val="1"/>
    <w:qFormat/>
    <w:uiPriority w:val="0"/>
    <w:pPr>
      <w:spacing w:after="120" w:line="180" w:lineRule="exact"/>
      <w:jc w:val="both"/>
    </w:pPr>
    <w:rPr>
      <w:rFonts w:ascii="Arial" w:hAnsi="Arial"/>
      <w:sz w:val="14"/>
      <w:szCs w:val="14"/>
      <w:lang w:val="en-GB"/>
    </w:rPr>
  </w:style>
  <w:style w:type="paragraph" w:customStyle="1" w:styleId="28">
    <w:name w:val="TableHead"/>
    <w:basedOn w:val="27"/>
    <w:qFormat/>
    <w:uiPriority w:val="0"/>
    <w:pPr>
      <w:pBdr>
        <w:top w:val="single" w:color="FFFFFF" w:sz="4" w:space="4"/>
        <w:left w:val="single" w:color="FFFFFF" w:sz="4" w:space="4"/>
        <w:bottom w:val="single" w:color="FFFFFF" w:sz="4" w:space="4"/>
        <w:right w:val="single" w:color="FFFFFF" w:sz="4" w:space="4"/>
      </w:pBdr>
      <w:spacing w:after="0"/>
    </w:pPr>
  </w:style>
  <w:style w:type="paragraph" w:customStyle="1" w:styleId="29">
    <w:name w:val="TableBody"/>
    <w:basedOn w:val="28"/>
    <w:qFormat/>
    <w:uiPriority w:val="0"/>
  </w:style>
  <w:style w:type="paragraph" w:customStyle="1" w:styleId="30">
    <w:name w:val="TableFoot"/>
    <w:basedOn w:val="29"/>
    <w:qFormat/>
    <w:uiPriority w:val="0"/>
    <w:pPr>
      <w:spacing w:before="60" w:after="60"/>
    </w:pPr>
  </w:style>
  <w:style w:type="paragraph" w:customStyle="1" w:styleId="31">
    <w:name w:val="H3"/>
    <w:basedOn w:val="23"/>
    <w:qFormat/>
    <w:uiPriority w:val="0"/>
    <w:rPr>
      <w:b w:val="0"/>
      <w:bCs w:val="0"/>
      <w:i/>
      <w:iCs/>
    </w:rPr>
  </w:style>
  <w:style w:type="paragraph" w:customStyle="1" w:styleId="32">
    <w:name w:val="ManuscriptID"/>
    <w:basedOn w:val="1"/>
    <w:qFormat/>
    <w:uiPriority w:val="0"/>
    <w:pPr>
      <w:spacing w:before="220" w:line="230" w:lineRule="exact"/>
    </w:pPr>
    <w:rPr>
      <w:rFonts w:ascii="Arial" w:hAnsi="Arial"/>
      <w:b/>
      <w:sz w:val="17"/>
      <w:szCs w:val="15"/>
      <w:lang w:val="en-GB"/>
    </w:rPr>
  </w:style>
  <w:style w:type="paragraph" w:customStyle="1" w:styleId="33">
    <w:name w:val="Intro"/>
    <w:basedOn w:val="1"/>
    <w:qFormat/>
    <w:uiPriority w:val="0"/>
    <w:pPr>
      <w:jc w:val="center"/>
    </w:pPr>
    <w:rPr>
      <w:rFonts w:ascii="Arial" w:hAnsi="Arial" w:eastAsia="Times New Roman"/>
      <w:sz w:val="32"/>
      <w:szCs w:val="20"/>
    </w:rPr>
  </w:style>
  <w:style w:type="paragraph" w:customStyle="1" w:styleId="34">
    <w:name w:val="Title_TOC"/>
    <w:basedOn w:val="1"/>
    <w:qFormat/>
    <w:uiPriority w:val="0"/>
    <w:pPr>
      <w:spacing w:before="120" w:line="225" w:lineRule="atLeast"/>
    </w:pPr>
    <w:rPr>
      <w:rFonts w:ascii="Arial" w:hAnsi="Arial"/>
      <w:b/>
      <w:sz w:val="17"/>
      <w:szCs w:val="20"/>
      <w:lang w:val="en-GB"/>
    </w:rPr>
  </w:style>
  <w:style w:type="paragraph" w:customStyle="1" w:styleId="35">
    <w:name w:val="TableOfContentText"/>
    <w:basedOn w:val="1"/>
    <w:qFormat/>
    <w:uiPriority w:val="0"/>
    <w:pPr>
      <w:spacing w:before="120" w:line="225" w:lineRule="atLeast"/>
    </w:pPr>
    <w:rPr>
      <w:rFonts w:ascii="Arial" w:hAnsi="Arial"/>
      <w:color w:val="000000"/>
      <w:sz w:val="17"/>
      <w:szCs w:val="20"/>
      <w:lang w:val="en-GB"/>
    </w:rPr>
  </w:style>
  <w:style w:type="paragraph" w:customStyle="1" w:styleId="36">
    <w:name w:val="P1_with_Indendation"/>
    <w:basedOn w:val="27"/>
    <w:qFormat/>
    <w:uiPriority w:val="0"/>
    <w:pPr>
      <w:spacing w:line="225" w:lineRule="exact"/>
      <w:ind w:firstLine="284"/>
    </w:pPr>
    <w:rPr>
      <w:sz w:val="17"/>
    </w:rPr>
  </w:style>
  <w:style w:type="paragraph" w:customStyle="1" w:styleId="37">
    <w:name w:val="Acknowledgements"/>
    <w:basedOn w:val="17"/>
    <w:qFormat/>
    <w:uiPriority w:val="0"/>
    <w:pPr>
      <w:spacing w:after="240" w:line="230" w:lineRule="atLeast"/>
    </w:pPr>
  </w:style>
  <w:style w:type="paragraph" w:customStyle="1" w:styleId="38">
    <w:name w:val="ColumnTitle_TOC"/>
    <w:basedOn w:val="22"/>
    <w:qFormat/>
    <w:uiPriority w:val="0"/>
    <w:pPr>
      <w:pBdr>
        <w:bottom w:val="single" w:color="008080" w:sz="36" w:space="3"/>
      </w:pBdr>
      <w:spacing w:after="0"/>
      <w:jc w:val="left"/>
    </w:pPr>
    <w:rPr>
      <w:b w:val="0"/>
      <w:color w:val="000000"/>
      <w:sz w:val="28"/>
      <w:szCs w:val="28"/>
    </w:rPr>
  </w:style>
  <w:style w:type="paragraph" w:customStyle="1" w:styleId="39">
    <w:name w:val="MSType"/>
    <w:basedOn w:val="38"/>
    <w:qFormat/>
    <w:uiPriority w:val="0"/>
    <w:pPr>
      <w:framePr w:hSpace="141" w:wrap="around" w:vAnchor="page" w:hAnchor="margin" w:y="1504"/>
      <w:pBdr>
        <w:bottom w:val="none" w:color="auto" w:sz="0" w:space="0"/>
      </w:pBdr>
      <w:spacing w:before="60" w:after="60"/>
    </w:pPr>
    <w:rPr>
      <w:rFonts w:ascii="Arial Black" w:hAnsi="Arial Black"/>
      <w:b/>
      <w:color w:val="FFFFFF"/>
      <w:spacing w:val="20"/>
      <w:sz w:val="20"/>
      <w:szCs w:val="20"/>
    </w:rPr>
  </w:style>
  <w:style w:type="paragraph" w:customStyle="1" w:styleId="40">
    <w:name w:val="PageNumbers"/>
    <w:basedOn w:val="1"/>
    <w:qFormat/>
    <w:uiPriority w:val="0"/>
    <w:pPr>
      <w:spacing w:before="230"/>
    </w:pPr>
    <w:rPr>
      <w:rFonts w:ascii="Arial" w:hAnsi="Arial"/>
      <w:b/>
      <w:i/>
      <w:sz w:val="17"/>
    </w:rPr>
  </w:style>
  <w:style w:type="character" w:customStyle="1" w:styleId="41">
    <w:name w:val="页眉 字符"/>
    <w:link w:val="7"/>
    <w:qFormat/>
    <w:uiPriority w:val="99"/>
    <w:rPr>
      <w:sz w:val="24"/>
      <w:szCs w:val="24"/>
      <w:lang w:val="de-DE" w:eastAsia="ja-JP" w:bidi="ar-SA"/>
    </w:rPr>
  </w:style>
  <w:style w:type="character" w:customStyle="1" w:styleId="42">
    <w:name w:val="页脚 字符"/>
    <w:link w:val="6"/>
    <w:qFormat/>
    <w:uiPriority w:val="99"/>
    <w:rPr>
      <w:sz w:val="24"/>
      <w:szCs w:val="24"/>
      <w:lang w:val="de-DE" w:eastAsia="ja-JP" w:bidi="ar-SA"/>
    </w:rPr>
  </w:style>
  <w:style w:type="character" w:customStyle="1" w:styleId="43">
    <w:name w:val="批注框文本 字符"/>
    <w:link w:val="5"/>
    <w:semiHidden/>
    <w:qFormat/>
    <w:uiPriority w:val="99"/>
    <w:rPr>
      <w:rFonts w:ascii="Tahoma" w:hAnsi="Tahoma" w:cs="Tahoma"/>
      <w:sz w:val="16"/>
      <w:szCs w:val="16"/>
      <w:lang w:val="de-DE" w:eastAsia="ja-JP" w:bidi="ar-SA"/>
    </w:rPr>
  </w:style>
  <w:style w:type="paragraph" w:customStyle="1" w:styleId="44">
    <w:name w:val="TableSpacer"/>
    <w:basedOn w:val="1"/>
    <w:qFormat/>
    <w:uiPriority w:val="0"/>
    <w:pPr>
      <w:spacing w:before="360"/>
    </w:pPr>
    <w:rPr>
      <w:rFonts w:ascii="Arial" w:hAnsi="Arial"/>
      <w:sz w:val="14"/>
    </w:rPr>
  </w:style>
  <w:style w:type="paragraph" w:customStyle="1" w:styleId="45">
    <w:name w:val="Abstract"/>
    <w:basedOn w:val="1"/>
    <w:qFormat/>
    <w:uiPriority w:val="0"/>
    <w:pPr>
      <w:spacing w:after="360" w:line="225" w:lineRule="exact"/>
      <w:jc w:val="both"/>
    </w:pPr>
    <w:rPr>
      <w:rFonts w:ascii="Arial" w:hAnsi="Arial"/>
      <w:sz w:val="16"/>
      <w:szCs w:val="20"/>
      <w:lang w:val="en-GB"/>
    </w:rPr>
  </w:style>
  <w:style w:type="paragraph" w:customStyle="1" w:styleId="46">
    <w:name w:val="P1"/>
    <w:basedOn w:val="17"/>
    <w:qFormat/>
    <w:uiPriority w:val="0"/>
    <w:pPr>
      <w:jc w:val="left"/>
    </w:pPr>
    <w:rPr>
      <w:lang w:val="en-US"/>
    </w:rPr>
  </w:style>
  <w:style w:type="paragraph" w:customStyle="1" w:styleId="47">
    <w:name w:val="List1"/>
    <w:basedOn w:val="1"/>
    <w:qFormat/>
    <w:uiPriority w:val="0"/>
    <w:pPr>
      <w:tabs>
        <w:tab w:val="left" w:pos="567"/>
      </w:tabs>
      <w:spacing w:before="240" w:after="120" w:line="480" w:lineRule="exact"/>
      <w:ind w:left="567" w:hanging="567"/>
    </w:pPr>
    <w:rPr>
      <w:rFonts w:eastAsia="Times New Roman"/>
      <w:lang w:eastAsia="de-DE"/>
    </w:rPr>
  </w:style>
  <w:style w:type="paragraph" w:customStyle="1" w:styleId="48">
    <w:name w:val="标题1"/>
    <w:basedOn w:val="1"/>
    <w:next w:val="1"/>
    <w:qFormat/>
    <w:uiPriority w:val="0"/>
    <w:pPr>
      <w:spacing w:before="120" w:line="480" w:lineRule="exact"/>
    </w:pPr>
    <w:rPr>
      <w:rFonts w:ascii="Arial" w:hAnsi="Arial"/>
      <w:b/>
      <w:sz w:val="32"/>
      <w:szCs w:val="28"/>
    </w:rPr>
  </w:style>
  <w:style w:type="character" w:customStyle="1" w:styleId="49">
    <w:name w:val="fontstyle01"/>
    <w:qFormat/>
    <w:uiPriority w:val="0"/>
    <w:rPr>
      <w:rFonts w:hint="default" w:ascii="Times New Roman" w:hAnsi="Times New Roman" w:cs="Times New Roman"/>
      <w:color w:val="000000"/>
      <w:sz w:val="24"/>
      <w:szCs w:val="24"/>
    </w:rPr>
  </w:style>
  <w:style w:type="paragraph" w:customStyle="1" w:styleId="50">
    <w:name w:val="TA_Main_Text"/>
    <w:basedOn w:val="1"/>
    <w:qFormat/>
    <w:uiPriority w:val="0"/>
    <w:pPr>
      <w:spacing w:line="480" w:lineRule="auto"/>
      <w:ind w:firstLine="202"/>
      <w:jc w:val="both"/>
    </w:pPr>
    <w:rPr>
      <w:rFonts w:ascii="Times" w:hAnsi="Times" w:eastAsia="宋体"/>
      <w:szCs w:val="20"/>
      <w:lang w:val="en-US" w:eastAsia="en-US"/>
    </w:rPr>
  </w:style>
  <w:style w:type="paragraph" w:customStyle="1" w:styleId="51">
    <w:name w:val="BB_Author_Name"/>
    <w:basedOn w:val="1"/>
    <w:next w:val="1"/>
    <w:qFormat/>
    <w:uiPriority w:val="0"/>
    <w:pPr>
      <w:spacing w:after="240" w:line="480" w:lineRule="auto"/>
      <w:jc w:val="center"/>
    </w:pPr>
    <w:rPr>
      <w:rFonts w:ascii="Times" w:hAnsi="Times" w:eastAsia="宋体"/>
      <w:i/>
      <w:szCs w:val="20"/>
      <w:lang w:val="en-US" w:eastAsia="en-US"/>
    </w:rPr>
  </w:style>
  <w:style w:type="paragraph" w:customStyle="1" w:styleId="52">
    <w:name w:val="HExperimental_Section"/>
    <w:basedOn w:val="1"/>
    <w:autoRedefine/>
    <w:qFormat/>
    <w:uiPriority w:val="0"/>
    <w:pPr>
      <w:spacing w:before="460" w:after="230" w:line="230" w:lineRule="atLeast"/>
    </w:pPr>
    <w:rPr>
      <w:rFonts w:ascii="Arial" w:hAnsi="Arial"/>
      <w:b/>
      <w:sz w:val="22"/>
      <w:szCs w:val="20"/>
    </w:rPr>
  </w:style>
  <w:style w:type="paragraph" w:customStyle="1" w:styleId="53">
    <w:name w:val="Main text"/>
    <w:basedOn w:val="1"/>
    <w:link w:val="54"/>
    <w:qFormat/>
    <w:uiPriority w:val="0"/>
    <w:pPr>
      <w:spacing w:line="480" w:lineRule="auto"/>
      <w:jc w:val="both"/>
    </w:pPr>
    <w:rPr>
      <w:rFonts w:eastAsiaTheme="minorEastAsia"/>
      <w:lang w:val="en-US" w:eastAsia="zh-CN"/>
    </w:rPr>
  </w:style>
  <w:style w:type="character" w:customStyle="1" w:styleId="54">
    <w:name w:val="Main text Char"/>
    <w:link w:val="53"/>
    <w:qFormat/>
    <w:uiPriority w:val="0"/>
    <w:rPr>
      <w:rFonts w:eastAsiaTheme="minorEastAsia"/>
      <w:sz w:val="24"/>
      <w:szCs w:val="24"/>
    </w:rPr>
  </w:style>
  <w:style w:type="paragraph" w:customStyle="1" w:styleId="55">
    <w:name w:val="Table of contents"/>
    <w:basedOn w:val="1"/>
    <w:autoRedefine/>
    <w:qFormat/>
    <w:uiPriority w:val="0"/>
    <w:pPr>
      <w:spacing w:line="480" w:lineRule="auto"/>
      <w:jc w:val="both"/>
    </w:pPr>
    <w:rPr>
      <w:lang w:val="en-US"/>
      <w14:ligatures w14:val="standardContextual"/>
    </w:rPr>
  </w:style>
  <w:style w:type="character" w:styleId="56">
    <w:name w:val="Placeholder Text"/>
    <w:basedOn w:val="11"/>
    <w:semiHidden/>
    <w:qFormat/>
    <w:uiPriority w:val="99"/>
    <w:rPr>
      <w:color w:val="808080"/>
    </w:rPr>
  </w:style>
  <w:style w:type="paragraph" w:customStyle="1" w:styleId="57">
    <w:name w:val="EndNote Bibliography"/>
    <w:basedOn w:val="1"/>
    <w:link w:val="58"/>
    <w:qFormat/>
    <w:uiPriority w:val="0"/>
    <w:pPr>
      <w:jc w:val="both"/>
    </w:pPr>
  </w:style>
  <w:style w:type="character" w:customStyle="1" w:styleId="58">
    <w:name w:val="EndNote Bibliography Char"/>
    <w:basedOn w:val="11"/>
    <w:link w:val="57"/>
    <w:qFormat/>
    <w:uiPriority w:val="0"/>
    <w:rPr>
      <w:sz w:val="24"/>
      <w:szCs w:val="24"/>
      <w:lang w:val="de-DE" w:eastAsia="ja-JP"/>
    </w:rPr>
  </w:style>
  <w:style w:type="paragraph" w:customStyle="1" w:styleId="59">
    <w:name w:val="EndNote Bibliography Title"/>
    <w:basedOn w:val="1"/>
    <w:link w:val="60"/>
    <w:qFormat/>
    <w:uiPriority w:val="0"/>
    <w:pPr>
      <w:jc w:val="center"/>
    </w:pPr>
  </w:style>
  <w:style w:type="character" w:customStyle="1" w:styleId="60">
    <w:name w:val="EndNote Bibliography Title Char"/>
    <w:basedOn w:val="58"/>
    <w:link w:val="59"/>
    <w:qFormat/>
    <w:uiPriority w:val="0"/>
    <w:rPr>
      <w:sz w:val="24"/>
      <w:szCs w:val="24"/>
      <w:lang w:val="de-DE" w:eastAsia="ja-JP"/>
    </w:rPr>
  </w:style>
  <w:style w:type="table" w:customStyle="1" w:styleId="61">
    <w:name w:val="网格型1"/>
    <w:qFormat/>
    <w:uiPriority w:val="99"/>
    <w:rPr>
      <w:rFonts w:ascii="Calibri" w:hAnsi="Calibri"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paragraph" w:customStyle="1" w:styleId="62">
    <w:name w:val="Revision"/>
    <w:hidden/>
    <w:unhideWhenUsed/>
    <w:qFormat/>
    <w:uiPriority w:val="99"/>
    <w:rPr>
      <w:rFonts w:ascii="Times New Roman" w:hAnsi="Times New Roman" w:eastAsia="MS Mincho" w:cs="Times New Roman"/>
      <w:sz w:val="24"/>
      <w:szCs w:val="24"/>
      <w:lang w:val="de-DE" w:eastAsia="ja-JP" w:bidi="ar-SA"/>
    </w:rPr>
  </w:style>
  <w:style w:type="character" w:customStyle="1" w:styleId="63">
    <w:name w:val="批注文字 字符"/>
    <w:basedOn w:val="11"/>
    <w:link w:val="4"/>
    <w:semiHidden/>
    <w:qFormat/>
    <w:uiPriority w:val="99"/>
    <w:rPr>
      <w:rFonts w:eastAsia="MS Mincho"/>
      <w:sz w:val="24"/>
      <w:szCs w:val="24"/>
      <w:lang w:val="de-DE" w:eastAsia="ja-JP"/>
    </w:rPr>
  </w:style>
  <w:style w:type="character" w:customStyle="1" w:styleId="64">
    <w:name w:val="批注主题 字符"/>
    <w:basedOn w:val="63"/>
    <w:link w:val="8"/>
    <w:semiHidden/>
    <w:qFormat/>
    <w:uiPriority w:val="99"/>
    <w:rPr>
      <w:rFonts w:eastAsia="MS Mincho"/>
      <w:b/>
      <w:bCs/>
      <w:sz w:val="24"/>
      <w:szCs w:val="24"/>
      <w:lang w:val="de-DE" w:eastAsia="ja-JP"/>
    </w:rPr>
  </w:style>
  <w:style w:type="paragraph" w:customStyle="1" w:styleId="65">
    <w:name w:val="Authors Full"/>
    <w:autoRedefine/>
    <w:qFormat/>
    <w:uiPriority w:val="0"/>
    <w:pPr>
      <w:spacing w:line="360" w:lineRule="auto"/>
      <w:jc w:val="both"/>
    </w:pPr>
    <w:rPr>
      <w:rFonts w:ascii="Times New Roman" w:hAnsi="Times New Roman" w:eastAsia="MS Mincho" w:cs="Times New Roman"/>
      <w:sz w:val="24"/>
      <w:szCs w:val="24"/>
      <w:lang w:val="en-US" w:eastAsia="ja-JP"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8" Type="http://schemas.openxmlformats.org/officeDocument/2006/relationships/fontTable" Target="fontTable.xml"/><Relationship Id="rId27" Type="http://schemas.openxmlformats.org/officeDocument/2006/relationships/customXml" Target="../customXml/item1.xml"/><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E:\360&#23433;&#20840;&#27983;&#35272;&#22120;&#19979;&#36733;\SI_template.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5E76C9-9148-4BEF-A2AB-F9E26186A09E}">
  <ds:schemaRefs/>
</ds:datastoreItem>
</file>

<file path=docProps/app.xml><?xml version="1.0" encoding="utf-8"?>
<Properties xmlns="http://schemas.openxmlformats.org/officeDocument/2006/extended-properties" xmlns:vt="http://schemas.openxmlformats.org/officeDocument/2006/docPropsVTypes">
  <Template>SI_template.dot</Template>
  <Company>WILEY-VCH Verlag GmbH &amp; Co. KGaA</Company>
  <Pages>32</Pages>
  <Words>2941</Words>
  <Characters>16182</Characters>
  <Lines>130</Lines>
  <Paragraphs>36</Paragraphs>
  <TotalTime>99</TotalTime>
  <ScaleCrop>false</ScaleCrop>
  <LinksUpToDate>false</LinksUpToDate>
  <CharactersWithSpaces>18950</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2025-09-03T11:57:00Z</dcterms:created>
  <dc:creator>lenovo y470</dc:creator>
  <cp:lastModifiedBy>诺茧</cp:lastModifiedBy>
  <cp:lastPrinted>2014-03-21T06:01:00Z</cp:lastPrinted>
  <dcterms:modified xsi:type="dcterms:W3CDTF">2026-04-17T09:26:48Z</dcterms:modified>
  <dc:title>((Title))</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fbb07aecb4324552f25a8abd106aeb5ee98c806ff494ecd205be6bff877a0fa2</vt:lpwstr>
  </property>
  <property fmtid="{D5CDD505-2E9C-101B-9397-08002B2CF9AE}" pid="3" name="KSOTemplateDocerSaveRecord">
    <vt:lpwstr>eyJoZGlkIjoiMWIwM2FlZmQ1OTExYTcxOTIzMTE0NGY5YmJlZGVhNTMiLCJ1c2VySWQiOiIyNzQwNDU5NzgifQ==</vt:lpwstr>
  </property>
  <property fmtid="{D5CDD505-2E9C-101B-9397-08002B2CF9AE}" pid="4" name="KSOProductBuildVer">
    <vt:lpwstr>2052-12.1.0.25865</vt:lpwstr>
  </property>
  <property fmtid="{D5CDD505-2E9C-101B-9397-08002B2CF9AE}" pid="5" name="ICV">
    <vt:lpwstr>CAF50102F2104BEC92CCB1DAEB244B4F_13</vt:lpwstr>
  </property>
</Properties>
</file>