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E07F9">
      <w:pPr>
        <w:pStyle w:val="20"/>
        <w:spacing w:line="360" w:lineRule="auto"/>
        <w:jc w:val="center"/>
        <w:rPr>
          <w:rFonts w:hint="default"/>
          <w:sz w:val="28"/>
          <w:szCs w:val="28"/>
        </w:rPr>
      </w:pPr>
      <w:r>
        <w:rPr>
          <w:rFonts w:hint="default"/>
          <w:sz w:val="28"/>
          <w:szCs w:val="28"/>
        </w:rPr>
        <w:t>Covalent Targeting of ACTN4 Disrupts Cytoskeletal Control of TfR1 Recycling and Drives Ferroptosis in Acute Myeloid Leukemia</w:t>
      </w:r>
    </w:p>
    <w:p w14:paraId="1CA0B505">
      <w:pPr>
        <w:pStyle w:val="20"/>
        <w:spacing w:line="360" w:lineRule="auto"/>
        <w:jc w:val="center"/>
        <w:rPr>
          <w:rFonts w:hint="default"/>
          <w:sz w:val="28"/>
          <w:szCs w:val="28"/>
        </w:rPr>
      </w:pPr>
    </w:p>
    <w:p w14:paraId="633CDF61">
      <w:pPr>
        <w:pStyle w:val="17"/>
        <w:spacing w:line="360" w:lineRule="auto"/>
        <w:rPr>
          <w:rFonts w:hint="default" w:ascii="Times New Roman" w:hAnsi="Times New Roman" w:cs="Times New Roman"/>
          <w:sz w:val="24"/>
          <w:szCs w:val="24"/>
          <w:vertAlign w:val="superscript"/>
        </w:rPr>
      </w:pPr>
      <w:r>
        <w:rPr>
          <w:rFonts w:hint="default" w:ascii="Times New Roman" w:hAnsi="Times New Roman" w:cs="Times New Roman"/>
          <w:sz w:val="24"/>
          <w:szCs w:val="24"/>
        </w:rPr>
        <w:t>Zhigang Chen</w:t>
      </w:r>
      <w:r>
        <w:rPr>
          <w:rFonts w:hint="default" w:ascii="Times New Roman" w:hAnsi="Times New Roman" w:eastAsia="SimSun" w:cs="Times New Roman"/>
          <w:sz w:val="24"/>
          <w:szCs w:val="24"/>
          <w:lang w:eastAsia="zh-CN"/>
        </w:rPr>
        <w:t xml:space="preserve"> </w:t>
      </w:r>
      <w:r>
        <w:rPr>
          <w:rFonts w:hint="default" w:ascii="Times New Roman" w:hAnsi="Times New Roman" w:eastAsia="SimSun" w:cs="Times New Roman"/>
          <w:sz w:val="24"/>
          <w:szCs w:val="24"/>
          <w:vertAlign w:val="superscript"/>
          <w:lang w:eastAsia="zh-CN"/>
        </w:rPr>
        <w:t xml:space="preserve">a, c, </w:t>
      </w:r>
      <w:r>
        <w:rPr>
          <w:rFonts w:hint="default" w:ascii="Times New Roman" w:hAnsi="Times New Roman" w:eastAsia="SimSun" w:cs="Times New Roman"/>
          <w:sz w:val="24"/>
          <w:szCs w:val="24"/>
          <w:vertAlign w:val="superscript"/>
          <w:lang w:val="en-US" w:eastAsia="zh-CN"/>
        </w:rPr>
        <w:t xml:space="preserve">e, </w:t>
      </w:r>
      <w:r>
        <w:rPr>
          <w:rFonts w:hint="default" w:ascii="Times New Roman" w:hAnsi="Times New Roman" w:eastAsia="SimSun" w:cs="Times New Roman"/>
          <w:sz w:val="24"/>
          <w:szCs w:val="24"/>
          <w:vertAlign w:val="superscript"/>
          <w:lang w:eastAsia="zh-CN"/>
        </w:rPr>
        <w:t>1</w:t>
      </w:r>
      <w:r>
        <w:rPr>
          <w:rFonts w:hint="default" w:ascii="Times New Roman" w:hAnsi="Times New Roman" w:cs="Times New Roman"/>
          <w:sz w:val="24"/>
          <w:szCs w:val="24"/>
        </w:rPr>
        <w:t xml:space="preserve">, </w:t>
      </w:r>
      <w:r>
        <w:rPr>
          <w:rFonts w:hint="default" w:ascii="Times New Roman" w:hAnsi="Times New Roman" w:eastAsia="SimSun" w:cs="Times New Roman"/>
          <w:sz w:val="24"/>
          <w:szCs w:val="24"/>
          <w:lang w:eastAsia="zh-CN"/>
        </w:rPr>
        <w:t xml:space="preserve">Weiyao Liao </w:t>
      </w:r>
      <w:r>
        <w:rPr>
          <w:rFonts w:hint="default" w:ascii="Times New Roman" w:hAnsi="Times New Roman" w:eastAsia="SimSun" w:cs="Times New Roman"/>
          <w:sz w:val="24"/>
          <w:szCs w:val="24"/>
          <w:vertAlign w:val="superscript"/>
          <w:lang w:eastAsia="zh-CN"/>
        </w:rPr>
        <w:t>b, 1</w:t>
      </w:r>
      <w:r>
        <w:rPr>
          <w:rFonts w:hint="default" w:ascii="Times New Roman" w:hAnsi="Times New Roman" w:cs="Times New Roman"/>
          <w:sz w:val="24"/>
          <w:szCs w:val="24"/>
        </w:rPr>
        <w:t xml:space="preserve">, </w:t>
      </w:r>
      <w:r>
        <w:rPr>
          <w:rFonts w:hint="default" w:ascii="Times New Roman" w:hAnsi="Times New Roman" w:eastAsia="SimSun" w:cs="Times New Roman"/>
          <w:sz w:val="24"/>
          <w:szCs w:val="24"/>
          <w:lang w:eastAsia="zh-CN"/>
        </w:rPr>
        <w:t xml:space="preserve">Qianwei Lu </w:t>
      </w:r>
      <w:r>
        <w:rPr>
          <w:rFonts w:hint="default" w:ascii="Times New Roman" w:hAnsi="Times New Roman" w:eastAsia="SimSun" w:cs="Times New Roman"/>
          <w:sz w:val="24"/>
          <w:szCs w:val="24"/>
          <w:vertAlign w:val="superscript"/>
          <w:lang w:eastAsia="zh-CN"/>
        </w:rPr>
        <w:t>d</w:t>
      </w:r>
      <w:r>
        <w:rPr>
          <w:rFonts w:hint="default" w:ascii="Times New Roman" w:hAnsi="Times New Roman" w:eastAsia="SimSun" w:cs="Times New Roman"/>
          <w:sz w:val="24"/>
          <w:szCs w:val="24"/>
          <w:lang w:eastAsia="zh-CN"/>
        </w:rPr>
        <w:t>, Jia</w:t>
      </w:r>
      <w:bookmarkStart w:id="2" w:name="_GoBack"/>
      <w:bookmarkEnd w:id="2"/>
      <w:r>
        <w:rPr>
          <w:rFonts w:hint="default" w:ascii="Times New Roman" w:hAnsi="Times New Roman" w:eastAsia="SimSun" w:cs="Times New Roman"/>
          <w:sz w:val="24"/>
          <w:szCs w:val="24"/>
          <w:lang w:eastAsia="zh-CN"/>
        </w:rPr>
        <w:t xml:space="preserve">wei Chen </w:t>
      </w:r>
      <w:r>
        <w:rPr>
          <w:rFonts w:hint="default" w:ascii="Times New Roman" w:hAnsi="Times New Roman" w:eastAsia="SimSun" w:cs="Times New Roman"/>
          <w:sz w:val="24"/>
          <w:szCs w:val="24"/>
          <w:vertAlign w:val="superscript"/>
          <w:lang w:eastAsia="zh-CN"/>
        </w:rPr>
        <w:t>a</w:t>
      </w:r>
      <w:r>
        <w:rPr>
          <w:rFonts w:hint="default" w:ascii="Times New Roman" w:hAnsi="Times New Roman" w:eastAsia="SimSun" w:cs="Times New Roman"/>
          <w:sz w:val="24"/>
          <w:szCs w:val="24"/>
          <w:lang w:eastAsia="zh-CN"/>
        </w:rPr>
        <w:t>,</w:t>
      </w:r>
      <w:r>
        <w:rPr>
          <w:rFonts w:hint="default" w:ascii="Times New Roman" w:hAnsi="Times New Roman" w:eastAsia="SimSun" w:cs="Times New Roman"/>
          <w:sz w:val="24"/>
          <w:szCs w:val="24"/>
          <w:lang w:val="en-US" w:eastAsia="zh-CN"/>
        </w:rPr>
        <w:t xml:space="preserve"> </w:t>
      </w:r>
      <w:r>
        <w:rPr>
          <w:rFonts w:hint="default" w:ascii="Times New Roman" w:hAnsi="Times New Roman" w:eastAsia="SimSun" w:cs="Times New Roman"/>
          <w:sz w:val="24"/>
          <w:szCs w:val="24"/>
          <w:lang w:eastAsia="zh-CN"/>
        </w:rPr>
        <w:t>Zengsheng Yin</w:t>
      </w:r>
      <w:r>
        <w:rPr>
          <w:rFonts w:hint="default" w:ascii="Times New Roman" w:hAnsi="Times New Roman" w:eastAsia="SimSun" w:cs="Times New Roman"/>
          <w:sz w:val="24"/>
          <w:szCs w:val="24"/>
          <w:lang w:val="en-US" w:eastAsia="zh-CN"/>
        </w:rPr>
        <w:t xml:space="preserve"> </w:t>
      </w:r>
      <w:r>
        <w:rPr>
          <w:rFonts w:hint="default" w:ascii="Times New Roman" w:hAnsi="Times New Roman" w:eastAsia="SimSun" w:cs="Times New Roman"/>
          <w:sz w:val="24"/>
          <w:szCs w:val="24"/>
          <w:vertAlign w:val="superscript"/>
          <w:lang w:val="en-US" w:eastAsia="zh-CN"/>
        </w:rPr>
        <w:t>f</w:t>
      </w:r>
      <w:r>
        <w:rPr>
          <w:rFonts w:hint="default" w:ascii="Times New Roman" w:hAnsi="Times New Roman" w:eastAsia="SimSun" w:cs="Times New Roman"/>
          <w:sz w:val="24"/>
          <w:szCs w:val="24"/>
          <w:lang w:val="en-US" w:eastAsia="zh-CN"/>
        </w:rPr>
        <w:t xml:space="preserve">, </w:t>
      </w:r>
      <w:r>
        <w:rPr>
          <w:rFonts w:hint="default" w:ascii="Times New Roman" w:hAnsi="Times New Roman" w:eastAsia="SimSun" w:cs="Times New Roman"/>
          <w:sz w:val="24"/>
          <w:szCs w:val="24"/>
          <w:lang w:eastAsia="zh-CN"/>
        </w:rPr>
        <w:t xml:space="preserve"> Jianhui Rong</w:t>
      </w:r>
      <w:r>
        <w:rPr>
          <w:rFonts w:hint="default" w:ascii="Times New Roman" w:hAnsi="Times New Roman" w:eastAsia="SimSun" w:cs="Times New Roman"/>
          <w:sz w:val="24"/>
          <w:szCs w:val="24"/>
          <w:vertAlign w:val="superscript"/>
          <w:lang w:eastAsia="zh-CN"/>
        </w:rPr>
        <w:t xml:space="preserve"> b</w:t>
      </w:r>
      <w:r>
        <w:rPr>
          <w:rFonts w:hint="default" w:ascii="Times New Roman" w:hAnsi="Times New Roman" w:eastAsia="SimSun" w:cs="Times New Roman"/>
          <w:sz w:val="24"/>
          <w:szCs w:val="24"/>
          <w:lang w:eastAsia="zh-CN"/>
        </w:rPr>
        <w:t xml:space="preserve">, Congcong Wang </w:t>
      </w:r>
      <w:r>
        <w:rPr>
          <w:rFonts w:hint="default" w:ascii="Times New Roman" w:hAnsi="Times New Roman" w:eastAsia="SimSun" w:cs="Times New Roman"/>
          <w:sz w:val="24"/>
          <w:szCs w:val="24"/>
          <w:vertAlign w:val="superscript"/>
          <w:lang w:eastAsia="zh-CN"/>
        </w:rPr>
        <w:t>c</w:t>
      </w:r>
      <w:r>
        <w:rPr>
          <w:rFonts w:hint="default" w:ascii="Times New Roman" w:hAnsi="Times New Roman" w:eastAsia="SimSun" w:cs="Times New Roman"/>
          <w:sz w:val="24"/>
          <w:szCs w:val="24"/>
          <w:lang w:eastAsia="zh-CN"/>
        </w:rPr>
        <w:t xml:space="preserve">, Yutong Xie </w:t>
      </w:r>
      <w:r>
        <w:rPr>
          <w:rFonts w:hint="default" w:ascii="Times New Roman" w:hAnsi="Times New Roman" w:eastAsia="SimSun" w:cs="Times New Roman"/>
          <w:sz w:val="24"/>
          <w:szCs w:val="24"/>
          <w:vertAlign w:val="superscript"/>
          <w:lang w:eastAsia="zh-CN"/>
        </w:rPr>
        <w:t>c</w:t>
      </w:r>
      <w:r>
        <w:rPr>
          <w:rFonts w:hint="default" w:ascii="Times New Roman" w:hAnsi="Times New Roman" w:eastAsia="SimSun" w:cs="Times New Roman"/>
          <w:sz w:val="24"/>
          <w:szCs w:val="24"/>
          <w:lang w:eastAsia="zh-CN"/>
        </w:rPr>
        <w:t xml:space="preserve">, Chenmo Li </w:t>
      </w:r>
      <w:r>
        <w:rPr>
          <w:rFonts w:hint="default" w:ascii="Times New Roman" w:hAnsi="Times New Roman" w:eastAsia="SimSun" w:cs="Times New Roman"/>
          <w:sz w:val="24"/>
          <w:szCs w:val="24"/>
          <w:vertAlign w:val="superscript"/>
          <w:lang w:eastAsia="zh-CN"/>
        </w:rPr>
        <w:t>c</w:t>
      </w:r>
      <w:r>
        <w:rPr>
          <w:rFonts w:hint="default" w:ascii="Times New Roman" w:hAnsi="Times New Roman" w:eastAsia="SimSun" w:cs="Times New Roman"/>
          <w:sz w:val="24"/>
          <w:szCs w:val="24"/>
          <w:lang w:eastAsia="zh-CN"/>
        </w:rPr>
        <w:t xml:space="preserve">, MingYang Gao </w:t>
      </w:r>
      <w:r>
        <w:rPr>
          <w:rFonts w:hint="default" w:ascii="Times New Roman" w:hAnsi="Times New Roman" w:eastAsia="SimSun" w:cs="Times New Roman"/>
          <w:sz w:val="24"/>
          <w:szCs w:val="24"/>
          <w:vertAlign w:val="superscript"/>
          <w:lang w:eastAsia="zh-CN"/>
        </w:rPr>
        <w:t>c</w:t>
      </w:r>
      <w:r>
        <w:rPr>
          <w:rFonts w:hint="default" w:ascii="Times New Roman" w:hAnsi="Times New Roman" w:eastAsia="SimSun" w:cs="Times New Roman"/>
          <w:sz w:val="24"/>
          <w:szCs w:val="24"/>
          <w:lang w:eastAsia="zh-CN"/>
        </w:rPr>
        <w:t xml:space="preserve">, Lin Li </w:t>
      </w:r>
      <w:r>
        <w:rPr>
          <w:rFonts w:hint="default" w:ascii="Times New Roman" w:hAnsi="Times New Roman" w:eastAsia="SimSun" w:cs="Times New Roman"/>
          <w:sz w:val="24"/>
          <w:szCs w:val="24"/>
          <w:vertAlign w:val="superscript"/>
          <w:lang w:eastAsia="zh-CN"/>
        </w:rPr>
        <w:t>a</w:t>
      </w:r>
      <w:r>
        <w:rPr>
          <w:rFonts w:hint="default" w:ascii="Times New Roman" w:hAnsi="Times New Roman" w:eastAsia="SimSun" w:cs="Times New Roman"/>
          <w:sz w:val="24"/>
          <w:szCs w:val="24"/>
          <w:lang w:eastAsia="zh-CN"/>
        </w:rPr>
        <w:t xml:space="preserve">, Jinhu Li </w:t>
      </w:r>
      <w:r>
        <w:rPr>
          <w:rFonts w:hint="default" w:ascii="Times New Roman" w:hAnsi="Times New Roman" w:eastAsia="SimSun" w:cs="Times New Roman"/>
          <w:sz w:val="24"/>
          <w:szCs w:val="24"/>
          <w:vertAlign w:val="superscript"/>
          <w:lang w:eastAsia="zh-CN"/>
        </w:rPr>
        <w:t>a</w:t>
      </w:r>
      <w:r>
        <w:rPr>
          <w:rFonts w:hint="default" w:ascii="Times New Roman" w:hAnsi="Times New Roman" w:eastAsia="SimSun" w:cs="Times New Roman"/>
          <w:sz w:val="24"/>
          <w:szCs w:val="24"/>
          <w:lang w:eastAsia="zh-CN"/>
        </w:rPr>
        <w:t xml:space="preserve">, Xinyan Dai </w:t>
      </w:r>
      <w:r>
        <w:rPr>
          <w:rFonts w:hint="default" w:ascii="Times New Roman" w:hAnsi="Times New Roman" w:eastAsia="SimSun" w:cs="Times New Roman"/>
          <w:sz w:val="24"/>
          <w:szCs w:val="24"/>
          <w:vertAlign w:val="superscript"/>
          <w:lang w:eastAsia="zh-CN"/>
        </w:rPr>
        <w:t>a</w:t>
      </w:r>
      <w:r>
        <w:rPr>
          <w:rFonts w:hint="default" w:ascii="Times New Roman" w:hAnsi="Times New Roman" w:eastAsia="SimSun" w:cs="Times New Roman"/>
          <w:sz w:val="24"/>
          <w:szCs w:val="24"/>
          <w:lang w:eastAsia="zh-CN"/>
        </w:rPr>
        <w:t xml:space="preserve">, Li Li </w:t>
      </w:r>
      <w:r>
        <w:rPr>
          <w:rFonts w:hint="default" w:ascii="Times New Roman" w:hAnsi="Times New Roman" w:eastAsia="SimSun" w:cs="Times New Roman"/>
          <w:sz w:val="24"/>
          <w:szCs w:val="24"/>
          <w:vertAlign w:val="superscript"/>
          <w:lang w:eastAsia="zh-CN"/>
        </w:rPr>
        <w:t>a</w:t>
      </w:r>
      <w:r>
        <w:rPr>
          <w:rFonts w:hint="default" w:ascii="Times New Roman" w:hAnsi="Times New Roman" w:eastAsia="SimSun" w:cs="Times New Roman"/>
          <w:sz w:val="24"/>
          <w:szCs w:val="24"/>
          <w:lang w:eastAsia="zh-CN"/>
        </w:rPr>
        <w:t xml:space="preserve">,  Lei Gao </w:t>
      </w:r>
      <w:r>
        <w:rPr>
          <w:rFonts w:hint="default" w:ascii="Times New Roman" w:hAnsi="Times New Roman" w:eastAsia="SimSun" w:cs="Times New Roman"/>
          <w:sz w:val="24"/>
          <w:szCs w:val="24"/>
          <w:vertAlign w:val="superscript"/>
          <w:lang w:eastAsia="zh-CN"/>
        </w:rPr>
        <w:t xml:space="preserve">c, </w:t>
      </w:r>
      <w:r>
        <w:rPr>
          <w:rFonts w:hint="default" w:ascii="Times New Roman" w:hAnsi="Times New Roman" w:cs="Times New Roman"/>
          <w:sz w:val="24"/>
          <w:szCs w:val="24"/>
          <w:vertAlign w:val="superscript"/>
        </w:rPr>
        <w:t>*</w:t>
      </w:r>
      <w:r>
        <w:rPr>
          <w:rFonts w:hint="default" w:ascii="Times New Roman" w:hAnsi="Times New Roman" w:eastAsia="SimSun" w:cs="Times New Roman"/>
          <w:sz w:val="24"/>
          <w:szCs w:val="24"/>
          <w:lang w:eastAsia="zh-CN"/>
        </w:rPr>
        <w:t xml:space="preserve">, Jia Zhao </w:t>
      </w:r>
      <w:r>
        <w:rPr>
          <w:rFonts w:hint="default" w:ascii="Times New Roman" w:hAnsi="Times New Roman" w:eastAsia="SimSun" w:cs="Times New Roman"/>
          <w:sz w:val="24"/>
          <w:szCs w:val="24"/>
          <w:vertAlign w:val="superscript"/>
          <w:lang w:eastAsia="zh-CN"/>
        </w:rPr>
        <w:t>b</w:t>
      </w:r>
      <w:r>
        <w:rPr>
          <w:rFonts w:hint="default" w:ascii="Times New Roman" w:hAnsi="Times New Roman" w:cs="Times New Roman"/>
          <w:sz w:val="24"/>
          <w:szCs w:val="24"/>
          <w:vertAlign w:val="superscript"/>
        </w:rPr>
        <w:t>, *</w:t>
      </w:r>
      <w:r>
        <w:rPr>
          <w:rFonts w:hint="default" w:ascii="Times New Roman" w:hAnsi="Times New Roman" w:cs="Times New Roman"/>
          <w:sz w:val="24"/>
          <w:szCs w:val="24"/>
        </w:rPr>
        <w:t xml:space="preserve">, </w:t>
      </w:r>
      <w:r>
        <w:rPr>
          <w:rFonts w:hint="default" w:ascii="Times New Roman" w:hAnsi="Times New Roman" w:eastAsia="SimSun" w:cs="Times New Roman"/>
          <w:sz w:val="24"/>
          <w:szCs w:val="24"/>
          <w:lang w:eastAsia="zh-CN"/>
        </w:rPr>
        <w:t xml:space="preserve">Hongyi Qi </w:t>
      </w:r>
      <w:r>
        <w:rPr>
          <w:rFonts w:hint="default" w:ascii="Times New Roman" w:hAnsi="Times New Roman" w:eastAsia="SimSun" w:cs="Times New Roman"/>
          <w:sz w:val="24"/>
          <w:szCs w:val="24"/>
          <w:vertAlign w:val="superscript"/>
          <w:lang w:eastAsia="zh-CN"/>
        </w:rPr>
        <w:t>a</w:t>
      </w:r>
      <w:r>
        <w:rPr>
          <w:rFonts w:hint="default" w:ascii="Times New Roman" w:hAnsi="Times New Roman" w:cs="Times New Roman"/>
          <w:sz w:val="24"/>
          <w:szCs w:val="24"/>
          <w:vertAlign w:val="superscript"/>
        </w:rPr>
        <w:t>, *</w:t>
      </w:r>
    </w:p>
    <w:p w14:paraId="633CDF62">
      <w:pPr>
        <w:pStyle w:val="17"/>
        <w:spacing w:line="360" w:lineRule="auto"/>
        <w:rPr>
          <w:rFonts w:hint="default" w:ascii="Times New Roman" w:hAnsi="Times New Roman" w:cs="Times New Roman"/>
          <w:sz w:val="24"/>
          <w:szCs w:val="24"/>
          <w:vertAlign w:val="superscript"/>
        </w:rPr>
      </w:pPr>
    </w:p>
    <w:p w14:paraId="633CDF63">
      <w:pPr>
        <w:pStyle w:val="19"/>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a College of Pharmaceutical Sciences &amp; College of Chinese Medicine, Southwest University, Chongqing 400715, China</w:t>
      </w:r>
    </w:p>
    <w:p w14:paraId="633CDF64">
      <w:pPr>
        <w:pStyle w:val="19"/>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b School of Chinese MedicineLi Ka Shing Faculty of MedicineThe University of Hong Kong</w:t>
      </w:r>
      <w:r>
        <w:rPr>
          <w:rFonts w:hint="default" w:ascii="Times New Roman" w:hAnsi="Times New Roman" w:eastAsia="SimSun" w:cs="Times New Roman"/>
          <w:i/>
          <w:sz w:val="24"/>
          <w:szCs w:val="24"/>
          <w:lang w:eastAsia="zh-CN"/>
        </w:rPr>
        <w:t xml:space="preserve"> </w:t>
      </w:r>
      <w:r>
        <w:rPr>
          <w:rFonts w:hint="default" w:ascii="Times New Roman" w:hAnsi="Times New Roman" w:cs="Times New Roman"/>
          <w:i/>
          <w:sz w:val="24"/>
          <w:szCs w:val="24"/>
        </w:rPr>
        <w:t xml:space="preserve">3 Sassoon Road, Pokfulam, Hong Kong 999077, P. R. China </w:t>
      </w:r>
    </w:p>
    <w:p w14:paraId="633CDF65">
      <w:pPr>
        <w:pStyle w:val="19"/>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c Medical Center of Hematology, Xinqiao Hospital, State Key Laboratory of Trauma, Burn and Combined Injury, Army Medical University, Chongqing</w:t>
      </w:r>
      <w:r>
        <w:rPr>
          <w:rFonts w:hint="default" w:ascii="Times New Roman" w:hAnsi="Times New Roman" w:eastAsia="SimSun" w:cs="Times New Roman"/>
          <w:i/>
          <w:sz w:val="24"/>
          <w:szCs w:val="24"/>
          <w:lang w:eastAsia="zh-CN"/>
        </w:rPr>
        <w:t xml:space="preserve">, </w:t>
      </w:r>
      <w:r>
        <w:rPr>
          <w:rFonts w:hint="default" w:ascii="Times New Roman" w:hAnsi="Times New Roman" w:cs="Times New Roman"/>
          <w:i/>
          <w:sz w:val="24"/>
          <w:szCs w:val="24"/>
        </w:rPr>
        <w:t xml:space="preserve">400037, China </w:t>
      </w:r>
    </w:p>
    <w:p w14:paraId="633CDF67">
      <w:pPr>
        <w:pStyle w:val="19"/>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d</w:t>
      </w:r>
      <w:r>
        <w:rPr>
          <w:rFonts w:hint="default" w:ascii="Times New Roman" w:hAnsi="Times New Roman" w:eastAsia="SimSun" w:cs="Times New Roman"/>
          <w:i/>
          <w:sz w:val="24"/>
          <w:szCs w:val="24"/>
          <w:lang w:val="en-US" w:eastAsia="zh-CN"/>
        </w:rPr>
        <w:t xml:space="preserve"> </w:t>
      </w:r>
      <w:r>
        <w:rPr>
          <w:rFonts w:hint="default" w:ascii="Times New Roman" w:hAnsi="Times New Roman" w:cs="Times New Roman"/>
          <w:i/>
          <w:sz w:val="24"/>
          <w:szCs w:val="24"/>
        </w:rPr>
        <w:t>Radiotherapy Department, Chongqing Ninth People's Hospital, Chongqing, China</w:t>
      </w:r>
      <w:r>
        <w:rPr>
          <w:rFonts w:hint="default" w:ascii="Times New Roman" w:hAnsi="Times New Roman" w:eastAsia="SimSun" w:cs="Times New Roman"/>
          <w:i/>
          <w:sz w:val="24"/>
          <w:szCs w:val="24"/>
          <w:lang w:val="en-US" w:eastAsia="zh-CN"/>
        </w:rPr>
        <w:t xml:space="preserve"> </w:t>
      </w:r>
      <w:r>
        <w:rPr>
          <w:rFonts w:hint="default" w:ascii="Times New Roman" w:hAnsi="Times New Roman" w:cs="Times New Roman"/>
          <w:i/>
          <w:sz w:val="24"/>
          <w:szCs w:val="24"/>
        </w:rPr>
        <w:t>Equal contribution</w:t>
      </w:r>
    </w:p>
    <w:p w14:paraId="636F8EDA">
      <w:pPr>
        <w:pStyle w:val="19"/>
        <w:spacing w:line="360" w:lineRule="auto"/>
        <w:rPr>
          <w:rFonts w:hint="default" w:ascii="Times New Roman" w:hAnsi="Times New Roman" w:cs="Times New Roman"/>
          <w:i/>
          <w:sz w:val="24"/>
          <w:szCs w:val="24"/>
        </w:rPr>
      </w:pPr>
      <w:r>
        <w:rPr>
          <w:rFonts w:hint="default" w:ascii="Times New Roman" w:hAnsi="Times New Roman" w:cs="Times New Roman"/>
          <w:i/>
          <w:sz w:val="24"/>
          <w:szCs w:val="24"/>
        </w:rPr>
        <w:t>e Chongqing Institute of Advanced Pathology, Jinfeng Laboratory, Chongqing 400039, China</w:t>
      </w:r>
    </w:p>
    <w:p w14:paraId="652D8AD3">
      <w:pPr>
        <w:pStyle w:val="19"/>
        <w:spacing w:line="360" w:lineRule="auto"/>
        <w:rPr>
          <w:rFonts w:hint="default" w:ascii="Times New Roman" w:hAnsi="Times New Roman" w:eastAsia="SimSun" w:cs="Times New Roman"/>
          <w:i/>
          <w:sz w:val="24"/>
          <w:szCs w:val="24"/>
          <w:lang w:val="en-US" w:eastAsia="zh-CN"/>
        </w:rPr>
      </w:pPr>
      <w:r>
        <w:rPr>
          <w:rFonts w:hint="default" w:ascii="Times New Roman" w:hAnsi="Times New Roman" w:eastAsia="SimSun" w:cs="Times New Roman"/>
          <w:i/>
          <w:sz w:val="24"/>
          <w:szCs w:val="24"/>
          <w:lang w:val="en-US" w:eastAsia="zh-CN"/>
        </w:rPr>
        <w:t>f Department of Chemistry, and State Key Laboratory of Synthetic Chemistry, The University of Hong Kong, Pokfulam Road, HongKong, P.R. China</w:t>
      </w:r>
    </w:p>
    <w:p w14:paraId="4728A5F2">
      <w:pPr>
        <w:pStyle w:val="19"/>
        <w:spacing w:line="360" w:lineRule="auto"/>
        <w:rPr>
          <w:rFonts w:hint="default" w:ascii="Times New Roman" w:hAnsi="Times New Roman" w:eastAsia="SimSun" w:cs="Times New Roman"/>
          <w:i/>
          <w:sz w:val="24"/>
          <w:szCs w:val="24"/>
          <w:lang w:val="en-US" w:eastAsia="zh-CN"/>
        </w:rPr>
      </w:pPr>
    </w:p>
    <w:p w14:paraId="633CDF68">
      <w:pPr>
        <w:pStyle w:val="17"/>
        <w:spacing w:line="360" w:lineRule="auto"/>
        <w:rPr>
          <w:rFonts w:hint="default" w:ascii="Times New Roman" w:hAnsi="Times New Roman" w:eastAsia="SimSun" w:cs="Times New Roman"/>
          <w:sz w:val="24"/>
          <w:szCs w:val="24"/>
          <w:lang w:eastAsia="zh-CN"/>
        </w:rPr>
      </w:pPr>
      <w:r>
        <w:rPr>
          <w:rFonts w:hint="default" w:ascii="Times New Roman" w:hAnsi="Times New Roman" w:cs="Times New Roman"/>
          <w:sz w:val="24"/>
          <w:szCs w:val="24"/>
          <w:lang w:eastAsia="zh-CN"/>
        </w:rPr>
        <w:t xml:space="preserve">⁎ Corresponding author : </w:t>
      </w:r>
      <w:r>
        <w:rPr>
          <w:rFonts w:hint="default" w:ascii="Times New Roman" w:hAnsi="Times New Roman" w:eastAsia="SimSun" w:cs="Times New Roman"/>
          <w:sz w:val="24"/>
          <w:szCs w:val="24"/>
          <w:lang w:eastAsia="zh-CN"/>
        </w:rPr>
        <w:t xml:space="preserve"> Hongyi Qi,  Jia Zhao, Lei Gao</w:t>
      </w:r>
    </w:p>
    <w:p w14:paraId="633CDF69">
      <w:pPr>
        <w:pStyle w:val="19"/>
        <w:spacing w:line="360" w:lineRule="auto"/>
        <w:rPr>
          <w:rFonts w:hint="default" w:ascii="Times New Roman" w:hAnsi="Times New Roman" w:cs="Times New Roman"/>
          <w:i/>
          <w:sz w:val="24"/>
          <w:szCs w:val="24"/>
          <w:lang w:eastAsia="zh-CN"/>
        </w:rPr>
      </w:pPr>
      <w:r>
        <w:rPr>
          <w:rFonts w:hint="default" w:ascii="Times New Roman" w:hAnsi="Times New Roman" w:cs="Times New Roman"/>
          <w:i/>
          <w:sz w:val="24"/>
          <w:szCs w:val="24"/>
          <w:lang w:eastAsia="zh-CN"/>
        </w:rPr>
        <w:t>E-mail addresses: hongyiqi@swu.edu.cn (</w:t>
      </w:r>
      <w:r>
        <w:rPr>
          <w:rFonts w:hint="default" w:ascii="Times New Roman" w:hAnsi="Times New Roman" w:eastAsia="SimSun" w:cs="Times New Roman"/>
          <w:i/>
          <w:sz w:val="24"/>
          <w:szCs w:val="24"/>
          <w:lang w:eastAsia="zh-CN"/>
        </w:rPr>
        <w:t>Hongyi Qi</w:t>
      </w:r>
      <w:r>
        <w:rPr>
          <w:rFonts w:hint="default" w:ascii="Times New Roman" w:hAnsi="Times New Roman" w:cs="Times New Roman"/>
          <w:i/>
          <w:sz w:val="24"/>
          <w:szCs w:val="24"/>
          <w:lang w:eastAsia="zh-CN"/>
        </w:rPr>
        <w:t>), zhaojia7@hku.hk (</w:t>
      </w:r>
      <w:r>
        <w:rPr>
          <w:rFonts w:hint="default" w:ascii="Times New Roman" w:hAnsi="Times New Roman" w:eastAsia="SimSun" w:cs="Times New Roman"/>
          <w:i/>
          <w:sz w:val="24"/>
          <w:szCs w:val="24"/>
          <w:lang w:eastAsia="zh-CN"/>
        </w:rPr>
        <w:t>Jia Zhao</w:t>
      </w:r>
      <w:r>
        <w:rPr>
          <w:rFonts w:hint="default" w:ascii="Times New Roman" w:hAnsi="Times New Roman" w:cs="Times New Roman"/>
          <w:i/>
          <w:sz w:val="24"/>
          <w:szCs w:val="24"/>
          <w:lang w:eastAsia="zh-CN"/>
        </w:rPr>
        <w:t>), gaolei7765@tmmu.edu. cn (Lei Gao)</w:t>
      </w:r>
    </w:p>
    <w:p w14:paraId="67BDE876">
      <w:pPr>
        <w:spacing w:line="480" w:lineRule="auto"/>
        <w:rPr>
          <w:rStyle w:val="9"/>
          <w:rFonts w:ascii="Times New Roman" w:hAnsi="Times New Roman" w:cs="Times New Roman"/>
          <w:bCs/>
          <w:color w:val="auto"/>
          <w:sz w:val="24"/>
          <w:szCs w:val="24"/>
          <w:u w:val="none"/>
        </w:rPr>
      </w:pPr>
      <w:r>
        <w:rPr>
          <w:rFonts w:ascii="Times New Roman" w:hAnsi="Times New Roman" w:cs="Times New Roman"/>
          <w:bCs/>
          <w:sz w:val="24"/>
          <w:szCs w:val="24"/>
        </w:rPr>
        <w:t xml:space="preserve">    </w:t>
      </w:r>
      <w:r>
        <w:rPr>
          <w:rStyle w:val="9"/>
          <w:rFonts w:ascii="Times New Roman" w:hAnsi="Times New Roman" w:eastAsia="SimSun" w:cs="Times New Roman"/>
          <w:sz w:val="24"/>
          <w:szCs w:val="24"/>
        </w:rPr>
        <w:t xml:space="preserve"> </w:t>
      </w:r>
    </w:p>
    <w:p w14:paraId="7B8BF5F1">
      <w:pPr>
        <w:widowControl/>
        <w:jc w:val="left"/>
        <w:rPr>
          <w:rStyle w:val="9"/>
          <w:rFonts w:ascii="Times New Roman" w:hAnsi="Times New Roman" w:eastAsia="SimSun" w:cs="Times New Roman"/>
          <w:sz w:val="24"/>
          <w:szCs w:val="24"/>
        </w:rPr>
      </w:pPr>
    </w:p>
    <w:p w14:paraId="43672127">
      <w:pPr>
        <w:widowControl/>
        <w:jc w:val="left"/>
        <w:rPr>
          <w:rStyle w:val="9"/>
          <w:rFonts w:ascii="Times New Roman" w:hAnsi="Times New Roman" w:eastAsia="SimSun" w:cs="Times New Roman"/>
          <w:sz w:val="24"/>
          <w:szCs w:val="24"/>
        </w:rPr>
      </w:pPr>
      <w:r>
        <w:rPr>
          <w:rStyle w:val="9"/>
          <w:rFonts w:ascii="Times New Roman" w:hAnsi="Times New Roman" w:eastAsia="SimSun" w:cs="Times New Roman"/>
          <w:sz w:val="24"/>
          <w:szCs w:val="24"/>
        </w:rPr>
        <w:br w:type="page"/>
      </w:r>
    </w:p>
    <w:p w14:paraId="7344499B">
      <w:pPr>
        <w:spacing w:line="480" w:lineRule="auto"/>
        <w:rPr>
          <w:rFonts w:ascii="Times New Roman" w:hAnsi="Times New Roman" w:cs="Times New Roman"/>
          <w:b/>
          <w:sz w:val="24"/>
          <w:szCs w:val="24"/>
        </w:rPr>
      </w:pPr>
      <w:r>
        <w:rPr>
          <w:rFonts w:ascii="Times New Roman" w:hAnsi="Times New Roman" w:cs="Times New Roman"/>
          <w:b/>
          <w:sz w:val="24"/>
          <w:szCs w:val="24"/>
        </w:rPr>
        <w:t>Supplementary Methods</w:t>
      </w:r>
    </w:p>
    <w:p w14:paraId="1DC8C50F">
      <w:pPr>
        <w:spacing w:line="480" w:lineRule="auto"/>
        <w:rPr>
          <w:rFonts w:ascii="Times New Roman" w:hAnsi="Times New Roman" w:cs="Times New Roman"/>
          <w:b/>
          <w:sz w:val="24"/>
          <w:szCs w:val="24"/>
        </w:rPr>
      </w:pPr>
      <w:r>
        <w:rPr>
          <w:rFonts w:ascii="Times New Roman" w:hAnsi="Times New Roman" w:cs="Times New Roman"/>
          <w:b/>
          <w:sz w:val="24"/>
          <w:szCs w:val="24"/>
        </w:rPr>
        <w:t>- Table S1</w:t>
      </w:r>
    </w:p>
    <w:p w14:paraId="2005EA0E">
      <w:pPr>
        <w:spacing w:line="480" w:lineRule="auto"/>
        <w:rPr>
          <w:rFonts w:ascii="Times New Roman" w:hAnsi="Times New Roman" w:cs="Times New Roman"/>
          <w:b/>
          <w:sz w:val="24"/>
          <w:szCs w:val="24"/>
        </w:rPr>
      </w:pPr>
      <w:r>
        <w:rPr>
          <w:rFonts w:ascii="Times New Roman" w:hAnsi="Times New Roman" w:cs="Times New Roman"/>
          <w:b/>
          <w:sz w:val="24"/>
          <w:szCs w:val="24"/>
        </w:rPr>
        <w:t>- Figure S1</w:t>
      </w:r>
    </w:p>
    <w:p w14:paraId="1DF0EF28">
      <w:pPr>
        <w:spacing w:line="480" w:lineRule="auto"/>
        <w:rPr>
          <w:rFonts w:ascii="Times New Roman" w:hAnsi="Times New Roman" w:cs="Times New Roman"/>
          <w:b/>
          <w:sz w:val="24"/>
          <w:szCs w:val="24"/>
        </w:rPr>
      </w:pPr>
      <w:r>
        <w:rPr>
          <w:rFonts w:ascii="Times New Roman" w:hAnsi="Times New Roman" w:cs="Times New Roman"/>
          <w:b/>
          <w:sz w:val="24"/>
          <w:szCs w:val="24"/>
        </w:rPr>
        <w:t>- Figure S2</w:t>
      </w:r>
    </w:p>
    <w:p w14:paraId="6A0D189C">
      <w:pPr>
        <w:spacing w:line="480" w:lineRule="auto"/>
        <w:rPr>
          <w:rFonts w:hint="eastAsia" w:ascii="Times New Roman" w:hAnsi="Times New Roman" w:cs="Times New Roman" w:eastAsiaTheme="minorEastAsia"/>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3</w:t>
      </w:r>
    </w:p>
    <w:p w14:paraId="59386777">
      <w:pPr>
        <w:spacing w:line="480" w:lineRule="auto"/>
        <w:rPr>
          <w:rFonts w:hint="eastAsia" w:ascii="Times New Roman" w:hAnsi="Times New Roman" w:cs="Times New Roman" w:eastAsiaTheme="minorEastAsia"/>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4</w:t>
      </w:r>
    </w:p>
    <w:p w14:paraId="35313269">
      <w:pPr>
        <w:spacing w:line="480" w:lineRule="auto"/>
        <w:rPr>
          <w:rFonts w:hint="eastAsia" w:ascii="Times New Roman" w:hAnsi="Times New Roman" w:cs="Times New Roman" w:eastAsiaTheme="minorEastAsia"/>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5</w:t>
      </w:r>
    </w:p>
    <w:p w14:paraId="35F5BBA2">
      <w:pPr>
        <w:spacing w:line="480" w:lineRule="auto"/>
        <w:rPr>
          <w:rFonts w:hint="eastAsia" w:ascii="Times New Roman" w:hAnsi="Times New Roman" w:cs="Times New Roman" w:eastAsiaTheme="minorEastAsia"/>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6</w:t>
      </w:r>
    </w:p>
    <w:p w14:paraId="36131131">
      <w:pPr>
        <w:spacing w:line="480" w:lineRule="auto"/>
        <w:rPr>
          <w:rFonts w:hint="eastAsia" w:ascii="Times New Roman" w:hAnsi="Times New Roman" w:cs="Times New Roman" w:eastAsiaTheme="minorEastAsia"/>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7</w:t>
      </w:r>
    </w:p>
    <w:p w14:paraId="44E127FD">
      <w:pPr>
        <w:spacing w:line="480" w:lineRule="auto"/>
        <w:rPr>
          <w:rFonts w:hint="eastAsia" w:ascii="Times New Roman" w:hAnsi="Times New Roman" w:cs="Times New Roman"/>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8</w:t>
      </w:r>
    </w:p>
    <w:p w14:paraId="5BCF79D0">
      <w:pPr>
        <w:spacing w:line="480" w:lineRule="auto"/>
        <w:rPr>
          <w:rFonts w:hint="eastAsia" w:ascii="Times New Roman" w:hAnsi="Times New Roman" w:cs="Times New Roman" w:eastAsiaTheme="minorEastAsia"/>
          <w:b/>
          <w:sz w:val="24"/>
          <w:szCs w:val="24"/>
          <w:lang w:val="en-US" w:eastAsia="zh-CN"/>
        </w:rPr>
      </w:pPr>
      <w:r>
        <w:rPr>
          <w:rFonts w:ascii="Times New Roman" w:hAnsi="Times New Roman" w:cs="Times New Roman"/>
          <w:b/>
          <w:sz w:val="24"/>
          <w:szCs w:val="24"/>
        </w:rPr>
        <w:t>- Figure S</w:t>
      </w:r>
      <w:r>
        <w:rPr>
          <w:rFonts w:hint="eastAsia" w:ascii="Times New Roman" w:hAnsi="Times New Roman" w:cs="Times New Roman"/>
          <w:b/>
          <w:sz w:val="24"/>
          <w:szCs w:val="24"/>
          <w:lang w:val="en-US" w:eastAsia="zh-CN"/>
        </w:rPr>
        <w:t>9</w:t>
      </w:r>
    </w:p>
    <w:p w14:paraId="524C3697">
      <w:pPr>
        <w:spacing w:line="480" w:lineRule="auto"/>
        <w:rPr>
          <w:rFonts w:hint="eastAsia" w:ascii="Times New Roman" w:hAnsi="Times New Roman" w:cs="Times New Roman"/>
          <w:b/>
          <w:sz w:val="24"/>
          <w:szCs w:val="24"/>
          <w:lang w:val="en-US" w:eastAsia="zh-CN"/>
        </w:rPr>
      </w:pPr>
    </w:p>
    <w:p w14:paraId="708013A3">
      <w:pPr>
        <w:spacing w:line="480" w:lineRule="auto"/>
        <w:rPr>
          <w:rFonts w:ascii="Times New Roman" w:hAnsi="Times New Roman" w:cs="Times New Roman"/>
          <w:b/>
          <w:sz w:val="24"/>
          <w:szCs w:val="24"/>
        </w:rPr>
      </w:pPr>
    </w:p>
    <w:p w14:paraId="385D7576">
      <w:pPr>
        <w:spacing w:line="480" w:lineRule="auto"/>
        <w:rPr>
          <w:rFonts w:ascii="Times New Roman" w:hAnsi="Times New Roman" w:cs="Times New Roman"/>
          <w:b/>
          <w:sz w:val="24"/>
          <w:szCs w:val="24"/>
        </w:rPr>
      </w:pPr>
    </w:p>
    <w:p w14:paraId="7AF83852">
      <w:pPr>
        <w:spacing w:line="480" w:lineRule="auto"/>
        <w:rPr>
          <w:rFonts w:ascii="Times New Roman" w:hAnsi="Times New Roman" w:cs="Times New Roman"/>
          <w:b/>
          <w:sz w:val="24"/>
          <w:szCs w:val="24"/>
        </w:rPr>
      </w:pPr>
    </w:p>
    <w:p w14:paraId="318CF371">
      <w:pPr>
        <w:spacing w:line="480" w:lineRule="auto"/>
        <w:rPr>
          <w:rFonts w:ascii="Times New Roman" w:hAnsi="Times New Roman" w:cs="Times New Roman"/>
          <w:b/>
          <w:sz w:val="24"/>
          <w:szCs w:val="24"/>
        </w:rPr>
      </w:pPr>
    </w:p>
    <w:p w14:paraId="331FAD5A">
      <w:pPr>
        <w:spacing w:line="480" w:lineRule="auto"/>
        <w:rPr>
          <w:rFonts w:ascii="Times New Roman" w:hAnsi="Times New Roman" w:cs="Times New Roman"/>
          <w:b/>
          <w:sz w:val="24"/>
          <w:szCs w:val="24"/>
        </w:rPr>
      </w:pPr>
    </w:p>
    <w:p w14:paraId="4EFFFE04">
      <w:pPr>
        <w:spacing w:line="480" w:lineRule="auto"/>
        <w:rPr>
          <w:rFonts w:ascii="Times New Roman" w:hAnsi="Times New Roman" w:cs="Times New Roman"/>
          <w:b/>
          <w:sz w:val="24"/>
          <w:szCs w:val="24"/>
        </w:rPr>
      </w:pPr>
    </w:p>
    <w:p w14:paraId="55CDD7CB">
      <w:pPr>
        <w:spacing w:line="480" w:lineRule="auto"/>
        <w:rPr>
          <w:rFonts w:ascii="Times New Roman" w:hAnsi="Times New Roman" w:cs="Times New Roman"/>
          <w:b/>
          <w:sz w:val="24"/>
          <w:szCs w:val="24"/>
        </w:rPr>
      </w:pPr>
    </w:p>
    <w:p w14:paraId="7DEB4B2F">
      <w:pPr>
        <w:spacing w:line="480" w:lineRule="auto"/>
        <w:rPr>
          <w:rFonts w:ascii="Times New Roman" w:hAnsi="Times New Roman" w:cs="Times New Roman"/>
          <w:b/>
          <w:sz w:val="24"/>
          <w:szCs w:val="24"/>
        </w:rPr>
      </w:pPr>
    </w:p>
    <w:p w14:paraId="079F5495">
      <w:pPr>
        <w:spacing w:line="480" w:lineRule="auto"/>
        <w:rPr>
          <w:rFonts w:ascii="Times New Roman" w:hAnsi="Times New Roman" w:cs="Times New Roman"/>
          <w:b/>
          <w:sz w:val="24"/>
          <w:szCs w:val="24"/>
        </w:rPr>
      </w:pPr>
    </w:p>
    <w:p w14:paraId="6F2FEF69">
      <w:pPr>
        <w:spacing w:line="480" w:lineRule="auto"/>
        <w:rPr>
          <w:rFonts w:ascii="Times New Roman" w:hAnsi="Times New Roman" w:cs="Times New Roman"/>
          <w:b/>
          <w:sz w:val="24"/>
          <w:szCs w:val="24"/>
        </w:rPr>
      </w:pPr>
    </w:p>
    <w:p w14:paraId="23FDA535">
      <w:pPr>
        <w:spacing w:line="480" w:lineRule="auto"/>
        <w:rPr>
          <w:rFonts w:ascii="Times New Roman" w:hAnsi="Times New Roman" w:cs="Times New Roman"/>
          <w:b/>
          <w:sz w:val="24"/>
          <w:szCs w:val="24"/>
        </w:rPr>
      </w:pPr>
    </w:p>
    <w:p w14:paraId="5DE30162">
      <w:pPr>
        <w:spacing w:line="480" w:lineRule="auto"/>
        <w:rPr>
          <w:rFonts w:ascii="Times New Roman" w:hAnsi="Times New Roman" w:cs="Times New Roman"/>
          <w:b/>
          <w:sz w:val="24"/>
          <w:szCs w:val="24"/>
        </w:rPr>
      </w:pPr>
    </w:p>
    <w:p w14:paraId="53E98A98">
      <w:pPr>
        <w:spacing w:line="480" w:lineRule="auto"/>
        <w:rPr>
          <w:rFonts w:ascii="Times New Roman" w:hAnsi="Times New Roman" w:cs="Times New Roman"/>
          <w:b/>
          <w:sz w:val="24"/>
          <w:szCs w:val="24"/>
        </w:rPr>
      </w:pPr>
    </w:p>
    <w:p w14:paraId="6C3C580E">
      <w:pPr>
        <w:spacing w:line="48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634F4BC7">
      <w:pPr>
        <w:spacing w:line="480" w:lineRule="auto"/>
        <w:rPr>
          <w:rFonts w:ascii="Times New Roman" w:hAnsi="Times New Roman" w:eastAsia="Corbel" w:cs="Times New Roman"/>
          <w:b/>
          <w:kern w:val="0"/>
          <w:sz w:val="24"/>
          <w:szCs w:val="24"/>
        </w:rPr>
      </w:pPr>
      <w:r>
        <w:rPr>
          <w:rFonts w:ascii="Times New Roman" w:hAnsi="Times New Roman" w:eastAsia="Corbel" w:cs="Times New Roman"/>
          <w:b/>
          <w:kern w:val="0"/>
          <w:sz w:val="24"/>
          <w:szCs w:val="24"/>
        </w:rPr>
        <w:t xml:space="preserve">Reagents </w:t>
      </w:r>
    </w:p>
    <w:p w14:paraId="224B9E8A">
      <w:pPr>
        <w:spacing w:line="480" w:lineRule="auto"/>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Pseudolaric acid B (PAB; purity &gt;98%) was purchased from Nanjing Chunqiu Biotechnology Co., Ltd. (Nanjing, China). Antibodies against 4-HNE, PRDX3, ACSL4, TfR1, FTL, FPN1, and GPX4, as well as HRP-conjugated anti-mouse and anti-rabbit secondary antibodies, were obtained from Proteintech Group Co., Ltd. (Wuhan, China). Fluorochrome-conjugated anti-CD45 and anti-TfR1 antibodies were sourced from Thermo Fisher Scientific Inc. (Waltham, MA, USA). Expression plasmids were purchased from Sangon Biotech Co., Ltd. (Shanghai, China). The Malondialdehyde (MDA) Assay Kit and Cell Counting Kit-8 (CCK-8) were obtained from Beyotime Biotechnology Co., Ltd. (Shanghai, China). RhoNox-1, DCFH-DA, C11-BODIPY 581/591, ferrostatin-1, deferoxamine (DFO), and Z-VAD-FMK were procured from Sigma-Aldrich Co. LLC (St. Louis, MO, USA). D-Luciferin potassium salt was purchased from Yuanye Bio-Technology Co., Ltd. (Shanghai, China).</w:t>
      </w:r>
    </w:p>
    <w:p w14:paraId="40F61996">
      <w:pPr>
        <w:spacing w:line="480" w:lineRule="auto"/>
        <w:jc w:val="both"/>
        <w:rPr>
          <w:rFonts w:hint="default" w:ascii="Times New Roman" w:hAnsi="Times New Roman" w:eastAsia="Times New Roman" w:cs="Times New Roman"/>
          <w:sz w:val="24"/>
          <w:szCs w:val="24"/>
        </w:rPr>
      </w:pPr>
      <w:bookmarkStart w:id="0" w:name="_Hlk65231955"/>
    </w:p>
    <w:p w14:paraId="00A7F3F4">
      <w:pPr>
        <w:spacing w:line="360" w:lineRule="auto"/>
        <w:rPr>
          <w:rFonts w:ascii="Times New Roman" w:hAnsi="Times New Roman" w:eastAsia="SimSun" w:cs="Times New Roman"/>
          <w:sz w:val="24"/>
          <w:szCs w:val="24"/>
        </w:rPr>
      </w:pPr>
      <w:r>
        <w:rPr>
          <w:rFonts w:ascii="Times New Roman" w:hAnsi="Times New Roman" w:eastAsia="SimSun" w:cs="Times New Roman"/>
          <w:b/>
          <w:sz w:val="24"/>
          <w:szCs w:val="24"/>
        </w:rPr>
        <w:t>Table S1</w:t>
      </w:r>
      <w:r>
        <w:rPr>
          <w:rFonts w:ascii="Times New Roman" w:hAnsi="Times New Roman" w:eastAsia="SimSun" w:cs="Times New Roman"/>
          <w:sz w:val="24"/>
          <w:szCs w:val="24"/>
        </w:rPr>
        <w:t>.</w:t>
      </w:r>
    </w:p>
    <w:p w14:paraId="49822976">
      <w:pPr>
        <w:rPr>
          <w:rFonts w:hint="eastAsia" w:ascii="Times New Roman" w:hAnsi="Times New Roman" w:eastAsia="SimSun" w:cs="Times New Roman"/>
          <w:b/>
          <w:sz w:val="24"/>
          <w:szCs w:val="24"/>
          <w:lang w:val="en-US" w:eastAsia="zh-CN"/>
        </w:rPr>
      </w:pPr>
      <w:r>
        <w:rPr>
          <w:rFonts w:hint="default" w:ascii="Times New Roman" w:hAnsi="Times New Roman" w:eastAsia="SimSun" w:cs="Times New Roman"/>
          <w:b w:val="0"/>
          <w:bCs/>
          <w:sz w:val="24"/>
          <w:szCs w:val="24"/>
        </w:rPr>
        <w:t>TFR1 Transient Knockdown Plasmid Sequence</w:t>
      </w:r>
      <w:r>
        <w:rPr>
          <w:rFonts w:hint="eastAsia" w:ascii="Times New Roman" w:hAnsi="Times New Roman" w:eastAsia="SimSun" w:cs="Times New Roman"/>
          <w:b w:val="0"/>
          <w:bCs/>
          <w:sz w:val="24"/>
          <w:szCs w:val="24"/>
          <w:lang w:val="en-US" w:eastAsia="zh-CN"/>
        </w:rPr>
        <w:t>.</w:t>
      </w:r>
    </w:p>
    <w:tbl>
      <w:tblPr>
        <w:tblStyle w:val="5"/>
        <w:tblW w:w="58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968"/>
        <w:gridCol w:w="1069"/>
        <w:gridCol w:w="3823"/>
      </w:tblGrid>
      <w:tr w14:paraId="4C44D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0" w:hRule="atLeast"/>
        </w:trPr>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4C88CC3">
            <w:pPr>
              <w:pStyle w:val="4"/>
              <w:keepNext w:val="0"/>
              <w:keepLines w:val="0"/>
              <w:widowControl/>
              <w:suppressLineNumbers w:val="0"/>
              <w:kinsoku/>
              <w:wordWrap/>
              <w:overflowPunct/>
              <w:jc w:val="center"/>
            </w:pPr>
            <w:r>
              <w:rPr>
                <w:rFonts w:ascii="DengXian" w:hAnsi="DengXian" w:eastAsia="DengXian" w:cs="DengXian"/>
                <w:color w:val="000000"/>
                <w:sz w:val="24"/>
                <w:szCs w:val="24"/>
              </w:rPr>
              <w:t>Name</w:t>
            </w:r>
          </w:p>
        </w:tc>
        <w:tc>
          <w:tcPr>
            <w:tcW w:w="4660" w:type="dxa"/>
            <w:gridSpan w:val="2"/>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54AE8EE">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Sequence(5'-3')</w:t>
            </w:r>
          </w:p>
        </w:tc>
      </w:tr>
      <w:tr w14:paraId="69214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1200" w:type="dxa"/>
            <w:vMerge w:val="restar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70E208F4">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H7037-siTFR1-1</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C4FCFCE">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sense</w:t>
            </w:r>
          </w:p>
        </w:tc>
        <w:tc>
          <w:tcPr>
            <w:tcW w:w="346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09C7F97">
            <w:pPr>
              <w:pStyle w:val="4"/>
              <w:keepNext w:val="0"/>
              <w:keepLines w:val="0"/>
              <w:widowControl/>
              <w:suppressLineNumbers w:val="0"/>
              <w:kinsoku/>
              <w:wordWrap/>
              <w:overflowPunct/>
              <w:jc w:val="left"/>
            </w:pPr>
            <w:r>
              <w:rPr>
                <w:rFonts w:hint="eastAsia" w:ascii="DengXian" w:hAnsi="DengXian" w:eastAsia="DengXian" w:cs="DengXian"/>
                <w:color w:val="000000"/>
                <w:sz w:val="24"/>
                <w:szCs w:val="24"/>
              </w:rPr>
              <w:t>CCGUGCUACUUCCAGACUA(dT)(dT)</w:t>
            </w:r>
          </w:p>
        </w:tc>
      </w:tr>
      <w:tr w14:paraId="30D1E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1200" w:type="dxa"/>
            <w:vMerge w:val="continue"/>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7562F4E">
            <w:pPr>
              <w:rPr>
                <w:rFonts w:hint="eastAsia" w:ascii="SimSun"/>
                <w:sz w:val="24"/>
                <w:szCs w:val="24"/>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0772152">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antisense</w:t>
            </w:r>
          </w:p>
        </w:tc>
        <w:tc>
          <w:tcPr>
            <w:tcW w:w="346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A665CC2">
            <w:pPr>
              <w:pStyle w:val="4"/>
              <w:keepNext w:val="0"/>
              <w:keepLines w:val="0"/>
              <w:widowControl/>
              <w:suppressLineNumbers w:val="0"/>
              <w:kinsoku/>
              <w:wordWrap/>
              <w:overflowPunct/>
              <w:jc w:val="left"/>
            </w:pPr>
            <w:r>
              <w:rPr>
                <w:rFonts w:hint="eastAsia" w:ascii="DengXian" w:hAnsi="DengXian" w:eastAsia="DengXian" w:cs="DengXian"/>
                <w:color w:val="000000"/>
                <w:sz w:val="24"/>
                <w:szCs w:val="24"/>
              </w:rPr>
              <w:t>UAGUCUGGAAGUAGCACGG(dT)(dT)</w:t>
            </w:r>
          </w:p>
        </w:tc>
      </w:tr>
      <w:tr w14:paraId="6B0B1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1200" w:type="dxa"/>
            <w:vMerge w:val="restar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0C9F7BB">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H7037-siTFR1-2</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725603D">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sense</w:t>
            </w:r>
          </w:p>
        </w:tc>
        <w:tc>
          <w:tcPr>
            <w:tcW w:w="346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237E80F3">
            <w:pPr>
              <w:pStyle w:val="4"/>
              <w:keepNext w:val="0"/>
              <w:keepLines w:val="0"/>
              <w:widowControl/>
              <w:suppressLineNumbers w:val="0"/>
              <w:kinsoku/>
              <w:wordWrap/>
              <w:overflowPunct/>
              <w:jc w:val="left"/>
            </w:pPr>
            <w:r>
              <w:rPr>
                <w:rFonts w:hint="eastAsia" w:ascii="DengXian" w:hAnsi="DengXian" w:eastAsia="DengXian" w:cs="DengXian"/>
                <w:color w:val="000000"/>
                <w:sz w:val="24"/>
                <w:szCs w:val="24"/>
              </w:rPr>
              <w:t>CGGUCAUCAGGAUUGCCUA(dT)(dT)</w:t>
            </w:r>
          </w:p>
        </w:tc>
      </w:tr>
      <w:tr w14:paraId="5BA1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1200" w:type="dxa"/>
            <w:vMerge w:val="continue"/>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3BD2207">
            <w:pPr>
              <w:rPr>
                <w:rFonts w:hint="eastAsia" w:ascii="SimSun"/>
                <w:sz w:val="24"/>
                <w:szCs w:val="24"/>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2322E71">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antisense</w:t>
            </w:r>
          </w:p>
        </w:tc>
        <w:tc>
          <w:tcPr>
            <w:tcW w:w="346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1547AD7C">
            <w:pPr>
              <w:pStyle w:val="4"/>
              <w:keepNext w:val="0"/>
              <w:keepLines w:val="0"/>
              <w:widowControl/>
              <w:suppressLineNumbers w:val="0"/>
              <w:kinsoku/>
              <w:wordWrap/>
              <w:overflowPunct/>
              <w:jc w:val="left"/>
            </w:pPr>
            <w:r>
              <w:rPr>
                <w:rFonts w:hint="eastAsia" w:ascii="DengXian" w:hAnsi="DengXian" w:eastAsia="DengXian" w:cs="DengXian"/>
                <w:color w:val="000000"/>
                <w:sz w:val="24"/>
                <w:szCs w:val="24"/>
              </w:rPr>
              <w:t>UAGGCAAUCCUGAUGACCG(dT)(dT)</w:t>
            </w:r>
          </w:p>
        </w:tc>
      </w:tr>
      <w:tr w14:paraId="73A78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1200" w:type="dxa"/>
            <w:vMerge w:val="restart"/>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BBCD137">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H7037-siTFR1-3</w:t>
            </w: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92AD712">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sense</w:t>
            </w:r>
          </w:p>
        </w:tc>
        <w:tc>
          <w:tcPr>
            <w:tcW w:w="346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39948AA1">
            <w:pPr>
              <w:pStyle w:val="4"/>
              <w:keepNext w:val="0"/>
              <w:keepLines w:val="0"/>
              <w:widowControl/>
              <w:suppressLineNumbers w:val="0"/>
              <w:kinsoku/>
              <w:wordWrap/>
              <w:overflowPunct/>
              <w:jc w:val="left"/>
            </w:pPr>
            <w:r>
              <w:rPr>
                <w:rFonts w:hint="eastAsia" w:ascii="DengXian" w:hAnsi="DengXian" w:eastAsia="DengXian" w:cs="DengXian"/>
                <w:color w:val="000000"/>
                <w:sz w:val="24"/>
                <w:szCs w:val="24"/>
              </w:rPr>
              <w:t>GGAUUCCUGAGUUGAACAA(dT)(dT)</w:t>
            </w:r>
          </w:p>
        </w:tc>
      </w:tr>
      <w:tr w14:paraId="311E8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0" w:hRule="atLeast"/>
        </w:trPr>
        <w:tc>
          <w:tcPr>
            <w:tcW w:w="1200" w:type="dxa"/>
            <w:vMerge w:val="continue"/>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589F2263">
            <w:pPr>
              <w:rPr>
                <w:rFonts w:hint="eastAsia" w:ascii="SimSun"/>
                <w:sz w:val="24"/>
                <w:szCs w:val="24"/>
              </w:rPr>
            </w:pPr>
          </w:p>
        </w:tc>
        <w:tc>
          <w:tcPr>
            <w:tcW w:w="120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4CA9F8F6">
            <w:pPr>
              <w:pStyle w:val="4"/>
              <w:keepNext w:val="0"/>
              <w:keepLines w:val="0"/>
              <w:widowControl/>
              <w:suppressLineNumbers w:val="0"/>
              <w:kinsoku/>
              <w:wordWrap/>
              <w:overflowPunct/>
              <w:jc w:val="center"/>
            </w:pPr>
            <w:r>
              <w:rPr>
                <w:rFonts w:hint="eastAsia" w:ascii="DengXian" w:hAnsi="DengXian" w:eastAsia="DengXian" w:cs="DengXian"/>
                <w:color w:val="000000"/>
                <w:sz w:val="24"/>
                <w:szCs w:val="24"/>
              </w:rPr>
              <w:t>antisense</w:t>
            </w:r>
          </w:p>
        </w:tc>
        <w:tc>
          <w:tcPr>
            <w:tcW w:w="3460" w:type="dxa"/>
            <w:tcBorders>
              <w:top w:val="single" w:color="000000" w:sz="6" w:space="0"/>
              <w:left w:val="single" w:color="000000" w:sz="6" w:space="0"/>
              <w:bottom w:val="single" w:color="000000" w:sz="6" w:space="0"/>
              <w:right w:val="single" w:color="000000" w:sz="6" w:space="0"/>
            </w:tcBorders>
            <w:shd w:val="clear" w:color="auto" w:fill="auto"/>
            <w:tcMar>
              <w:top w:w="15" w:type="dxa"/>
              <w:left w:w="15" w:type="dxa"/>
              <w:right w:w="15" w:type="dxa"/>
            </w:tcMar>
            <w:vAlign w:val="center"/>
          </w:tcPr>
          <w:p w14:paraId="0781C58C">
            <w:pPr>
              <w:pStyle w:val="4"/>
              <w:keepNext w:val="0"/>
              <w:keepLines w:val="0"/>
              <w:widowControl/>
              <w:suppressLineNumbers w:val="0"/>
              <w:kinsoku/>
              <w:wordWrap/>
              <w:overflowPunct/>
              <w:jc w:val="left"/>
            </w:pPr>
            <w:r>
              <w:rPr>
                <w:rFonts w:hint="eastAsia" w:ascii="DengXian" w:hAnsi="DengXian" w:eastAsia="DengXian" w:cs="DengXian"/>
                <w:color w:val="000000"/>
                <w:sz w:val="24"/>
                <w:szCs w:val="24"/>
              </w:rPr>
              <w:t>UUGUUCAACUCAGGAAUCC(dT)(dT)</w:t>
            </w:r>
          </w:p>
        </w:tc>
      </w:tr>
    </w:tbl>
    <w:p w14:paraId="13D175B5">
      <w:pPr>
        <w:spacing w:line="480" w:lineRule="auto"/>
        <w:rPr>
          <w:rFonts w:ascii="Times New Roman" w:hAnsi="Times New Roman" w:cs="Times New Roman"/>
        </w:rPr>
      </w:pPr>
    </w:p>
    <w:p w14:paraId="24DF68C4">
      <w:pPr>
        <w:spacing w:line="480" w:lineRule="auto"/>
        <w:rPr>
          <w:rFonts w:ascii="Times New Roman" w:hAnsi="Times New Roman" w:cs="Times New Roman"/>
        </w:rPr>
      </w:pPr>
    </w:p>
    <w:p w14:paraId="21FFC0FD">
      <w:pPr>
        <w:spacing w:line="480" w:lineRule="auto"/>
        <w:rPr>
          <w:rFonts w:ascii="Times New Roman" w:hAnsi="Times New Roman" w:cs="Times New Roman"/>
        </w:rPr>
      </w:pPr>
    </w:p>
    <w:p w14:paraId="0684CF9B">
      <w:pPr>
        <w:spacing w:line="480" w:lineRule="auto"/>
        <w:rPr>
          <w:rFonts w:ascii="Times New Roman" w:hAnsi="Times New Roman" w:cs="Times New Roman"/>
        </w:rPr>
      </w:pPr>
    </w:p>
    <w:p w14:paraId="43C73359">
      <w:pPr>
        <w:pStyle w:val="4"/>
        <w:spacing w:before="0" w:beforeAutospacing="0" w:after="0" w:afterAutospacing="0" w:line="480" w:lineRule="auto"/>
        <w:jc w:val="center"/>
        <w:rPr>
          <w:rFonts w:hint="default" w:ascii="Times New Roman" w:hAnsi="Times New Roman" w:cs="Times New Roman"/>
          <w:bCs/>
          <w:kern w:val="24"/>
          <w:lang w:val="en-US" w:eastAsia="zh-CN"/>
        </w:rPr>
      </w:pPr>
      <w:r>
        <w:rPr>
          <w:rFonts w:hint="eastAsia" w:ascii="Times New Roman" w:hAnsi="Times New Roman" w:cs="Times New Roman"/>
          <w:bCs/>
          <w:kern w:val="24"/>
          <w:lang w:val="en-US" w:eastAsia="zh-CN"/>
        </w:rPr>
        <w:drawing>
          <wp:inline distT="0" distB="0" distL="114300" distR="114300">
            <wp:extent cx="5271770" cy="6487160"/>
            <wp:effectExtent l="0" t="0" r="0" b="0"/>
            <wp:docPr id="4" name="图片 4"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4"/>
                    <pic:cNvPicPr>
                      <a:picLocks noChangeAspect="1"/>
                    </pic:cNvPicPr>
                  </pic:nvPicPr>
                  <pic:blipFill>
                    <a:blip r:embed="rId7"/>
                    <a:srcRect t="3949"/>
                    <a:stretch>
                      <a:fillRect/>
                    </a:stretch>
                  </pic:blipFill>
                  <pic:spPr>
                    <a:xfrm>
                      <a:off x="0" y="0"/>
                      <a:ext cx="5271770" cy="6487160"/>
                    </a:xfrm>
                    <a:prstGeom prst="rect">
                      <a:avLst/>
                    </a:prstGeom>
                  </pic:spPr>
                </pic:pic>
              </a:graphicData>
            </a:graphic>
          </wp:inline>
        </w:drawing>
      </w:r>
    </w:p>
    <w:p w14:paraId="57BC4DCE">
      <w:pPr>
        <w:pStyle w:val="4"/>
        <w:spacing w:before="0" w:beforeAutospacing="0" w:after="0" w:afterAutospacing="0" w:line="480" w:lineRule="auto"/>
        <w:jc w:val="both"/>
        <w:rPr>
          <w:rFonts w:hint="eastAsia" w:ascii="Times New Roman" w:hAnsi="Times New Roman" w:cs="Times New Roman"/>
          <w:bCs/>
          <w:kern w:val="24"/>
          <w:lang w:val="en-US" w:eastAsia="zh-CN"/>
        </w:rPr>
      </w:pPr>
      <w:r>
        <w:rPr>
          <w:rFonts w:hint="eastAsia" w:ascii="Times New Roman" w:hAnsi="Times New Roman" w:cs="Times New Roman"/>
          <w:b/>
          <w:bCs w:val="0"/>
          <w:kern w:val="24"/>
          <w:lang w:val="en-US" w:eastAsia="zh-CN"/>
        </w:rPr>
        <w:t>Figure S1:Identification and validation of PAB target proteins and ACTN4 expression in AML bone marrow tissues.</w:t>
      </w:r>
      <w:r>
        <w:rPr>
          <w:rFonts w:hint="eastAsia" w:ascii="Times New Roman" w:hAnsi="Times New Roman" w:cs="Times New Roman"/>
          <w:bCs/>
          <w:kern w:val="24"/>
          <w:lang w:val="en-US" w:eastAsia="zh-CN"/>
        </w:rPr>
        <w:t xml:space="preserve"> (A) Schematic diagram of the target fishing workflow. The lysed cells were washed and the supernatant was collected. The supernatant was subjected to a fishing process followed by clean-up. The precipitate was treated with 90% ethanol and 8M urea protein solution. The precipitate was then washed with different buffers (Wash A, B, and C) and eluted with 4M urea protein solution. (B) Western blot analysis of ACTN4 protein levels after target fishing. The results show that ACTN4 was specifically enriched in the elution fraction (W3 Elution) compared to the control (CTRL), flow-through (FT), and wash fractions (W1, W2, and W3). The molecular weight of ACTN4 is approximately 105 kDa. (C) Coomassie blue staining of the elution fraction after target fishing. (D) Consistency evaluation of PAB and PAB-Biotin. The results show that PAB and PAB-Biotin have similar effects on the expression of various proteins, including TFR1, FTL, PRDX3, and GPX4.(E) Single-cell sequencing analysis of AML bone marrow tissues from the NCBI database. The results show the distribution of malignant cells (red), microenvironment cells (blue), and control cells (gray) in the AML bone marrow tissues. (F) Expression levels of ACTN4 in various cell types in AML bone marrow tissues from the NCBI database. (G) Expression levels of ACTN4 in normal cells, malignant cells, and microenvironment cells in AML bone marrow tissues from the NCBI database. The results show that ACTN4 is highly expressed in malignant cells and microenvironment cells compared to normal cells. All experiments were independently repeated three times with consistent results. </w:t>
      </w:r>
      <w:r>
        <w:rPr>
          <w:rFonts w:ascii="Times New Roman" w:hAnsi="Times New Roman" w:cs="Times New Roman"/>
          <w:bCs/>
          <w:kern w:val="24"/>
        </w:rPr>
        <w:t>Values are presented as the means ± SD (n=3 per group). *</w:t>
      </w:r>
      <w:r>
        <w:rPr>
          <w:rFonts w:ascii="Times New Roman" w:hAnsi="Times New Roman" w:cs="Times New Roman"/>
          <w:bCs/>
          <w:i/>
          <w:iCs/>
          <w:kern w:val="24"/>
        </w:rPr>
        <w:t>P</w:t>
      </w:r>
      <w:r>
        <w:rPr>
          <w:rFonts w:ascii="Times New Roman" w:hAnsi="Times New Roman" w:cs="Times New Roman"/>
          <w:bCs/>
          <w:kern w:val="24"/>
        </w:rPr>
        <w:t xml:space="preserve"> &lt;0.05, ** </w:t>
      </w:r>
      <w:r>
        <w:rPr>
          <w:rFonts w:ascii="Times New Roman" w:hAnsi="Times New Roman" w:cs="Times New Roman"/>
          <w:bCs/>
          <w:i/>
          <w:iCs/>
          <w:kern w:val="24"/>
        </w:rPr>
        <w:t>P</w:t>
      </w:r>
      <w:r>
        <w:rPr>
          <w:rFonts w:ascii="Times New Roman" w:hAnsi="Times New Roman" w:cs="Times New Roman"/>
          <w:bCs/>
          <w:kern w:val="24"/>
        </w:rPr>
        <w:t xml:space="preserve"> &lt;0.01, and *** </w:t>
      </w:r>
      <w:r>
        <w:rPr>
          <w:rFonts w:ascii="Times New Roman" w:hAnsi="Times New Roman" w:cs="Times New Roman"/>
          <w:bCs/>
          <w:i/>
          <w:iCs/>
          <w:kern w:val="24"/>
        </w:rPr>
        <w:t>P</w:t>
      </w:r>
      <w:r>
        <w:rPr>
          <w:rFonts w:ascii="Times New Roman" w:hAnsi="Times New Roman" w:cs="Times New Roman"/>
          <w:bCs/>
          <w:kern w:val="24"/>
        </w:rPr>
        <w:t xml:space="preserve"> &lt;0.001 vs CTRL.</w:t>
      </w:r>
    </w:p>
    <w:p w14:paraId="7010D4DA">
      <w:pPr>
        <w:spacing w:line="480" w:lineRule="auto"/>
        <w:rPr>
          <w:rFonts w:ascii="Times New Roman" w:hAnsi="Times New Roman" w:cs="Times New Roman"/>
        </w:rPr>
      </w:pPr>
    </w:p>
    <w:p w14:paraId="0535F5C2">
      <w:pPr>
        <w:spacing w:line="480" w:lineRule="auto"/>
        <w:rPr>
          <w:rFonts w:ascii="Times New Roman" w:hAnsi="Times New Roman" w:cs="Times New Roman"/>
        </w:rPr>
      </w:pPr>
    </w:p>
    <w:p w14:paraId="662B2443">
      <w:pPr>
        <w:spacing w:line="480" w:lineRule="auto"/>
        <w:rPr>
          <w:rFonts w:ascii="Times New Roman" w:hAnsi="Times New Roman" w:cs="Times New Roman"/>
        </w:rPr>
      </w:pPr>
    </w:p>
    <w:p w14:paraId="3B1422F1">
      <w:pPr>
        <w:spacing w:line="480" w:lineRule="auto"/>
        <w:jc w:val="both"/>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1770" cy="4198620"/>
            <wp:effectExtent l="0" t="0" r="0" b="0"/>
            <wp:docPr id="1" name="图片 1"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2"/>
                    <pic:cNvPicPr>
                      <a:picLocks noChangeAspect="1"/>
                    </pic:cNvPicPr>
                  </pic:nvPicPr>
                  <pic:blipFill>
                    <a:blip r:embed="rId8"/>
                    <a:srcRect t="8737"/>
                    <a:stretch>
                      <a:fillRect/>
                    </a:stretch>
                  </pic:blipFill>
                  <pic:spPr>
                    <a:xfrm>
                      <a:off x="0" y="0"/>
                      <a:ext cx="5271770" cy="4198620"/>
                    </a:xfrm>
                    <a:prstGeom prst="rect">
                      <a:avLst/>
                    </a:prstGeom>
                  </pic:spPr>
                </pic:pic>
              </a:graphicData>
            </a:graphic>
          </wp:inline>
        </w:drawing>
      </w:r>
    </w:p>
    <w:p w14:paraId="65AC08D3">
      <w:pPr>
        <w:spacing w:line="480" w:lineRule="auto"/>
        <w:jc w:val="both"/>
        <w:rPr>
          <w:rFonts w:hint="eastAsia" w:ascii="Times New Roman" w:hAnsi="Times New Roman" w:cs="Times New Roman" w:eastAsiaTheme="minorEastAsia"/>
          <w:lang w:eastAsia="zh-CN"/>
        </w:rPr>
      </w:pPr>
      <w:r>
        <w:rPr>
          <w:rFonts w:hint="eastAsia" w:ascii="Times New Roman" w:hAnsi="Times New Roman" w:cs="Times New Roman" w:eastAsiaTheme="minorEastAsia"/>
          <w:b/>
          <w:bCs/>
          <w:lang w:eastAsia="zh-CN"/>
        </w:rPr>
        <w:t>Figure S2. Validation of PAB–ACTN4 interaction in cellular and in vitro systems.</w:t>
      </w:r>
      <w:r>
        <w:rPr>
          <w:rFonts w:hint="eastAsia" w:ascii="Times New Roman" w:hAnsi="Times New Roman" w:cs="Times New Roman"/>
          <w:b/>
          <w:bCs/>
          <w:lang w:val="en-US" w:eastAsia="zh-CN"/>
        </w:rPr>
        <w:t xml:space="preserve"> </w:t>
      </w:r>
      <w:r>
        <w:rPr>
          <w:rFonts w:hint="eastAsia" w:ascii="Times New Roman" w:hAnsi="Times New Roman" w:cs="Times New Roman" w:eastAsiaTheme="minorEastAsia"/>
          <w:lang w:eastAsia="zh-CN"/>
        </w:rPr>
        <w:t>(A) Western blot analysis confirming the overexpression of FLAG-tagged ACTN4 in transfected cells. Quantification of FLAG/β-actin is shown below. Data are presented as mean ± SD (n = 3).</w:t>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t>(B) Pull-down assay in cells transfected with FLAG-ACTN4. PAB-biotin (0.4 μM) efficiently enriched FLAG-tagged ACTN4, and this interaction was competitively reduced by increasing concentrations of free PAB (0.8–3.2 μM).</w:t>
      </w:r>
      <w:r>
        <w:rPr>
          <w:rFonts w:hint="eastAsia" w:ascii="Times New Roman" w:hAnsi="Times New Roman" w:cs="Times New Roman"/>
          <w:lang w:val="en-US" w:eastAsia="zh-CN"/>
        </w:rPr>
        <w:t xml:space="preserve"> </w:t>
      </w:r>
      <w:r>
        <w:rPr>
          <w:rFonts w:hint="eastAsia" w:ascii="Times New Roman" w:hAnsi="Times New Roman" w:cs="Times New Roman" w:eastAsiaTheme="minorEastAsia"/>
          <w:lang w:eastAsia="zh-CN"/>
        </w:rPr>
        <w:t>(C) In vitro pull-down assay using recombinant HIS-ACTN4 protein. PAB-biotin specifically bound to HIS-ACTN4, and the binding was attenuated in a concentration-dependent manner by free PAB.</w:t>
      </w:r>
    </w:p>
    <w:bookmarkEnd w:id="0"/>
    <w:p w14:paraId="1657A161">
      <w:pPr>
        <w:spacing w:line="480" w:lineRule="auto"/>
        <w:rPr>
          <w:rFonts w:hint="eastAsia" w:ascii="Times New Roman" w:hAnsi="Times New Roman" w:eastAsia="SimSun" w:cs="Times New Roman"/>
          <w:b/>
          <w:bCs/>
          <w:kern w:val="24"/>
          <w:sz w:val="24"/>
          <w:szCs w:val="24"/>
          <w:lang w:eastAsia="zh-CN"/>
        </w:rPr>
      </w:pPr>
      <w:bookmarkStart w:id="1" w:name="_Hlk63148924"/>
      <w:r>
        <w:rPr>
          <w:rFonts w:hint="eastAsia" w:ascii="Times New Roman" w:hAnsi="Times New Roman" w:eastAsia="SimSun" w:cs="Times New Roman"/>
          <w:b/>
          <w:bCs/>
          <w:kern w:val="24"/>
          <w:sz w:val="24"/>
          <w:szCs w:val="24"/>
          <w:lang w:eastAsia="zh-CN"/>
        </w:rPr>
        <w:drawing>
          <wp:inline distT="0" distB="0" distL="114300" distR="114300">
            <wp:extent cx="5269865" cy="4794250"/>
            <wp:effectExtent l="0" t="0" r="6985" b="6350"/>
            <wp:docPr id="5" name="图片 5"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3"/>
                    <pic:cNvPicPr>
                      <a:picLocks noChangeAspect="1"/>
                    </pic:cNvPicPr>
                  </pic:nvPicPr>
                  <pic:blipFill>
                    <a:blip r:embed="rId9"/>
                    <a:stretch>
                      <a:fillRect/>
                    </a:stretch>
                  </pic:blipFill>
                  <pic:spPr>
                    <a:xfrm>
                      <a:off x="0" y="0"/>
                      <a:ext cx="5269865" cy="4794250"/>
                    </a:xfrm>
                    <a:prstGeom prst="rect">
                      <a:avLst/>
                    </a:prstGeom>
                  </pic:spPr>
                </pic:pic>
              </a:graphicData>
            </a:graphic>
          </wp:inline>
        </w:drawing>
      </w:r>
    </w:p>
    <w:p w14:paraId="736E62F6">
      <w:pPr>
        <w:spacing w:line="480" w:lineRule="auto"/>
        <w:rPr>
          <w:rFonts w:ascii="Times New Roman" w:hAnsi="Times New Roman" w:cs="Times New Roman"/>
        </w:rPr>
      </w:pPr>
      <w:r>
        <w:rPr>
          <w:rFonts w:ascii="Times New Roman" w:hAnsi="Times New Roman" w:eastAsia="SimSun" w:cs="Times New Roman"/>
          <w:b/>
          <w:bCs/>
          <w:kern w:val="24"/>
          <w:sz w:val="24"/>
          <w:szCs w:val="24"/>
        </w:rPr>
        <w:t>Figure S</w:t>
      </w:r>
      <w:r>
        <w:rPr>
          <w:rFonts w:hint="eastAsia" w:ascii="Times New Roman" w:hAnsi="Times New Roman" w:eastAsia="SimSun" w:cs="Times New Roman"/>
          <w:b/>
          <w:bCs/>
          <w:kern w:val="24"/>
          <w:sz w:val="24"/>
          <w:szCs w:val="24"/>
          <w:lang w:val="en-US" w:eastAsia="zh-CN"/>
        </w:rPr>
        <w:t>3</w:t>
      </w:r>
      <w:r>
        <w:rPr>
          <w:rFonts w:ascii="Times New Roman" w:hAnsi="Times New Roman" w:eastAsia="SimSun" w:cs="Times New Roman"/>
          <w:b/>
          <w:bCs/>
          <w:kern w:val="24"/>
          <w:sz w:val="24"/>
          <w:szCs w:val="24"/>
        </w:rPr>
        <w:t xml:space="preserve">. </w:t>
      </w:r>
      <w:r>
        <w:rPr>
          <w:rFonts w:hint="default" w:ascii="Times New Roman" w:hAnsi="Times New Roman" w:eastAsia="SimSun" w:cs="Times New Roman"/>
          <w:b/>
          <w:bCs/>
          <w:kern w:val="24"/>
          <w:sz w:val="24"/>
          <w:szCs w:val="24"/>
        </w:rPr>
        <w:t xml:space="preserve">4-HNE immunofluorescence staining in HL-60 and </w:t>
      </w:r>
      <w:r>
        <w:rPr>
          <w:rFonts w:hint="eastAsia" w:ascii="Times New Roman" w:hAnsi="Times New Roman" w:eastAsia="SimSun" w:cs="Times New Roman"/>
          <w:b/>
          <w:bCs/>
          <w:kern w:val="24"/>
          <w:sz w:val="24"/>
          <w:szCs w:val="24"/>
          <w:lang w:eastAsia="zh-CN"/>
        </w:rPr>
        <w:t>MOLM-13</w:t>
      </w:r>
      <w:r>
        <w:rPr>
          <w:rFonts w:hint="default" w:ascii="Times New Roman" w:hAnsi="Times New Roman" w:eastAsia="SimSun" w:cs="Times New Roman"/>
          <w:b/>
          <w:bCs/>
          <w:kern w:val="24"/>
          <w:sz w:val="24"/>
          <w:szCs w:val="24"/>
        </w:rPr>
        <w:t xml:space="preserve"> cells treated with PAB and Erastin. </w:t>
      </w:r>
      <w:r>
        <w:rPr>
          <w:rFonts w:hint="default" w:ascii="Times New Roman" w:hAnsi="Times New Roman" w:eastAsia="SimSun" w:cs="Times New Roman"/>
          <w:b w:val="0"/>
          <w:bCs w:val="0"/>
          <w:kern w:val="24"/>
          <w:sz w:val="24"/>
          <w:szCs w:val="24"/>
        </w:rPr>
        <w:t>(A) HL-60 cells were treated with different concentrations of PAB (0.1 μM, 0.2 μM, and 0.4 μM) and Erastin (0.1 μM, 0.2 μM, and 0.4 μM). 4-HNE immunofluorescence staining was performed to assess the accumulation of 4-HNE. The control group (CTRL) showed minimal 4-HNE staining (green fluorescence）. Treatment with PAB and Erastin resulted in a concentration-dependent increase in 4-HNE staining, with the highest concentration (0.4 μM) showing the most significant accumulation. DAPI staining (blue fluorescence) was used to visualize the nuclei. (B) The control group (CTRL) exhibited minimal 4-HNE staining, similar to HL-60 cells. Treatment with PAB and Erastin also led to a concentration-dependent increase in 4-HNE staining. Scale bar: 20 μm.</w:t>
      </w:r>
      <w:r>
        <w:rPr>
          <w:rFonts w:hint="default" w:ascii="Times New Roman" w:hAnsi="Times New Roman" w:eastAsia="SimSun" w:cs="Times New Roman"/>
          <w:b/>
          <w:bCs/>
          <w:kern w:val="24"/>
          <w:sz w:val="24"/>
          <w:szCs w:val="24"/>
        </w:rPr>
        <w:t xml:space="preserve"> </w:t>
      </w:r>
      <w:r>
        <w:rPr>
          <w:rFonts w:ascii="Times New Roman" w:hAnsi="Times New Roman" w:cs="Times New Roman"/>
        </w:rPr>
        <w:t xml:space="preserve"> </w:t>
      </w:r>
      <w:r>
        <w:rPr>
          <w:rFonts w:ascii="Times New Roman" w:hAnsi="Times New Roman" w:eastAsia="SimSun" w:cs="Times New Roman"/>
          <w:kern w:val="24"/>
          <w:sz w:val="24"/>
          <w:szCs w:val="24"/>
        </w:rPr>
        <w:t>Values are presented as the means ± SD (n=3 per group). *</w:t>
      </w:r>
      <w:r>
        <w:rPr>
          <w:rFonts w:ascii="Times New Roman" w:hAnsi="Times New Roman" w:eastAsia="SimSun" w:cs="Times New Roman"/>
          <w:i/>
          <w:iCs/>
          <w:kern w:val="24"/>
          <w:sz w:val="24"/>
          <w:szCs w:val="24"/>
        </w:rPr>
        <w:t>P</w:t>
      </w:r>
      <w:r>
        <w:rPr>
          <w:rFonts w:ascii="Times New Roman" w:hAnsi="Times New Roman" w:eastAsia="SimSun" w:cs="Times New Roman"/>
          <w:kern w:val="24"/>
          <w:sz w:val="24"/>
          <w:szCs w:val="24"/>
        </w:rPr>
        <w:t xml:space="preserve"> &lt;0.05, ** </w:t>
      </w:r>
      <w:r>
        <w:rPr>
          <w:rFonts w:ascii="Times New Roman" w:hAnsi="Times New Roman" w:eastAsia="SimSun" w:cs="Times New Roman"/>
          <w:i/>
          <w:iCs/>
          <w:kern w:val="24"/>
          <w:sz w:val="24"/>
          <w:szCs w:val="24"/>
        </w:rPr>
        <w:t>P</w:t>
      </w:r>
      <w:r>
        <w:rPr>
          <w:rFonts w:ascii="Times New Roman" w:hAnsi="Times New Roman" w:eastAsia="SimSun" w:cs="Times New Roman"/>
          <w:kern w:val="24"/>
          <w:sz w:val="24"/>
          <w:szCs w:val="24"/>
        </w:rPr>
        <w:t xml:space="preserve"> &lt;0.01, and *** </w:t>
      </w:r>
      <w:r>
        <w:rPr>
          <w:rFonts w:ascii="Times New Roman" w:hAnsi="Times New Roman" w:eastAsia="SimSun" w:cs="Times New Roman"/>
          <w:i/>
          <w:iCs/>
          <w:kern w:val="24"/>
          <w:sz w:val="24"/>
          <w:szCs w:val="24"/>
        </w:rPr>
        <w:t>P</w:t>
      </w:r>
      <w:r>
        <w:rPr>
          <w:rFonts w:ascii="Times New Roman" w:hAnsi="Times New Roman" w:eastAsia="SimSun" w:cs="Times New Roman"/>
          <w:kern w:val="24"/>
          <w:sz w:val="24"/>
          <w:szCs w:val="24"/>
        </w:rPr>
        <w:t xml:space="preserve"> &lt;0.001 vs CTRL.</w:t>
      </w:r>
    </w:p>
    <w:bookmarkEnd w:id="1"/>
    <w:p w14:paraId="34C6A7AB">
      <w:pPr>
        <w:pStyle w:val="4"/>
        <w:spacing w:before="0" w:beforeAutospacing="0" w:after="0" w:afterAutospacing="0" w:line="480" w:lineRule="auto"/>
        <w:rPr>
          <w:rFonts w:ascii="Times New Roman" w:hAnsi="Times New Roman" w:cs="Times New Roman"/>
          <w:bCs/>
          <w:color w:val="000000" w:themeColor="text1"/>
          <w:kern w:val="24"/>
          <w14:textFill>
            <w14:solidFill>
              <w14:schemeClr w14:val="tx1"/>
            </w14:solidFill>
          </w14:textFill>
        </w:rPr>
      </w:pPr>
    </w:p>
    <w:p w14:paraId="63DD77F9">
      <w:pPr>
        <w:widowControl/>
        <w:spacing w:after="160" w:line="259" w:lineRule="auto"/>
        <w:jc w:val="left"/>
        <w:rPr>
          <w:rFonts w:ascii="Times New Roman" w:hAnsi="Times New Roman" w:eastAsia="SimSun" w:cs="Times New Roman"/>
          <w:b/>
          <w:color w:val="000000" w:themeColor="text1"/>
          <w:kern w:val="24"/>
          <w:sz w:val="24"/>
          <w:szCs w:val="24"/>
          <w14:textFill>
            <w14:solidFill>
              <w14:schemeClr w14:val="tx1"/>
            </w14:solidFill>
          </w14:textFill>
        </w:rPr>
      </w:pPr>
      <w:r>
        <w:rPr>
          <w:rFonts w:ascii="Times New Roman" w:hAnsi="Times New Roman" w:cs="Times New Roman"/>
          <w:b/>
          <w:color w:val="000000" w:themeColor="text1"/>
          <w:kern w:val="24"/>
          <w14:textFill>
            <w14:solidFill>
              <w14:schemeClr w14:val="tx1"/>
            </w14:solidFill>
          </w14:textFill>
        </w:rPr>
        <w:drawing>
          <wp:inline distT="0" distB="0" distL="114300" distR="114300">
            <wp:extent cx="5269865" cy="6575425"/>
            <wp:effectExtent l="0" t="0" r="6985" b="15875"/>
            <wp:docPr id="6" name="图片 6"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4"/>
                    <pic:cNvPicPr>
                      <a:picLocks noChangeAspect="1"/>
                    </pic:cNvPicPr>
                  </pic:nvPicPr>
                  <pic:blipFill>
                    <a:blip r:embed="rId10"/>
                    <a:stretch>
                      <a:fillRect/>
                    </a:stretch>
                  </pic:blipFill>
                  <pic:spPr>
                    <a:xfrm>
                      <a:off x="0" y="0"/>
                      <a:ext cx="5269865" cy="6575425"/>
                    </a:xfrm>
                    <a:prstGeom prst="rect">
                      <a:avLst/>
                    </a:prstGeom>
                  </pic:spPr>
                </pic:pic>
              </a:graphicData>
            </a:graphic>
          </wp:inline>
        </w:drawing>
      </w:r>
      <w:r>
        <w:rPr>
          <w:rFonts w:ascii="Times New Roman" w:hAnsi="Times New Roman" w:cs="Times New Roman"/>
          <w:b/>
          <w:color w:val="000000" w:themeColor="text1"/>
          <w:kern w:val="24"/>
          <w14:textFill>
            <w14:solidFill>
              <w14:schemeClr w14:val="tx1"/>
            </w14:solidFill>
          </w14:textFill>
        </w:rPr>
        <w:br w:type="page"/>
      </w:r>
    </w:p>
    <w:p w14:paraId="4D97C6A8">
      <w:pPr>
        <w:pStyle w:val="4"/>
        <w:spacing w:before="0" w:beforeAutospacing="0" w:after="0" w:afterAutospacing="0" w:line="480" w:lineRule="auto"/>
        <w:jc w:val="both"/>
        <w:rPr>
          <w:rFonts w:ascii="Times New Roman" w:hAnsi="Times New Roman" w:cs="Times New Roman"/>
          <w:bCs/>
          <w:kern w:val="24"/>
        </w:rPr>
      </w:pPr>
      <w:r>
        <w:rPr>
          <w:rFonts w:ascii="Times New Roman" w:hAnsi="Times New Roman" w:cs="Times New Roman"/>
          <w:b/>
          <w:color w:val="000000" w:themeColor="text1"/>
          <w:kern w:val="24"/>
          <w14:textFill>
            <w14:solidFill>
              <w14:schemeClr w14:val="tx1"/>
            </w14:solidFill>
          </w14:textFill>
        </w:rPr>
        <w:t xml:space="preserve"> Figure S</w:t>
      </w:r>
      <w:r>
        <w:rPr>
          <w:rFonts w:hint="eastAsia" w:ascii="Times New Roman" w:hAnsi="Times New Roman" w:cs="Times New Roman"/>
          <w:b/>
          <w:color w:val="000000" w:themeColor="text1"/>
          <w:kern w:val="24"/>
          <w:lang w:val="en-US" w:eastAsia="zh-CN"/>
          <w14:textFill>
            <w14:solidFill>
              <w14:schemeClr w14:val="tx1"/>
            </w14:solidFill>
          </w14:textFill>
        </w:rPr>
        <w:t>4</w:t>
      </w:r>
      <w:r>
        <w:rPr>
          <w:rFonts w:ascii="Times New Roman" w:hAnsi="Times New Roman" w:cs="Times New Roman"/>
          <w:b/>
          <w:color w:val="000000" w:themeColor="text1"/>
          <w:kern w:val="24"/>
          <w14:textFill>
            <w14:solidFill>
              <w14:schemeClr w14:val="tx1"/>
            </w14:solidFill>
          </w14:textFill>
        </w:rPr>
        <w:t xml:space="preserve">. </w:t>
      </w:r>
      <w:r>
        <w:rPr>
          <w:rFonts w:hint="default" w:ascii="Times New Roman" w:hAnsi="Times New Roman" w:cs="Times New Roman"/>
          <w:b/>
          <w:kern w:val="24"/>
        </w:rPr>
        <w:t xml:space="preserve">Effects of PAB treatment on protein expression in HL-60 and </w:t>
      </w:r>
      <w:r>
        <w:rPr>
          <w:rFonts w:hint="eastAsia" w:ascii="Times New Roman" w:hAnsi="Times New Roman" w:cs="Times New Roman"/>
          <w:b/>
          <w:kern w:val="24"/>
          <w:lang w:eastAsia="zh-CN"/>
        </w:rPr>
        <w:t>MOLM-13</w:t>
      </w:r>
      <w:r>
        <w:rPr>
          <w:rFonts w:hint="default" w:ascii="Times New Roman" w:hAnsi="Times New Roman" w:cs="Times New Roman"/>
          <w:b/>
          <w:kern w:val="24"/>
        </w:rPr>
        <w:t xml:space="preserve"> cells and the role of TFR1 in PAB-induced responses.</w:t>
      </w:r>
      <w:r>
        <w:rPr>
          <w:rFonts w:hint="default" w:ascii="Times New Roman" w:hAnsi="Times New Roman" w:cs="Times New Roman"/>
          <w:b w:val="0"/>
          <w:bCs/>
          <w:kern w:val="24"/>
        </w:rPr>
        <w:t xml:space="preserve"> (A-B) Western blot analysis of TFR1, FTL, ACSL4, PRDX3, FPN1, and GPX4 protein levels in AML cells treated with different concentrations of PAB (0.1, 0.2, and 0.4 μM) for 6, 12, and 24 hours. The results from three independent Western blot experiments are presented in the form of a line graph. (C) Western blot analysis of TFR1, FTL, ACSL4, PRDX3, FPN1, and GPX4 in </w:t>
      </w:r>
      <w:r>
        <w:rPr>
          <w:rFonts w:hint="eastAsia" w:ascii="Times New Roman" w:hAnsi="Times New Roman" w:cs="Times New Roman"/>
          <w:b w:val="0"/>
          <w:bCs/>
          <w:kern w:val="24"/>
          <w:lang w:eastAsia="zh-CN"/>
        </w:rPr>
        <w:t>MOLM-13</w:t>
      </w:r>
      <w:r>
        <w:rPr>
          <w:rFonts w:hint="default" w:ascii="Times New Roman" w:hAnsi="Times New Roman" w:cs="Times New Roman"/>
          <w:b w:val="0"/>
          <w:bCs/>
          <w:kern w:val="24"/>
        </w:rPr>
        <w:t xml:space="preserve"> cells treated with 0.1, 0.2, and 0.4 μM PAB for 6, 12, and 24 hours. (D) Western blot analysis of TFR1 expression in </w:t>
      </w:r>
      <w:r>
        <w:rPr>
          <w:rFonts w:hint="eastAsia" w:ascii="Times New Roman" w:hAnsi="Times New Roman" w:cs="Times New Roman"/>
          <w:b w:val="0"/>
          <w:bCs/>
          <w:kern w:val="24"/>
          <w:lang w:eastAsia="zh-CN"/>
        </w:rPr>
        <w:t>MOLM-13</w:t>
      </w:r>
      <w:r>
        <w:rPr>
          <w:rFonts w:hint="default" w:ascii="Times New Roman" w:hAnsi="Times New Roman" w:cs="Times New Roman"/>
          <w:b w:val="0"/>
          <w:bCs/>
          <w:kern w:val="24"/>
        </w:rPr>
        <w:t xml:space="preserve"> cells transfected with TFR1 siRNA or a control vector. The results show that TFR1 siRNA effectively knocked down TFR1 expression compared to the vector control. (E) Western blot analysis of TFR1, FTL, PRDX3, and GPX4 in </w:t>
      </w:r>
      <w:r>
        <w:rPr>
          <w:rFonts w:hint="eastAsia" w:ascii="Times New Roman" w:hAnsi="Times New Roman" w:cs="Times New Roman"/>
          <w:b w:val="0"/>
          <w:bCs/>
          <w:kern w:val="24"/>
          <w:lang w:eastAsia="zh-CN"/>
        </w:rPr>
        <w:t>MOLM-13</w:t>
      </w:r>
      <w:r>
        <w:rPr>
          <w:rFonts w:hint="default" w:ascii="Times New Roman" w:hAnsi="Times New Roman" w:cs="Times New Roman"/>
          <w:b w:val="0"/>
          <w:bCs/>
          <w:kern w:val="24"/>
        </w:rPr>
        <w:t xml:space="preserve"> cells transfected with TFR1 siRNA or a control vector and treated with 0.2 or 0.4 μM PAB for 24 hours. </w:t>
      </w:r>
      <w:r>
        <w:rPr>
          <w:rFonts w:ascii="Times New Roman" w:hAnsi="Times New Roman" w:cs="Times New Roman"/>
          <w:bCs/>
          <w:kern w:val="24"/>
        </w:rPr>
        <w:t xml:space="preserve"> Values are presented as the means ± SD (n=3 per group). *</w:t>
      </w:r>
      <w:r>
        <w:rPr>
          <w:rFonts w:ascii="Times New Roman" w:hAnsi="Times New Roman" w:cs="Times New Roman"/>
          <w:bCs/>
          <w:i/>
          <w:iCs/>
          <w:kern w:val="24"/>
        </w:rPr>
        <w:t>P</w:t>
      </w:r>
      <w:r>
        <w:rPr>
          <w:rFonts w:ascii="Times New Roman" w:hAnsi="Times New Roman" w:cs="Times New Roman"/>
          <w:bCs/>
          <w:kern w:val="24"/>
        </w:rPr>
        <w:t xml:space="preserve"> &lt;0.05, ** </w:t>
      </w:r>
      <w:r>
        <w:rPr>
          <w:rFonts w:ascii="Times New Roman" w:hAnsi="Times New Roman" w:cs="Times New Roman"/>
          <w:bCs/>
          <w:i/>
          <w:iCs/>
          <w:kern w:val="24"/>
        </w:rPr>
        <w:t>P</w:t>
      </w:r>
      <w:r>
        <w:rPr>
          <w:rFonts w:ascii="Times New Roman" w:hAnsi="Times New Roman" w:cs="Times New Roman"/>
          <w:bCs/>
          <w:kern w:val="24"/>
        </w:rPr>
        <w:t xml:space="preserve"> &lt;0.01, and *** </w:t>
      </w:r>
      <w:r>
        <w:rPr>
          <w:rFonts w:ascii="Times New Roman" w:hAnsi="Times New Roman" w:cs="Times New Roman"/>
          <w:bCs/>
          <w:i/>
          <w:iCs/>
          <w:kern w:val="24"/>
        </w:rPr>
        <w:t>P</w:t>
      </w:r>
      <w:r>
        <w:rPr>
          <w:rFonts w:ascii="Times New Roman" w:hAnsi="Times New Roman" w:cs="Times New Roman"/>
          <w:bCs/>
          <w:kern w:val="24"/>
        </w:rPr>
        <w:t xml:space="preserve"> &lt;0.001 vs CTRL.</w:t>
      </w:r>
    </w:p>
    <w:p w14:paraId="46211D33">
      <w:pPr>
        <w:pStyle w:val="4"/>
        <w:spacing w:before="0" w:beforeAutospacing="0" w:after="0" w:afterAutospacing="0" w:line="480" w:lineRule="auto"/>
        <w:jc w:val="both"/>
        <w:rPr>
          <w:rFonts w:ascii="Times New Roman" w:hAnsi="Times New Roman" w:cs="Times New Roman"/>
          <w:bCs/>
          <w:kern w:val="24"/>
        </w:rPr>
      </w:pPr>
    </w:p>
    <w:p w14:paraId="7DE1C033">
      <w:pPr>
        <w:pStyle w:val="4"/>
        <w:spacing w:before="0" w:beforeAutospacing="0" w:after="0" w:afterAutospacing="0" w:line="480" w:lineRule="auto"/>
        <w:jc w:val="both"/>
        <w:rPr>
          <w:rFonts w:ascii="Times New Roman" w:hAnsi="Times New Roman" w:cs="Times New Roman"/>
          <w:bCs/>
          <w:kern w:val="24"/>
        </w:rPr>
      </w:pPr>
    </w:p>
    <w:p w14:paraId="3CCBB632">
      <w:pPr>
        <w:pStyle w:val="4"/>
        <w:spacing w:before="0" w:beforeAutospacing="0" w:after="0" w:afterAutospacing="0" w:line="480" w:lineRule="auto"/>
        <w:rPr>
          <w:rFonts w:hint="eastAsia" w:ascii="Times New Roman" w:hAnsi="Times New Roman" w:eastAsia="SimSun" w:cs="Times New Roman"/>
          <w:bCs/>
          <w:kern w:val="24"/>
          <w:lang w:eastAsia="zh-CN"/>
        </w:rPr>
      </w:pPr>
      <w:r>
        <w:rPr>
          <w:rFonts w:hint="eastAsia" w:ascii="Times New Roman" w:hAnsi="Times New Roman" w:eastAsia="SimSun" w:cs="Times New Roman"/>
          <w:bCs/>
          <w:kern w:val="24"/>
          <w:lang w:eastAsia="zh-CN"/>
        </w:rPr>
        <w:drawing>
          <wp:inline distT="0" distB="0" distL="114300" distR="114300">
            <wp:extent cx="5269865" cy="5085715"/>
            <wp:effectExtent l="0" t="0" r="6985" b="635"/>
            <wp:docPr id="7" name="图片 7"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5"/>
                    <pic:cNvPicPr>
                      <a:picLocks noChangeAspect="1"/>
                    </pic:cNvPicPr>
                  </pic:nvPicPr>
                  <pic:blipFill>
                    <a:blip r:embed="rId11"/>
                    <a:stretch>
                      <a:fillRect/>
                    </a:stretch>
                  </pic:blipFill>
                  <pic:spPr>
                    <a:xfrm>
                      <a:off x="0" y="0"/>
                      <a:ext cx="5269865" cy="5085715"/>
                    </a:xfrm>
                    <a:prstGeom prst="rect">
                      <a:avLst/>
                    </a:prstGeom>
                  </pic:spPr>
                </pic:pic>
              </a:graphicData>
            </a:graphic>
          </wp:inline>
        </w:drawing>
      </w:r>
    </w:p>
    <w:p w14:paraId="2AC1FF78">
      <w:pPr>
        <w:pStyle w:val="4"/>
        <w:spacing w:before="0" w:beforeAutospacing="0" w:after="0" w:afterAutospacing="0" w:line="480" w:lineRule="auto"/>
        <w:jc w:val="both"/>
        <w:rPr>
          <w:rFonts w:hint="eastAsia" w:ascii="Times New Roman" w:hAnsi="Times New Roman" w:cs="Times New Roman"/>
          <w:bCs/>
          <w:kern w:val="24"/>
          <w:lang w:val="en-US" w:eastAsia="zh-CN"/>
        </w:rPr>
      </w:pPr>
      <w:r>
        <w:rPr>
          <w:rFonts w:hint="eastAsia" w:ascii="Times New Roman" w:hAnsi="Times New Roman" w:cs="Times New Roman"/>
          <w:b/>
          <w:bCs w:val="0"/>
          <w:kern w:val="24"/>
          <w:lang w:val="en-US" w:eastAsia="zh-CN"/>
        </w:rPr>
        <w:t>Figure S5:Intracellular iron ion levels in HL-60 and MOLM-13 cells treated with PAB and Er</w:t>
      </w:r>
      <w:r>
        <w:rPr>
          <w:rFonts w:hint="eastAsia" w:ascii="Times New Roman" w:hAnsi="Times New Roman" w:cs="Times New Roman"/>
          <w:bCs/>
          <w:kern w:val="24"/>
          <w:lang w:val="en-US" w:eastAsia="zh-CN"/>
        </w:rPr>
        <w:t xml:space="preserve">astin as detected by FeRhoNox-1. (A-B) AML cells were treated with different concentrations of PAB (0.1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0.2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0.4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Erastin ( 0.5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Intracellular iron ion levels were assessed using the iron ion probe FeRhoNox-1. Scale bar: 5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w:t>
      </w:r>
    </w:p>
    <w:p w14:paraId="4BF304BF">
      <w:pPr>
        <w:pStyle w:val="4"/>
        <w:spacing w:before="0" w:beforeAutospacing="0" w:after="0" w:afterAutospacing="0" w:line="480" w:lineRule="auto"/>
        <w:rPr>
          <w:rFonts w:hint="eastAsia" w:ascii="Times New Roman" w:hAnsi="Times New Roman" w:cs="Times New Roman"/>
          <w:bCs/>
          <w:kern w:val="24"/>
          <w:lang w:val="en-US" w:eastAsia="zh-CN"/>
        </w:rPr>
      </w:pPr>
    </w:p>
    <w:p w14:paraId="0491C72E">
      <w:pPr>
        <w:pStyle w:val="4"/>
        <w:spacing w:before="0" w:beforeAutospacing="0" w:after="0" w:afterAutospacing="0" w:line="480" w:lineRule="auto"/>
        <w:rPr>
          <w:rFonts w:hint="eastAsia" w:ascii="Times New Roman" w:hAnsi="Times New Roman" w:cs="Times New Roman"/>
          <w:bCs/>
          <w:kern w:val="24"/>
          <w:lang w:val="en-US" w:eastAsia="zh-CN"/>
        </w:rPr>
      </w:pPr>
    </w:p>
    <w:p w14:paraId="4792F0DD">
      <w:pPr>
        <w:pStyle w:val="4"/>
        <w:spacing w:before="0" w:beforeAutospacing="0" w:after="0" w:afterAutospacing="0" w:line="480" w:lineRule="auto"/>
        <w:rPr>
          <w:rFonts w:hint="eastAsia" w:ascii="Times New Roman" w:hAnsi="Times New Roman" w:cs="Times New Roman"/>
          <w:bCs/>
          <w:kern w:val="24"/>
          <w:lang w:val="en-US" w:eastAsia="zh-CN"/>
        </w:rPr>
      </w:pPr>
      <w:r>
        <w:rPr>
          <w:rFonts w:hint="eastAsia" w:ascii="Times New Roman" w:hAnsi="Times New Roman" w:cs="Times New Roman"/>
          <w:bCs/>
          <w:kern w:val="24"/>
          <w:lang w:val="en-US" w:eastAsia="zh-CN"/>
        </w:rPr>
        <w:drawing>
          <wp:inline distT="0" distB="0" distL="114300" distR="114300">
            <wp:extent cx="5269865" cy="5603875"/>
            <wp:effectExtent l="0" t="0" r="6985" b="15875"/>
            <wp:docPr id="8" name="图片 8"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S6"/>
                    <pic:cNvPicPr>
                      <a:picLocks noChangeAspect="1"/>
                    </pic:cNvPicPr>
                  </pic:nvPicPr>
                  <pic:blipFill>
                    <a:blip r:embed="rId12"/>
                    <a:stretch>
                      <a:fillRect/>
                    </a:stretch>
                  </pic:blipFill>
                  <pic:spPr>
                    <a:xfrm>
                      <a:off x="0" y="0"/>
                      <a:ext cx="5269865" cy="5603875"/>
                    </a:xfrm>
                    <a:prstGeom prst="rect">
                      <a:avLst/>
                    </a:prstGeom>
                  </pic:spPr>
                </pic:pic>
              </a:graphicData>
            </a:graphic>
          </wp:inline>
        </w:drawing>
      </w:r>
    </w:p>
    <w:p w14:paraId="45F85D25">
      <w:pPr>
        <w:pStyle w:val="4"/>
        <w:spacing w:before="0" w:beforeAutospacing="0" w:after="0" w:afterAutospacing="0" w:line="480" w:lineRule="auto"/>
        <w:jc w:val="both"/>
        <w:rPr>
          <w:rFonts w:hint="eastAsia" w:ascii="Times New Roman" w:hAnsi="Times New Roman" w:cs="Times New Roman"/>
          <w:bCs/>
          <w:kern w:val="24"/>
          <w:lang w:val="en-US" w:eastAsia="zh-CN"/>
        </w:rPr>
      </w:pPr>
      <w:r>
        <w:rPr>
          <w:rFonts w:hint="eastAsia" w:ascii="Times New Roman" w:hAnsi="Times New Roman" w:cs="Times New Roman"/>
          <w:b/>
          <w:bCs w:val="0"/>
          <w:kern w:val="24"/>
          <w:lang w:val="en-US" w:eastAsia="zh-CN"/>
        </w:rPr>
        <w:t>Figure S6: Effects of PAB treatment on RAB4 and TFR1 colocalization and iron metabolism-related protein expression in MOLM-13 cells.</w:t>
      </w:r>
      <w:r>
        <w:rPr>
          <w:rFonts w:hint="eastAsia" w:ascii="Times New Roman" w:hAnsi="Times New Roman" w:cs="Times New Roman"/>
          <w:bCs/>
          <w:kern w:val="24"/>
          <w:lang w:val="en-US" w:eastAsia="zh-CN"/>
        </w:rPr>
        <w:t xml:space="preserve"> (A) Laser confocal microscopy images of RAB4 and TFR1 double staining in MOLM-13 cells treated with different concentrations of PAB (0.1 μM, 0.2 μM, and 0.4 μM). (B) Laser confocal microscopy images of RAB4 and TFR1 double staining in wild-type MOLM-13 cells and MOLM-13 cells with ACTN4 protein 273 lysine mutation (Mut) treated with PAB (0.2 μM and 0.4 μM). (C) Western blot analysis of iron metabolism-related proteins (TFR1, FTL, PRDX3, and GPX4) in wild-type MOLM-13 cells and MOLM-13 cells with ACTN4 protein 273 lysine mutation treated with PAB (0.2 μM and 0.4 μM). Values are presented as the means ± SD. *P &lt;0.05, ** P &lt;0.01, and *** P &lt;0.001 vs CTRL.</w:t>
      </w:r>
    </w:p>
    <w:p w14:paraId="6ACAAE2E">
      <w:pPr>
        <w:pStyle w:val="4"/>
        <w:spacing w:before="0" w:beforeAutospacing="0" w:after="0" w:afterAutospacing="0" w:line="480" w:lineRule="auto"/>
        <w:rPr>
          <w:rFonts w:hint="default" w:ascii="Times New Roman" w:hAnsi="Times New Roman" w:cs="Times New Roman"/>
          <w:bCs/>
          <w:kern w:val="24"/>
          <w:lang w:val="en-US" w:eastAsia="zh-CN"/>
        </w:rPr>
      </w:pPr>
      <w:r>
        <w:rPr>
          <w:rFonts w:hint="default" w:ascii="Times New Roman" w:hAnsi="Times New Roman" w:cs="Times New Roman"/>
          <w:bCs/>
          <w:kern w:val="24"/>
          <w:lang w:val="en-US" w:eastAsia="zh-CN"/>
        </w:rPr>
        <w:drawing>
          <wp:inline distT="0" distB="0" distL="114300" distR="114300">
            <wp:extent cx="5269865" cy="6575425"/>
            <wp:effectExtent l="0" t="0" r="6985" b="15875"/>
            <wp:docPr id="9" name="图片 9"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S7"/>
                    <pic:cNvPicPr>
                      <a:picLocks noChangeAspect="1"/>
                    </pic:cNvPicPr>
                  </pic:nvPicPr>
                  <pic:blipFill>
                    <a:blip r:embed="rId13"/>
                    <a:stretch>
                      <a:fillRect/>
                    </a:stretch>
                  </pic:blipFill>
                  <pic:spPr>
                    <a:xfrm>
                      <a:off x="0" y="0"/>
                      <a:ext cx="5269865" cy="6575425"/>
                    </a:xfrm>
                    <a:prstGeom prst="rect">
                      <a:avLst/>
                    </a:prstGeom>
                  </pic:spPr>
                </pic:pic>
              </a:graphicData>
            </a:graphic>
          </wp:inline>
        </w:drawing>
      </w:r>
    </w:p>
    <w:p w14:paraId="4FA981DA">
      <w:pPr>
        <w:pStyle w:val="4"/>
        <w:spacing w:before="0" w:beforeAutospacing="0" w:after="0" w:afterAutospacing="0" w:line="480" w:lineRule="auto"/>
        <w:jc w:val="both"/>
        <w:rPr>
          <w:rFonts w:hint="eastAsia" w:ascii="Times New Roman" w:hAnsi="Times New Roman" w:cs="Times New Roman"/>
          <w:bCs/>
          <w:kern w:val="24"/>
          <w:lang w:val="en-US" w:eastAsia="zh-CN"/>
        </w:rPr>
      </w:pPr>
      <w:r>
        <w:rPr>
          <w:rFonts w:hint="eastAsia" w:ascii="Times New Roman" w:hAnsi="Times New Roman" w:cs="Times New Roman"/>
          <w:b/>
          <w:bCs w:val="0"/>
          <w:kern w:val="24"/>
          <w:lang w:val="en-US" w:eastAsia="zh-CN"/>
        </w:rPr>
        <w:t>Figure S7: Effects of ACTN4 protein 273 lysine point mutation on PAB-induced changes in intracellular iron ion levels.</w:t>
      </w:r>
      <w:r>
        <w:rPr>
          <w:rFonts w:hint="eastAsia" w:ascii="Times New Roman" w:hAnsi="Times New Roman" w:cs="Times New Roman"/>
          <w:bCs/>
          <w:kern w:val="24"/>
          <w:lang w:val="en-US" w:eastAsia="zh-CN"/>
        </w:rPr>
        <w:t xml:space="preserve"> (A) Schematic diagram of the ACTN4 protein 273 lysine point mutation plasmid. The diagram shows the structure of the plasmid, including the promoter, coding sequence, and other regulatory elements. The specific mutation site (K273A) is highlighted, indicating the substitution of lysine (K) with alanine (A) at the 273rd position of the ACTN4 protein. (B) GFP fluorescence images of wild-type MOLM-13 cells and MOLM-13 cells transduced with lentivirus expressing the ACTN4 protein 273 lysine point mutation (Mut). The results show that the lentivirus successfully transduced the mutant ACTN4 protein into MOLM-13 cells, as indicated by the GFP fluorescence. (C) Intracellular iron ion levels in wild-type MOLM-13 cells and MOLM-13 cells with ACTN4 protein 273 lysine mutation treated with PAB (0.2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0.4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Intracellular iron ion levels were assessed using the iron ion probe FeRhoNox-1. (D) Intracellular iron ion levels in wild-type HL-60 cells and HL-60 cells with ACTN4 protein 273 lysine mutation treated with PAB (0.2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0.4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Scale bar: 5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w:t>
      </w:r>
    </w:p>
    <w:p w14:paraId="63B0E4EA">
      <w:pPr>
        <w:pStyle w:val="4"/>
        <w:spacing w:before="0" w:beforeAutospacing="0" w:after="0" w:afterAutospacing="0" w:line="480" w:lineRule="auto"/>
        <w:rPr>
          <w:rFonts w:hint="eastAsia" w:ascii="Times New Roman" w:hAnsi="Times New Roman" w:cs="Times New Roman"/>
          <w:bCs/>
          <w:kern w:val="24"/>
          <w:lang w:val="en-US" w:eastAsia="zh-CN"/>
        </w:rPr>
      </w:pPr>
    </w:p>
    <w:p w14:paraId="0B8FB9A0">
      <w:pPr>
        <w:pStyle w:val="4"/>
        <w:spacing w:before="0" w:beforeAutospacing="0" w:after="0" w:afterAutospacing="0" w:line="480" w:lineRule="auto"/>
        <w:rPr>
          <w:rFonts w:hint="eastAsia" w:ascii="Times New Roman" w:hAnsi="Times New Roman" w:cs="Times New Roman"/>
          <w:bCs/>
          <w:kern w:val="24"/>
          <w:lang w:val="en-US" w:eastAsia="zh-CN"/>
        </w:rPr>
      </w:pPr>
    </w:p>
    <w:p w14:paraId="3B9EB014">
      <w:pPr>
        <w:pStyle w:val="4"/>
        <w:spacing w:before="0" w:beforeAutospacing="0" w:after="0" w:afterAutospacing="0" w:line="480" w:lineRule="auto"/>
        <w:rPr>
          <w:rFonts w:hint="eastAsia" w:ascii="Times New Roman" w:hAnsi="Times New Roman" w:cs="Times New Roman"/>
          <w:bCs/>
          <w:kern w:val="24"/>
          <w:lang w:val="en-US" w:eastAsia="zh-CN"/>
        </w:rPr>
      </w:pPr>
      <w:r>
        <w:rPr>
          <w:rFonts w:hint="eastAsia" w:ascii="Times New Roman" w:hAnsi="Times New Roman" w:cs="Times New Roman"/>
          <w:bCs/>
          <w:kern w:val="24"/>
          <w:lang w:val="en-US" w:eastAsia="zh-CN"/>
        </w:rPr>
        <w:drawing>
          <wp:inline distT="0" distB="0" distL="114300" distR="114300">
            <wp:extent cx="5269865" cy="6268085"/>
            <wp:effectExtent l="0" t="0" r="6985" b="18415"/>
            <wp:docPr id="10" name="图片 10" descr="Figure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S8"/>
                    <pic:cNvPicPr>
                      <a:picLocks noChangeAspect="1"/>
                    </pic:cNvPicPr>
                  </pic:nvPicPr>
                  <pic:blipFill>
                    <a:blip r:embed="rId14"/>
                    <a:stretch>
                      <a:fillRect/>
                    </a:stretch>
                  </pic:blipFill>
                  <pic:spPr>
                    <a:xfrm>
                      <a:off x="0" y="0"/>
                      <a:ext cx="5269865" cy="6268085"/>
                    </a:xfrm>
                    <a:prstGeom prst="rect">
                      <a:avLst/>
                    </a:prstGeom>
                  </pic:spPr>
                </pic:pic>
              </a:graphicData>
            </a:graphic>
          </wp:inline>
        </w:drawing>
      </w:r>
    </w:p>
    <w:p w14:paraId="198BA8AD">
      <w:pPr>
        <w:pStyle w:val="4"/>
        <w:spacing w:before="0" w:beforeAutospacing="0" w:after="0" w:afterAutospacing="0" w:line="480" w:lineRule="auto"/>
        <w:jc w:val="both"/>
        <w:rPr>
          <w:rFonts w:hint="eastAsia" w:ascii="Times New Roman" w:hAnsi="Times New Roman" w:cs="Times New Roman"/>
          <w:bCs/>
          <w:kern w:val="24"/>
          <w:lang w:val="en-US" w:eastAsia="zh-CN"/>
        </w:rPr>
      </w:pPr>
      <w:r>
        <w:rPr>
          <w:rFonts w:hint="eastAsia" w:ascii="Times New Roman" w:hAnsi="Times New Roman" w:cs="Times New Roman"/>
          <w:b/>
          <w:bCs w:val="0"/>
          <w:kern w:val="24"/>
          <w:lang w:val="en-US" w:eastAsia="zh-CN"/>
        </w:rPr>
        <w:t xml:space="preserve">Figure S8:Effects of Jasplakinolide pretreatment on PAB-induced changes in iron metabolism-related proteins and intracellular iron ion levels in MOLM-13 and HL-60 cells. </w:t>
      </w:r>
      <w:r>
        <w:rPr>
          <w:rFonts w:hint="eastAsia" w:ascii="Times New Roman" w:hAnsi="Times New Roman" w:cs="Times New Roman"/>
          <w:bCs/>
          <w:kern w:val="24"/>
          <w:lang w:val="en-US" w:eastAsia="zh-CN"/>
        </w:rPr>
        <w:t xml:space="preserve">(A) Western blot analysis of iron metabolism-related proteins (TFR1, FTL, PRDX3, and GPX4) in MOLM-13 cells pretreated with Jasplakinolide (Jasp) and then treated with PAB (0.2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0.4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(B) Intracellular iron ion levels in HL-60 cells pretreated with Jasplakinolide and then treated with PAB (0.2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0.4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Intracellular iron ion levels were assessed using the iron ion probe FeRhoNox-1. (C) Intracellular iron ion levels in MOLM-13 cells pretreated with Jasplakinolide and then treated with PAB (0.2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and 0.4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 xml:space="preserve">M). Scale bar: 5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m. Values are presented as the means ± SD. *P &lt;0.05, ** P &lt;0.01, and *** P &lt;0.001 vs CTRL.</w:t>
      </w:r>
    </w:p>
    <w:p w14:paraId="5246AA88">
      <w:pPr>
        <w:pStyle w:val="4"/>
        <w:spacing w:before="0" w:beforeAutospacing="0" w:after="0" w:afterAutospacing="0" w:line="480" w:lineRule="auto"/>
        <w:rPr>
          <w:rFonts w:hint="eastAsia" w:ascii="Times New Roman" w:hAnsi="Times New Roman" w:cs="Times New Roman"/>
          <w:bCs/>
          <w:kern w:val="24"/>
          <w:lang w:val="en-US" w:eastAsia="zh-CN"/>
        </w:rPr>
      </w:pPr>
      <w:r>
        <w:rPr>
          <w:rFonts w:hint="eastAsia" w:ascii="Times New Roman" w:hAnsi="Times New Roman" w:cs="Times New Roman"/>
          <w:bCs/>
          <w:kern w:val="24"/>
          <w:lang w:val="en-US" w:eastAsia="zh-CN"/>
        </w:rPr>
        <w:drawing>
          <wp:inline distT="0" distB="0" distL="114300" distR="114300">
            <wp:extent cx="5269865" cy="3839210"/>
            <wp:effectExtent l="0" t="0" r="6985" b="8890"/>
            <wp:docPr id="11" name="图片 11" descr="Figure 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S9"/>
                    <pic:cNvPicPr>
                      <a:picLocks noChangeAspect="1"/>
                    </pic:cNvPicPr>
                  </pic:nvPicPr>
                  <pic:blipFill>
                    <a:blip r:embed="rId15"/>
                    <a:stretch>
                      <a:fillRect/>
                    </a:stretch>
                  </pic:blipFill>
                  <pic:spPr>
                    <a:xfrm>
                      <a:off x="0" y="0"/>
                      <a:ext cx="5269865" cy="3839210"/>
                    </a:xfrm>
                    <a:prstGeom prst="rect">
                      <a:avLst/>
                    </a:prstGeom>
                  </pic:spPr>
                </pic:pic>
              </a:graphicData>
            </a:graphic>
          </wp:inline>
        </w:drawing>
      </w:r>
    </w:p>
    <w:p w14:paraId="5F1307DF">
      <w:pPr>
        <w:pStyle w:val="4"/>
        <w:spacing w:before="0" w:beforeAutospacing="0" w:after="0" w:afterAutospacing="0" w:line="480" w:lineRule="auto"/>
        <w:jc w:val="both"/>
        <w:rPr>
          <w:rFonts w:hint="default" w:ascii="Times New Roman" w:hAnsi="Times New Roman" w:cs="Times New Roman"/>
          <w:bCs/>
          <w:kern w:val="24"/>
          <w:lang w:val="en-US" w:eastAsia="zh-CN"/>
        </w:rPr>
      </w:pPr>
      <w:r>
        <w:rPr>
          <w:rFonts w:hint="eastAsia" w:ascii="Times New Roman" w:hAnsi="Times New Roman" w:cs="Times New Roman"/>
          <w:b/>
          <w:bCs w:val="0"/>
          <w:kern w:val="24"/>
          <w:lang w:val="en-US" w:eastAsia="zh-CN"/>
        </w:rPr>
        <w:t>Figure S9: Histological analysis of different organs in AML</w:t>
      </w:r>
      <w:r>
        <w:rPr>
          <w:rFonts w:hint="eastAsia" w:ascii="Times New Roman" w:hAnsi="Times New Roman" w:cs="Times New Roman"/>
          <w:b/>
          <w:bCs w:val="0"/>
          <w:kern w:val="24"/>
          <w:sz w:val="28"/>
          <w:szCs w:val="28"/>
          <w:vertAlign w:val="superscript"/>
          <w:lang w:val="en-US" w:eastAsia="zh-CN"/>
        </w:rPr>
        <w:t>Luc</w:t>
      </w:r>
      <w:r>
        <w:rPr>
          <w:rFonts w:hint="eastAsia" w:ascii="Times New Roman" w:hAnsi="Times New Roman" w:cs="Times New Roman"/>
          <w:b/>
          <w:bCs w:val="0"/>
          <w:kern w:val="24"/>
          <w:lang w:val="en-US" w:eastAsia="zh-CN"/>
        </w:rPr>
        <w:t>, AML</w:t>
      </w:r>
      <w:r>
        <w:rPr>
          <w:rFonts w:hint="eastAsia" w:ascii="Times New Roman" w:hAnsi="Times New Roman" w:cs="Times New Roman"/>
          <w:b/>
          <w:bCs w:val="0"/>
          <w:kern w:val="24"/>
          <w:sz w:val="28"/>
          <w:szCs w:val="28"/>
          <w:vertAlign w:val="superscript"/>
          <w:lang w:val="en-US" w:eastAsia="zh-CN"/>
        </w:rPr>
        <w:t>LUC+Mut</w:t>
      </w:r>
      <w:r>
        <w:rPr>
          <w:rFonts w:hint="eastAsia" w:ascii="Times New Roman" w:hAnsi="Times New Roman" w:cs="Times New Roman"/>
          <w:b/>
          <w:bCs w:val="0"/>
          <w:kern w:val="24"/>
          <w:lang w:val="en-US" w:eastAsia="zh-CN"/>
        </w:rPr>
        <w:t>, AML</w:t>
      </w:r>
      <w:r>
        <w:rPr>
          <w:rFonts w:hint="eastAsia" w:ascii="Times New Roman" w:hAnsi="Times New Roman" w:cs="Times New Roman"/>
          <w:b/>
          <w:bCs w:val="0"/>
          <w:kern w:val="24"/>
          <w:sz w:val="28"/>
          <w:szCs w:val="28"/>
          <w:vertAlign w:val="superscript"/>
          <w:lang w:val="en-US" w:eastAsia="zh-CN"/>
        </w:rPr>
        <w:t>Luc</w:t>
      </w:r>
      <w:r>
        <w:rPr>
          <w:rFonts w:hint="eastAsia" w:ascii="Times New Roman" w:hAnsi="Times New Roman" w:cs="Times New Roman"/>
          <w:b/>
          <w:bCs w:val="0"/>
          <w:kern w:val="24"/>
          <w:lang w:val="en-US" w:eastAsia="zh-CN"/>
        </w:rPr>
        <w:t>+PAB,  AML</w:t>
      </w:r>
      <w:r>
        <w:rPr>
          <w:rFonts w:hint="eastAsia" w:ascii="Times New Roman" w:hAnsi="Times New Roman" w:cs="Times New Roman"/>
          <w:b/>
          <w:bCs w:val="0"/>
          <w:kern w:val="24"/>
          <w:sz w:val="28"/>
          <w:szCs w:val="28"/>
          <w:vertAlign w:val="superscript"/>
          <w:lang w:val="en-US" w:eastAsia="zh-CN"/>
        </w:rPr>
        <w:t>LUC+Mut</w:t>
      </w:r>
      <w:r>
        <w:rPr>
          <w:rFonts w:hint="eastAsia" w:ascii="Times New Roman" w:hAnsi="Times New Roman" w:cs="Times New Roman"/>
          <w:b/>
          <w:bCs w:val="0"/>
          <w:kern w:val="24"/>
          <w:lang w:val="en-US" w:eastAsia="zh-CN"/>
        </w:rPr>
        <w:t>+PAB and AML</w:t>
      </w:r>
      <w:r>
        <w:rPr>
          <w:rFonts w:hint="eastAsia" w:ascii="Times New Roman" w:hAnsi="Times New Roman" w:cs="Times New Roman"/>
          <w:b/>
          <w:bCs w:val="0"/>
          <w:kern w:val="24"/>
          <w:sz w:val="28"/>
          <w:szCs w:val="28"/>
          <w:vertAlign w:val="superscript"/>
          <w:lang w:val="en-US" w:eastAsia="zh-CN"/>
        </w:rPr>
        <w:t>Luc</w:t>
      </w:r>
      <w:r>
        <w:rPr>
          <w:rFonts w:hint="eastAsia" w:ascii="Times New Roman" w:hAnsi="Times New Roman" w:cs="Times New Roman"/>
          <w:b/>
          <w:bCs w:val="0"/>
          <w:kern w:val="24"/>
          <w:lang w:val="en-US" w:eastAsia="zh-CN"/>
        </w:rPr>
        <w:t>+PAB+Fer-1 groups.</w:t>
      </w:r>
      <w:r>
        <w:rPr>
          <w:rFonts w:hint="eastAsia" w:ascii="Times New Roman" w:hAnsi="Times New Roman" w:cs="Times New Roman"/>
          <w:bCs/>
          <w:kern w:val="24"/>
          <w:lang w:val="en-US" w:eastAsia="zh-CN"/>
        </w:rPr>
        <w:t xml:space="preserve"> (A) Histological sections of various organs, including the heart, liver, spleen, lung, and kidney, were stained with hematoxylin and eosin (H&amp;E) to evaluate the tissue morphology and potential pathological changes in the AMLLuc, AMLLUC+Mut, AMLLuc+PAB,  AMLLUC+Mut+PAB and AMLLuc+PAB+Fer-1 groups.The scale bar is 100 </w:t>
      </w:r>
      <w:r>
        <w:rPr>
          <w:rFonts w:hint="default" w:ascii="Times New Roman" w:hAnsi="Times New Roman" w:cs="Times New Roman"/>
          <w:bCs/>
          <w:kern w:val="24"/>
          <w:lang w:val="en-US" w:eastAsia="zh-CN"/>
        </w:rPr>
        <w:t>μ</w:t>
      </w:r>
      <w:r>
        <w:rPr>
          <w:rFonts w:hint="eastAsia" w:ascii="Times New Roman" w:hAnsi="Times New Roman" w:cs="Times New Roman"/>
          <w:bCs/>
          <w:kern w:val="24"/>
          <w:lang w:val="en-US" w:eastAsia="zh-CN"/>
        </w:rPr>
        <w:t>m.  (B) Iron oxide staining in AML tumor sections.</w:t>
      </w:r>
    </w:p>
    <w:p w14:paraId="43F49AB5">
      <w:pPr>
        <w:pStyle w:val="4"/>
        <w:spacing w:before="0" w:beforeAutospacing="0" w:after="0" w:afterAutospacing="0" w:line="480" w:lineRule="auto"/>
        <w:rPr>
          <w:rFonts w:hint="default" w:ascii="Times New Roman" w:hAnsi="Times New Roman" w:cs="Times New Roman"/>
          <w:bCs/>
          <w:kern w:val="24"/>
          <w:lang w:val="en-US" w:eastAsia="zh-CN"/>
        </w:rPr>
      </w:pPr>
    </w:p>
    <w:sectPr>
      <w:footerReference r:id="rId5" w:type="default"/>
      <w:pgSz w:w="11906" w:h="16838"/>
      <w:pgMar w:top="1440" w:right="1800" w:bottom="1440" w:left="1800" w:header="851" w:footer="992" w:gutter="0"/>
      <w:lnNumType w:countBy="1" w:restart="continuous"/>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orbel">
    <w:panose1 w:val="020B0503020204020204"/>
    <w:charset w:val="00"/>
    <w:family w:val="swiss"/>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2575798"/>
      <w:docPartObj>
        <w:docPartGallery w:val="autotext"/>
      </w:docPartObj>
    </w:sdtPr>
    <w:sdtContent>
      <w:p w14:paraId="4CFACA05">
        <w:pPr>
          <w:pStyle w:val="2"/>
          <w:jc w:val="center"/>
        </w:pPr>
        <w:r>
          <w:fldChar w:fldCharType="begin"/>
        </w:r>
        <w:r>
          <w:instrText xml:space="preserve">PAGE   \* MERGEFORMAT</w:instrText>
        </w:r>
        <w:r>
          <w:fldChar w:fldCharType="separate"/>
        </w:r>
        <w:r>
          <w:rPr>
            <w:lang w:val="zh-CN"/>
          </w:rPr>
          <w:t>8</w:t>
        </w:r>
        <w:r>
          <w:fldChar w:fldCharType="end"/>
        </w:r>
      </w:p>
    </w:sdtContent>
  </w:sdt>
  <w:p w14:paraId="669A19D4">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bAwsDAyMDA2NTc0MjZX0lEKTi0uzszPAykwrAUAluAVMCwAAAA="/>
    <w:docVar w:name="EN.Layout" w:val="&lt;ENLayout&gt;&lt;Style&gt;Phytomedicin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72A27"/>
    <w:rsid w:val="00003BC3"/>
    <w:rsid w:val="00012946"/>
    <w:rsid w:val="0002183C"/>
    <w:rsid w:val="00044DB6"/>
    <w:rsid w:val="00072AF8"/>
    <w:rsid w:val="0008727D"/>
    <w:rsid w:val="0009184E"/>
    <w:rsid w:val="00100411"/>
    <w:rsid w:val="00125D55"/>
    <w:rsid w:val="00145F63"/>
    <w:rsid w:val="00150149"/>
    <w:rsid w:val="0015101B"/>
    <w:rsid w:val="001C0818"/>
    <w:rsid w:val="001F3521"/>
    <w:rsid w:val="002438F4"/>
    <w:rsid w:val="00292A70"/>
    <w:rsid w:val="002C0D04"/>
    <w:rsid w:val="00322AD7"/>
    <w:rsid w:val="00332128"/>
    <w:rsid w:val="003843EA"/>
    <w:rsid w:val="003A2A0D"/>
    <w:rsid w:val="003D576A"/>
    <w:rsid w:val="003F4065"/>
    <w:rsid w:val="00405995"/>
    <w:rsid w:val="004354F6"/>
    <w:rsid w:val="00436A31"/>
    <w:rsid w:val="00461C0B"/>
    <w:rsid w:val="004640B1"/>
    <w:rsid w:val="004960CD"/>
    <w:rsid w:val="004F08F0"/>
    <w:rsid w:val="004F7824"/>
    <w:rsid w:val="00510DB4"/>
    <w:rsid w:val="00551664"/>
    <w:rsid w:val="00561FAA"/>
    <w:rsid w:val="005651F1"/>
    <w:rsid w:val="00595F5B"/>
    <w:rsid w:val="005A2695"/>
    <w:rsid w:val="005C336A"/>
    <w:rsid w:val="0061686B"/>
    <w:rsid w:val="006239CF"/>
    <w:rsid w:val="006302D3"/>
    <w:rsid w:val="00634E7A"/>
    <w:rsid w:val="006D45FB"/>
    <w:rsid w:val="006E7387"/>
    <w:rsid w:val="006F5E55"/>
    <w:rsid w:val="0075091D"/>
    <w:rsid w:val="00757496"/>
    <w:rsid w:val="00772AB3"/>
    <w:rsid w:val="007B0C67"/>
    <w:rsid w:val="007B484F"/>
    <w:rsid w:val="007D1114"/>
    <w:rsid w:val="00806A4D"/>
    <w:rsid w:val="0082024F"/>
    <w:rsid w:val="00867D58"/>
    <w:rsid w:val="008820D1"/>
    <w:rsid w:val="008953CB"/>
    <w:rsid w:val="008B23A1"/>
    <w:rsid w:val="008C1934"/>
    <w:rsid w:val="00924F7A"/>
    <w:rsid w:val="00927664"/>
    <w:rsid w:val="00962B59"/>
    <w:rsid w:val="00970548"/>
    <w:rsid w:val="009A5AC9"/>
    <w:rsid w:val="009E3772"/>
    <w:rsid w:val="00A0709E"/>
    <w:rsid w:val="00A166B7"/>
    <w:rsid w:val="00A354FC"/>
    <w:rsid w:val="00A61AEB"/>
    <w:rsid w:val="00A77F66"/>
    <w:rsid w:val="00A81815"/>
    <w:rsid w:val="00A82340"/>
    <w:rsid w:val="00AB3E2C"/>
    <w:rsid w:val="00AC5ADA"/>
    <w:rsid w:val="00AE0CC2"/>
    <w:rsid w:val="00B17CE6"/>
    <w:rsid w:val="00BB7B87"/>
    <w:rsid w:val="00BD64C1"/>
    <w:rsid w:val="00BE5EEE"/>
    <w:rsid w:val="00C07DA0"/>
    <w:rsid w:val="00C160D4"/>
    <w:rsid w:val="00C43FD7"/>
    <w:rsid w:val="00C565DD"/>
    <w:rsid w:val="00C828EF"/>
    <w:rsid w:val="00CC7C84"/>
    <w:rsid w:val="00CE55E8"/>
    <w:rsid w:val="00D4328D"/>
    <w:rsid w:val="00D44E79"/>
    <w:rsid w:val="00D7053E"/>
    <w:rsid w:val="00D72A5D"/>
    <w:rsid w:val="00D766CA"/>
    <w:rsid w:val="00D82361"/>
    <w:rsid w:val="00DB19E7"/>
    <w:rsid w:val="00E17398"/>
    <w:rsid w:val="00E53758"/>
    <w:rsid w:val="00EA18F4"/>
    <w:rsid w:val="00EB2ED0"/>
    <w:rsid w:val="00F050CA"/>
    <w:rsid w:val="00F46D29"/>
    <w:rsid w:val="00F6524D"/>
    <w:rsid w:val="00F84FD4"/>
    <w:rsid w:val="00F92444"/>
    <w:rsid w:val="00FC16A7"/>
    <w:rsid w:val="00FC444C"/>
    <w:rsid w:val="00FF02FD"/>
    <w:rsid w:val="08D94DF4"/>
    <w:rsid w:val="0C537CA7"/>
    <w:rsid w:val="103A4B1E"/>
    <w:rsid w:val="1CC04364"/>
    <w:rsid w:val="22794570"/>
    <w:rsid w:val="27FD707F"/>
    <w:rsid w:val="2B6D0C70"/>
    <w:rsid w:val="39800F1B"/>
    <w:rsid w:val="3CE175AF"/>
    <w:rsid w:val="3ED05097"/>
    <w:rsid w:val="4D3A4FCF"/>
    <w:rsid w:val="54C9434A"/>
    <w:rsid w:val="60803266"/>
    <w:rsid w:val="7AE314F4"/>
    <w:rsid w:val="7BAF5D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5"/>
    <w:unhideWhenUsed/>
    <w:qFormat/>
    <w:uiPriority w:val="99"/>
    <w:pPr>
      <w:tabs>
        <w:tab w:val="center" w:pos="4153"/>
        <w:tab w:val="right" w:pos="8306"/>
      </w:tabs>
      <w:snapToGrid w:val="0"/>
      <w:jc w:val="left"/>
    </w:pPr>
    <w:rPr>
      <w:sz w:val="18"/>
      <w:szCs w:val="18"/>
    </w:rPr>
  </w:style>
  <w:style w:type="paragraph" w:styleId="3">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SimSun" w:hAnsi="SimSun" w:eastAsia="SimSun" w:cs="SimSun"/>
      <w:kern w:val="0"/>
      <w:sz w:val="24"/>
      <w:szCs w:val="24"/>
    </w:rPr>
  </w:style>
  <w:style w:type="character" w:styleId="7">
    <w:name w:val="FollowedHyperlink"/>
    <w:basedOn w:val="6"/>
    <w:semiHidden/>
    <w:unhideWhenUsed/>
    <w:qFormat/>
    <w:uiPriority w:val="99"/>
    <w:rPr>
      <w:color w:val="954F72" w:themeColor="followedHyperlink"/>
      <w:u w:val="single"/>
      <w14:textFill>
        <w14:solidFill>
          <w14:schemeClr w14:val="folHlink"/>
        </w14:solidFill>
      </w14:textFill>
    </w:rPr>
  </w:style>
  <w:style w:type="character" w:styleId="8">
    <w:name w:val="line number"/>
    <w:basedOn w:val="6"/>
    <w:semiHidden/>
    <w:unhideWhenUsed/>
    <w:qFormat/>
    <w:uiPriority w:val="99"/>
  </w:style>
  <w:style w:type="character" w:styleId="9">
    <w:name w:val="Hyperlink"/>
    <w:basedOn w:val="6"/>
    <w:unhideWhenUsed/>
    <w:qFormat/>
    <w:uiPriority w:val="99"/>
    <w:rPr>
      <w:color w:val="0000FF"/>
      <w:u w:val="single"/>
    </w:rPr>
  </w:style>
  <w:style w:type="paragraph" w:customStyle="1" w:styleId="10">
    <w:name w:val="EndNote Bibliography Title"/>
    <w:basedOn w:val="1"/>
    <w:link w:val="11"/>
    <w:qFormat/>
    <w:uiPriority w:val="0"/>
    <w:pPr>
      <w:jc w:val="center"/>
    </w:pPr>
    <w:rPr>
      <w:rFonts w:ascii="DengXian" w:hAnsi="DengXian" w:eastAsia="DengXian"/>
      <w:sz w:val="20"/>
    </w:rPr>
  </w:style>
  <w:style w:type="character" w:customStyle="1" w:styleId="11">
    <w:name w:val="EndNote Bibliography Title 字符"/>
    <w:basedOn w:val="6"/>
    <w:link w:val="10"/>
    <w:qFormat/>
    <w:uiPriority w:val="0"/>
    <w:rPr>
      <w:rFonts w:ascii="DengXian" w:hAnsi="DengXian" w:eastAsia="DengXian"/>
      <w:kern w:val="2"/>
      <w:sz w:val="20"/>
    </w:rPr>
  </w:style>
  <w:style w:type="paragraph" w:customStyle="1" w:styleId="12">
    <w:name w:val="EndNote Bibliography"/>
    <w:basedOn w:val="1"/>
    <w:link w:val="13"/>
    <w:qFormat/>
    <w:uiPriority w:val="0"/>
    <w:rPr>
      <w:rFonts w:ascii="DengXian" w:hAnsi="DengXian" w:eastAsia="DengXian"/>
      <w:sz w:val="20"/>
    </w:rPr>
  </w:style>
  <w:style w:type="character" w:customStyle="1" w:styleId="13">
    <w:name w:val="EndNote Bibliography 字符"/>
    <w:basedOn w:val="6"/>
    <w:link w:val="12"/>
    <w:qFormat/>
    <w:uiPriority w:val="0"/>
    <w:rPr>
      <w:rFonts w:ascii="DengXian" w:hAnsi="DengXian" w:eastAsia="DengXian"/>
      <w:kern w:val="2"/>
      <w:sz w:val="20"/>
    </w:rPr>
  </w:style>
  <w:style w:type="character" w:customStyle="1" w:styleId="14">
    <w:name w:val="页眉 字符"/>
    <w:basedOn w:val="6"/>
    <w:link w:val="3"/>
    <w:qFormat/>
    <w:uiPriority w:val="99"/>
    <w:rPr>
      <w:kern w:val="2"/>
      <w:sz w:val="18"/>
      <w:szCs w:val="18"/>
    </w:rPr>
  </w:style>
  <w:style w:type="character" w:customStyle="1" w:styleId="15">
    <w:name w:val="页脚 字符"/>
    <w:basedOn w:val="6"/>
    <w:link w:val="2"/>
    <w:qFormat/>
    <w:uiPriority w:val="99"/>
    <w:rPr>
      <w:kern w:val="2"/>
      <w:sz w:val="18"/>
      <w:szCs w:val="18"/>
    </w:rPr>
  </w:style>
  <w:style w:type="character" w:customStyle="1" w:styleId="16">
    <w:name w:val="Unresolved Mention"/>
    <w:basedOn w:val="6"/>
    <w:semiHidden/>
    <w:unhideWhenUsed/>
    <w:qFormat/>
    <w:uiPriority w:val="99"/>
    <w:rPr>
      <w:color w:val="605E5C"/>
      <w:shd w:val="clear" w:color="auto" w:fill="E1DFDD"/>
    </w:rPr>
  </w:style>
  <w:style w:type="paragraph" w:customStyle="1" w:styleId="17">
    <w:name w:val="Authors Full"/>
    <w:basedOn w:val="1"/>
    <w:qFormat/>
    <w:uiPriority w:val="0"/>
    <w:rPr>
      <w:i/>
      <w:lang w:val="en-US"/>
    </w:rPr>
  </w:style>
  <w:style w:type="paragraph" w:customStyle="1" w:styleId="18">
    <w:name w:val="Table of contents"/>
    <w:basedOn w:val="1"/>
    <w:autoRedefine/>
    <w:qFormat/>
    <w:uiPriority w:val="0"/>
    <w:rPr>
      <w:lang w:val="en-US"/>
    </w:rPr>
  </w:style>
  <w:style w:type="paragraph" w:customStyle="1" w:styleId="19">
    <w:name w:val="Addresses"/>
    <w:basedOn w:val="1"/>
    <w:qFormat/>
    <w:uiPriority w:val="0"/>
    <w:rPr>
      <w:lang w:val="en-US"/>
    </w:rPr>
  </w:style>
  <w:style w:type="paragraph" w:customStyle="1" w:styleId="20">
    <w:name w:val="Title2"/>
    <w:basedOn w:val="1"/>
    <w:qFormat/>
    <w:uiPriority w:val="0"/>
    <w:rPr>
      <w:b/>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tiff"/><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9FBF98BF6CC94499B243157B917A24" ma:contentTypeVersion="12" ma:contentTypeDescription="Create a new document." ma:contentTypeScope="" ma:versionID="21760e470ce639d86267037a15bd96c8">
  <xsd:schema xmlns:xsd="http://www.w3.org/2001/XMLSchema" xmlns:xs="http://www.w3.org/2001/XMLSchema" xmlns:p="http://schemas.microsoft.com/office/2006/metadata/properties" xmlns:ns2="fa72d441-9176-4dd2-845f-aea6e83826b7" xmlns:ns3="effdb0b9-090c-493b-95b3-4f8954546e88" targetNamespace="http://schemas.microsoft.com/office/2006/metadata/properties" ma:root="true" ma:fieldsID="e828dda95d9928ecaab5298b2aa4e32a" ns2:_="" ns3:_="">
    <xsd:import namespace="fa72d441-9176-4dd2-845f-aea6e83826b7"/>
    <xsd:import namespace="effdb0b9-090c-493b-95b3-4f8954546e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2d441-9176-4dd2-845f-aea6e8382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fdb0b9-090c-493b-95b3-4f8954546e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6CE939-8F7F-4B12-82D6-0EBFC13A64D9}">
  <ds:schemaRefs/>
</ds:datastoreItem>
</file>

<file path=customXml/itemProps2.xml><?xml version="1.0" encoding="utf-8"?>
<ds:datastoreItem xmlns:ds="http://schemas.openxmlformats.org/officeDocument/2006/customXml" ds:itemID="{321B07D8-A073-4775-9490-8D428109F7C7}">
  <ds:schemaRefs/>
</ds:datastoreItem>
</file>

<file path=customXml/itemProps3.xml><?xml version="1.0" encoding="utf-8"?>
<ds:datastoreItem xmlns:ds="http://schemas.openxmlformats.org/officeDocument/2006/customXml" ds:itemID="{808F294A-08C2-41F0-A79B-A011871B9B95}">
  <ds:schemaRefs/>
</ds:datastoreItem>
</file>

<file path=docProps/app.xml><?xml version="1.0" encoding="utf-8"?>
<Properties xmlns="http://schemas.openxmlformats.org/officeDocument/2006/extended-properties" xmlns:vt="http://schemas.openxmlformats.org/officeDocument/2006/docPropsVTypes">
  <Template>Normal</Template>
  <Pages>15</Pages>
  <Words>643</Words>
  <Characters>3811</Characters>
  <Lines>31</Lines>
  <Paragraphs>8</Paragraphs>
  <TotalTime>10</TotalTime>
  <ScaleCrop>false</ScaleCrop>
  <LinksUpToDate>false</LinksUpToDate>
  <CharactersWithSpaces>4420</CharactersWithSpaces>
  <Application>WPS Office_12.8.2.20324_F1E327BC-269C-435d-A152-05C5408002CA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2021-02-26T03:38:00Z</dcterms:created>
  <dc:creator>Olivia</dc:creator>
  <cp:lastModifiedBy>陈志刚</cp:lastModifiedBy>
  <dcterms:modified xsi:type="dcterms:W3CDTF">2026-05-13T05:10:00Z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0x010100FD9FBF98BF6CC94499B243157B917A24</vt:lpwstr>
  </property>
  <property fmtid="{D5CDD505-2E9C-101B-9397-08002B2CF9AE}" pid="3" name="KSOTemplateDocerSaveRecord">
    <vt:lpwstr>eyJoZGlkIjoiMjI3NzAwMDBmNWY2ZGE0OTk4YzkzYzMzMzRiNDIyM2IiLCJ1c2VySWQiOiIyOTk1MDcyMzAifQ==</vt:lpwstr>
  </property>
  <property fmtid="{D5CDD505-2E9C-101B-9397-08002B2CF9AE}" pid="4" name="KSOProductBuildVer">
    <vt:lpwstr>2052-12.8.2.20324</vt:lpwstr>
  </property>
  <property fmtid="{D5CDD505-2E9C-101B-9397-08002B2CF9AE}" pid="5" name="ICV">
    <vt:lpwstr>A042690AEEE44D518C5036E321431FB3_13</vt:lpwstr>
  </property>
</Properties>
</file>