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5CD" w14:textId="1C095D13" w:rsidR="00A50329" w:rsidRPr="006907DA" w:rsidRDefault="00A50329" w:rsidP="00A50329">
      <w:pPr>
        <w:pStyle w:val="Heading1"/>
        <w:spacing w:line="240" w:lineRule="auto"/>
        <w:ind w:left="360"/>
        <w:jc w:val="both"/>
        <w:rPr>
          <w:rFonts w:ascii="Times New Roman" w:hAnsi="Times New Roman" w:cs="Times New Roman"/>
          <w:color w:val="000000" w:themeColor="text1"/>
        </w:rPr>
      </w:pPr>
      <w:r w:rsidRPr="006907DA">
        <w:rPr>
          <w:rFonts w:ascii="Times New Roman" w:hAnsi="Times New Roman" w:cs="Times New Roman"/>
          <w:color w:val="000000" w:themeColor="text1"/>
        </w:rPr>
        <w:t>Appendi</w:t>
      </w:r>
      <w:r w:rsidR="00D33FB2" w:rsidRPr="006907DA">
        <w:rPr>
          <w:rFonts w:ascii="Times New Roman" w:hAnsi="Times New Roman" w:cs="Times New Roman"/>
          <w:color w:val="000000" w:themeColor="text1"/>
        </w:rPr>
        <w:t>ces</w:t>
      </w:r>
    </w:p>
    <w:p w14:paraId="1332465F" w14:textId="74224078" w:rsidR="00D33FB2" w:rsidRPr="006907DA" w:rsidRDefault="00D33FB2" w:rsidP="00757A8B">
      <w:pPr>
        <w:pStyle w:val="Heading2"/>
        <w:rPr>
          <w:rFonts w:ascii="Times New Roman" w:hAnsi="Times New Roman" w:cs="Times New Roman"/>
          <w:b/>
          <w:bCs/>
          <w:color w:val="000000" w:themeColor="text1"/>
          <w:sz w:val="24"/>
          <w:szCs w:val="24"/>
        </w:rPr>
      </w:pPr>
      <w:r w:rsidRPr="006907DA">
        <w:rPr>
          <w:rFonts w:ascii="Times New Roman" w:hAnsi="Times New Roman" w:cs="Times New Roman"/>
          <w:b/>
          <w:bCs/>
          <w:color w:val="000000" w:themeColor="text1"/>
          <w:sz w:val="24"/>
          <w:szCs w:val="24"/>
        </w:rPr>
        <w:t>A. Tables and Figures</w:t>
      </w:r>
    </w:p>
    <w:p w14:paraId="301BE809" w14:textId="2B38ABA9" w:rsidR="00A50329" w:rsidRPr="004578C8" w:rsidRDefault="00A50329" w:rsidP="00A50329">
      <w:pPr>
        <w:spacing w:line="240" w:lineRule="auto"/>
      </w:pPr>
    </w:p>
    <w:tbl>
      <w:tblPr>
        <w:tblStyle w:val="GridTable1Light"/>
        <w:tblW w:w="0" w:type="auto"/>
        <w:tblLook w:val="04A0" w:firstRow="1" w:lastRow="0" w:firstColumn="1" w:lastColumn="0" w:noHBand="0" w:noVBand="1"/>
      </w:tblPr>
      <w:tblGrid>
        <w:gridCol w:w="2405"/>
        <w:gridCol w:w="6945"/>
      </w:tblGrid>
      <w:tr w:rsidR="008F5330" w14:paraId="625EADD4" w14:textId="77777777" w:rsidTr="00751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1D1D1" w:themeFill="background2" w:themeFillShade="E6"/>
          </w:tcPr>
          <w:p w14:paraId="4E09A07D" w14:textId="6666760D" w:rsidR="008F5330" w:rsidRDefault="008F5330" w:rsidP="008F5330">
            <w:pPr>
              <w:spacing w:line="240" w:lineRule="auto"/>
              <w:jc w:val="center"/>
            </w:pPr>
            <w:r>
              <w:t>Search String</w:t>
            </w:r>
          </w:p>
        </w:tc>
      </w:tr>
      <w:tr w:rsidR="008F5330" w14:paraId="5CDDC1C6" w14:textId="77777777" w:rsidTr="00751076">
        <w:tc>
          <w:tcPr>
            <w:cnfStyle w:val="001000000000" w:firstRow="0" w:lastRow="0" w:firstColumn="1" w:lastColumn="0" w:oddVBand="0" w:evenVBand="0" w:oddHBand="0" w:evenHBand="0" w:firstRowFirstColumn="0" w:firstRowLastColumn="0" w:lastRowFirstColumn="0" w:lastRowLastColumn="0"/>
            <w:tcW w:w="2405" w:type="dxa"/>
          </w:tcPr>
          <w:p w14:paraId="653F96B9" w14:textId="35EFDBB7" w:rsidR="008F5330" w:rsidRDefault="008F5330" w:rsidP="00A50329">
            <w:pPr>
              <w:spacing w:line="240" w:lineRule="auto"/>
            </w:pPr>
            <w:r>
              <w:t>Clinical Expertise</w:t>
            </w:r>
          </w:p>
        </w:tc>
        <w:tc>
          <w:tcPr>
            <w:tcW w:w="6945" w:type="dxa"/>
          </w:tcPr>
          <w:p w14:paraId="538628F3" w14:textId="49501424" w:rsidR="008F5330" w:rsidRDefault="008F5330" w:rsidP="00A50329">
            <w:pPr>
              <w:spacing w:line="240" w:lineRule="auto"/>
              <w:cnfStyle w:val="000000000000" w:firstRow="0" w:lastRow="0" w:firstColumn="0" w:lastColumn="0" w:oddVBand="0" w:evenVBand="0" w:oddHBand="0" w:evenHBand="0" w:firstRowFirstColumn="0" w:firstRowLastColumn="0" w:lastRowFirstColumn="0" w:lastRowLastColumn="0"/>
            </w:pPr>
            <w:r w:rsidRPr="008F5330">
              <w:t>"clinical expertise"[Title/Abstract] OR "medical expertise"[Title/Abstract] OR "clinical competence"[Title/Abstract] OR "professional expertise"[Title/Abstract] OR "diagnostic expertise"[Title/Abstract] OR "expert performance"[Title/Abstract] OR "clinical reasoning"[Title/Abstract] OR "clinical decision making"[Title/Abstract] OR "expertise development"[Title/Abstract] OR "skill acquisition"[Title/Abstract] OR "deliberate practice"[Title/Abstract]</w:t>
            </w:r>
          </w:p>
        </w:tc>
      </w:tr>
      <w:tr w:rsidR="008F5330" w14:paraId="4B906C34" w14:textId="77777777" w:rsidTr="00751076">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1D1D1" w:themeFill="background2" w:themeFillShade="E6"/>
          </w:tcPr>
          <w:p w14:paraId="6E18E184" w14:textId="40D01BE7" w:rsidR="008F5330" w:rsidRDefault="008F5330" w:rsidP="008F5330">
            <w:pPr>
              <w:spacing w:line="240" w:lineRule="auto"/>
              <w:jc w:val="center"/>
            </w:pPr>
            <w:r>
              <w:t>AND</w:t>
            </w:r>
          </w:p>
        </w:tc>
      </w:tr>
      <w:tr w:rsidR="008F5330" w14:paraId="0DBAC1DD" w14:textId="77777777" w:rsidTr="00751076">
        <w:tc>
          <w:tcPr>
            <w:cnfStyle w:val="001000000000" w:firstRow="0" w:lastRow="0" w:firstColumn="1" w:lastColumn="0" w:oddVBand="0" w:evenVBand="0" w:oddHBand="0" w:evenHBand="0" w:firstRowFirstColumn="0" w:firstRowLastColumn="0" w:lastRowFirstColumn="0" w:lastRowLastColumn="0"/>
            <w:tcW w:w="2405" w:type="dxa"/>
          </w:tcPr>
          <w:p w14:paraId="7E93EC44" w14:textId="041B5494" w:rsidR="008F5330" w:rsidRDefault="008F5330" w:rsidP="00A50329">
            <w:pPr>
              <w:spacing w:line="240" w:lineRule="auto"/>
            </w:pPr>
            <w:r>
              <w:t>Medical Education</w:t>
            </w:r>
          </w:p>
        </w:tc>
        <w:tc>
          <w:tcPr>
            <w:tcW w:w="6945" w:type="dxa"/>
          </w:tcPr>
          <w:p w14:paraId="0BDBE3B1" w14:textId="131E132D" w:rsidR="008F5330" w:rsidRDefault="008F5330" w:rsidP="00A50329">
            <w:pPr>
              <w:spacing w:line="240" w:lineRule="auto"/>
              <w:cnfStyle w:val="000000000000" w:firstRow="0" w:lastRow="0" w:firstColumn="0" w:lastColumn="0" w:oddVBand="0" w:evenVBand="0" w:oddHBand="0" w:evenHBand="0" w:firstRowFirstColumn="0" w:firstRowLastColumn="0" w:lastRowFirstColumn="0" w:lastRowLastColumn="0"/>
            </w:pPr>
            <w:r w:rsidRPr="008F5330">
              <w:t>"</w:t>
            </w:r>
            <w:proofErr w:type="gramStart"/>
            <w:r w:rsidRPr="008F5330">
              <w:t>medical</w:t>
            </w:r>
            <w:proofErr w:type="gramEnd"/>
            <w:r w:rsidRPr="008F5330">
              <w:t xml:space="preserve"> training"[Title/Abstract] OR "medical education"[Title/Abstract] OR "medical school"[Title/Abstract] OR "residency training"[Title/Abstract] OR "graduate medical education"[Title/Abstract] OR "clinical training"[Title/Abstract] OR "medical curriculum"[Title/Abstract] OR "undergraduate medical education"[Title/Abstract] OR "postgraduate medical education"[Title/Abstract]</w:t>
            </w:r>
          </w:p>
        </w:tc>
      </w:tr>
      <w:tr w:rsidR="008F5330" w14:paraId="6CEA95B7" w14:textId="77777777" w:rsidTr="00751076">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1D1D1" w:themeFill="background2" w:themeFillShade="E6"/>
          </w:tcPr>
          <w:p w14:paraId="701B9330" w14:textId="40DA91A5" w:rsidR="008F5330" w:rsidRDefault="008F5330" w:rsidP="008F5330">
            <w:pPr>
              <w:spacing w:line="240" w:lineRule="auto"/>
              <w:jc w:val="center"/>
            </w:pPr>
            <w:r>
              <w:t>NOT</w:t>
            </w:r>
          </w:p>
        </w:tc>
      </w:tr>
      <w:tr w:rsidR="008F5330" w14:paraId="3553EFDC" w14:textId="77777777" w:rsidTr="00751076">
        <w:tc>
          <w:tcPr>
            <w:cnfStyle w:val="001000000000" w:firstRow="0" w:lastRow="0" w:firstColumn="1" w:lastColumn="0" w:oddVBand="0" w:evenVBand="0" w:oddHBand="0" w:evenHBand="0" w:firstRowFirstColumn="0" w:firstRowLastColumn="0" w:lastRowFirstColumn="0" w:lastRowLastColumn="0"/>
            <w:tcW w:w="2405" w:type="dxa"/>
          </w:tcPr>
          <w:p w14:paraId="23FF538E" w14:textId="693336F0" w:rsidR="008F5330" w:rsidRDefault="008F5330" w:rsidP="00A50329">
            <w:pPr>
              <w:spacing w:line="240" w:lineRule="auto"/>
            </w:pPr>
            <w:r>
              <w:t>Exclusions</w:t>
            </w:r>
          </w:p>
        </w:tc>
        <w:tc>
          <w:tcPr>
            <w:tcW w:w="6945" w:type="dxa"/>
          </w:tcPr>
          <w:p w14:paraId="1535358C" w14:textId="5A53F9C2" w:rsidR="008F5330" w:rsidRDefault="008F5330" w:rsidP="00CF1165">
            <w:pPr>
              <w:keepNext/>
              <w:spacing w:line="240" w:lineRule="auto"/>
              <w:cnfStyle w:val="000000000000" w:firstRow="0" w:lastRow="0" w:firstColumn="0" w:lastColumn="0" w:oddVBand="0" w:evenVBand="0" w:oddHBand="0" w:evenHBand="0" w:firstRowFirstColumn="0" w:firstRowLastColumn="0" w:lastRowFirstColumn="0" w:lastRowLastColumn="0"/>
            </w:pPr>
            <w:proofErr w:type="spellStart"/>
            <w:r w:rsidRPr="008F5330">
              <w:t>nurs</w:t>
            </w:r>
            <w:proofErr w:type="spellEnd"/>
            <w:r w:rsidRPr="008F5330">
              <w:t xml:space="preserve">* OR </w:t>
            </w:r>
            <w:proofErr w:type="spellStart"/>
            <w:r w:rsidRPr="008F5330">
              <w:t>cardiol</w:t>
            </w:r>
            <w:proofErr w:type="spellEnd"/>
            <w:r w:rsidRPr="008F5330">
              <w:t xml:space="preserve">* OR neurol* OR </w:t>
            </w:r>
            <w:proofErr w:type="spellStart"/>
            <w:r w:rsidRPr="008F5330">
              <w:t>psychiat</w:t>
            </w:r>
            <w:proofErr w:type="spellEnd"/>
            <w:r w:rsidRPr="008F5330">
              <w:t xml:space="preserve">* OR surg* OR surgical* OR pediatric* OR </w:t>
            </w:r>
            <w:proofErr w:type="spellStart"/>
            <w:r w:rsidRPr="008F5330">
              <w:t>oncolog</w:t>
            </w:r>
            <w:proofErr w:type="spellEnd"/>
            <w:r w:rsidRPr="008F5330">
              <w:t xml:space="preserve">* OR </w:t>
            </w:r>
            <w:proofErr w:type="spellStart"/>
            <w:r w:rsidRPr="008F5330">
              <w:t>radiol</w:t>
            </w:r>
            <w:proofErr w:type="spellEnd"/>
            <w:r w:rsidRPr="008F5330">
              <w:t xml:space="preserve">* OR </w:t>
            </w:r>
            <w:proofErr w:type="spellStart"/>
            <w:r w:rsidRPr="008F5330">
              <w:t>anesthesiol</w:t>
            </w:r>
            <w:proofErr w:type="spellEnd"/>
            <w:r w:rsidRPr="008F5330">
              <w:t xml:space="preserve">* OR </w:t>
            </w:r>
            <w:proofErr w:type="spellStart"/>
            <w:r w:rsidRPr="008F5330">
              <w:t>orthoped</w:t>
            </w:r>
            <w:proofErr w:type="spellEnd"/>
            <w:r w:rsidRPr="008F5330">
              <w:t xml:space="preserve">* OR </w:t>
            </w:r>
            <w:proofErr w:type="spellStart"/>
            <w:r w:rsidRPr="008F5330">
              <w:t>dermatol</w:t>
            </w:r>
            <w:proofErr w:type="spellEnd"/>
            <w:r w:rsidRPr="008F5330">
              <w:t xml:space="preserve">* OR </w:t>
            </w:r>
            <w:proofErr w:type="spellStart"/>
            <w:r w:rsidRPr="008F5330">
              <w:t>ophthalmol</w:t>
            </w:r>
            <w:proofErr w:type="spellEnd"/>
            <w:r w:rsidRPr="008F5330">
              <w:t xml:space="preserve">* OR </w:t>
            </w:r>
            <w:proofErr w:type="spellStart"/>
            <w:r w:rsidRPr="008F5330">
              <w:t>otolaryngol</w:t>
            </w:r>
            <w:proofErr w:type="spellEnd"/>
            <w:r w:rsidRPr="008F5330">
              <w:t xml:space="preserve">* OR </w:t>
            </w:r>
            <w:proofErr w:type="spellStart"/>
            <w:r w:rsidRPr="008F5330">
              <w:t>urolog</w:t>
            </w:r>
            <w:proofErr w:type="spellEnd"/>
            <w:r w:rsidRPr="008F5330">
              <w:t xml:space="preserve">* OR gastroenterol* OR </w:t>
            </w:r>
            <w:proofErr w:type="spellStart"/>
            <w:r w:rsidRPr="008F5330">
              <w:t>pulmonol</w:t>
            </w:r>
            <w:proofErr w:type="spellEnd"/>
            <w:r w:rsidRPr="008F5330">
              <w:t xml:space="preserve">* OR </w:t>
            </w:r>
            <w:proofErr w:type="spellStart"/>
            <w:r w:rsidRPr="008F5330">
              <w:t>nephrol</w:t>
            </w:r>
            <w:proofErr w:type="spellEnd"/>
            <w:r w:rsidRPr="008F5330">
              <w:t xml:space="preserve">* OR </w:t>
            </w:r>
            <w:proofErr w:type="spellStart"/>
            <w:r w:rsidRPr="008F5330">
              <w:t>endocrinol</w:t>
            </w:r>
            <w:proofErr w:type="spellEnd"/>
            <w:r w:rsidRPr="008F5330">
              <w:t xml:space="preserve">* OR </w:t>
            </w:r>
            <w:proofErr w:type="spellStart"/>
            <w:r w:rsidRPr="008F5330">
              <w:t>rheumatol</w:t>
            </w:r>
            <w:proofErr w:type="spellEnd"/>
            <w:r w:rsidRPr="008F5330">
              <w:t xml:space="preserve">* OR </w:t>
            </w:r>
            <w:proofErr w:type="spellStart"/>
            <w:r w:rsidRPr="008F5330">
              <w:t>hematol</w:t>
            </w:r>
            <w:proofErr w:type="spellEnd"/>
            <w:r w:rsidRPr="008F5330">
              <w:t>* OR dent* OR emergency</w:t>
            </w:r>
          </w:p>
        </w:tc>
      </w:tr>
    </w:tbl>
    <w:p w14:paraId="75B221EF" w14:textId="1FC3BAC8" w:rsidR="00CF1165" w:rsidRPr="00CF1165" w:rsidRDefault="00CF1165" w:rsidP="00CF1165">
      <w:pPr>
        <w:pStyle w:val="Caption"/>
        <w:jc w:val="center"/>
        <w:rPr>
          <w:color w:val="000000" w:themeColor="text1"/>
        </w:rPr>
      </w:pPr>
      <w:r w:rsidRPr="00CF1165">
        <w:rPr>
          <w:color w:val="000000" w:themeColor="text1"/>
        </w:rPr>
        <w:t xml:space="preserve">Table </w:t>
      </w:r>
      <w:r w:rsidRPr="00CF1165">
        <w:rPr>
          <w:color w:val="000000" w:themeColor="text1"/>
        </w:rPr>
        <w:fldChar w:fldCharType="begin"/>
      </w:r>
      <w:r w:rsidRPr="00CF1165">
        <w:rPr>
          <w:color w:val="000000" w:themeColor="text1"/>
        </w:rPr>
        <w:instrText xml:space="preserve"> SEQ Table \* ARABIC </w:instrText>
      </w:r>
      <w:r w:rsidRPr="00CF1165">
        <w:rPr>
          <w:color w:val="000000" w:themeColor="text1"/>
        </w:rPr>
        <w:fldChar w:fldCharType="separate"/>
      </w:r>
      <w:r w:rsidR="00B452BA">
        <w:rPr>
          <w:noProof/>
          <w:color w:val="000000" w:themeColor="text1"/>
        </w:rPr>
        <w:t>1</w:t>
      </w:r>
      <w:r w:rsidRPr="00CF1165">
        <w:rPr>
          <w:color w:val="000000" w:themeColor="text1"/>
        </w:rPr>
        <w:fldChar w:fldCharType="end"/>
      </w:r>
      <w:r w:rsidRPr="00CF1165">
        <w:rPr>
          <w:color w:val="000000" w:themeColor="text1"/>
        </w:rPr>
        <w:t>: Utilized Boolean Search String</w:t>
      </w:r>
    </w:p>
    <w:p w14:paraId="2E7CBB4A" w14:textId="43E2CBF9" w:rsidR="00A50329" w:rsidRPr="00581F36" w:rsidRDefault="00A50329" w:rsidP="00A50329">
      <w:pPr>
        <w:spacing w:line="240" w:lineRule="auto"/>
      </w:pPr>
    </w:p>
    <w:p w14:paraId="0229D589" w14:textId="4E7ED0BF" w:rsidR="00A50329" w:rsidRPr="00581F36" w:rsidRDefault="00A50329" w:rsidP="00A50329">
      <w:pPr>
        <w:spacing w:line="240" w:lineRule="auto"/>
      </w:pPr>
    </w:p>
    <w:p w14:paraId="19F19F78" w14:textId="77777777" w:rsidR="00A50329" w:rsidRPr="00581F36" w:rsidRDefault="00A50329" w:rsidP="00A50329">
      <w:pPr>
        <w:spacing w:line="240" w:lineRule="auto"/>
      </w:pPr>
    </w:p>
    <w:p w14:paraId="657F88FF" w14:textId="77777777" w:rsidR="00A50329" w:rsidRPr="00581F36" w:rsidRDefault="00A50329" w:rsidP="00A50329">
      <w:pPr>
        <w:spacing w:line="240" w:lineRule="auto"/>
      </w:pPr>
    </w:p>
    <w:p w14:paraId="68B79DA3" w14:textId="77777777" w:rsidR="00A50329" w:rsidRPr="00581F36" w:rsidRDefault="00A50329" w:rsidP="00A50329">
      <w:pPr>
        <w:spacing w:line="240" w:lineRule="auto"/>
      </w:pPr>
    </w:p>
    <w:p w14:paraId="672771D8" w14:textId="77777777" w:rsidR="00A50329" w:rsidRPr="00581F36" w:rsidRDefault="00A50329" w:rsidP="00A50329">
      <w:pPr>
        <w:spacing w:line="240" w:lineRule="auto"/>
      </w:pPr>
    </w:p>
    <w:p w14:paraId="6F47606E" w14:textId="77777777" w:rsidR="00A50329" w:rsidRPr="00581F36" w:rsidRDefault="00A50329" w:rsidP="00A50329">
      <w:pPr>
        <w:spacing w:line="240" w:lineRule="auto"/>
      </w:pPr>
    </w:p>
    <w:p w14:paraId="204B4A8F" w14:textId="204A1C9D" w:rsidR="00A50329" w:rsidRPr="00581F36" w:rsidRDefault="00A50329" w:rsidP="00A50329">
      <w:pPr>
        <w:spacing w:line="240" w:lineRule="auto"/>
      </w:pPr>
    </w:p>
    <w:tbl>
      <w:tblPr>
        <w:tblStyle w:val="TableGrid"/>
        <w:tblpPr w:leftFromText="180" w:rightFromText="180" w:vertAnchor="page" w:horzAnchor="margin" w:tblpXSpec="center" w:tblpY="1498"/>
        <w:tblW w:w="5596" w:type="dxa"/>
        <w:tblLook w:val="04A0" w:firstRow="1" w:lastRow="0" w:firstColumn="1" w:lastColumn="0" w:noHBand="0" w:noVBand="1"/>
      </w:tblPr>
      <w:tblGrid>
        <w:gridCol w:w="1572"/>
        <w:gridCol w:w="2680"/>
        <w:gridCol w:w="1344"/>
      </w:tblGrid>
      <w:tr w:rsidR="00D56F4C" w:rsidRPr="00692049" w14:paraId="519B4406" w14:textId="77777777" w:rsidTr="00D56F4C">
        <w:trPr>
          <w:trHeight w:val="340"/>
        </w:trPr>
        <w:tc>
          <w:tcPr>
            <w:tcW w:w="1572" w:type="dxa"/>
            <w:shd w:val="clear" w:color="auto" w:fill="D9D9D9" w:themeFill="background1" w:themeFillShade="D9"/>
            <w:noWrap/>
            <w:hideMark/>
          </w:tcPr>
          <w:p w14:paraId="522EA9F8" w14:textId="77777777" w:rsidR="00D56F4C" w:rsidRPr="00E61D23" w:rsidRDefault="00D56F4C" w:rsidP="00D56F4C">
            <w:pPr>
              <w:jc w:val="center"/>
              <w:rPr>
                <w:rFonts w:ascii="Aptos Narrow" w:hAnsi="Aptos Narrow"/>
                <w:b/>
                <w:bCs/>
                <w:color w:val="000000" w:themeColor="text1"/>
              </w:rPr>
            </w:pPr>
            <w:r w:rsidRPr="00E61D23">
              <w:rPr>
                <w:rFonts w:ascii="Aptos Narrow" w:hAnsi="Aptos Narrow"/>
                <w:b/>
                <w:bCs/>
                <w:color w:val="000000" w:themeColor="text1"/>
              </w:rPr>
              <w:lastRenderedPageBreak/>
              <w:t>Geographic Origin</w:t>
            </w:r>
          </w:p>
        </w:tc>
        <w:tc>
          <w:tcPr>
            <w:tcW w:w="2680" w:type="dxa"/>
            <w:shd w:val="clear" w:color="auto" w:fill="D9D9D9" w:themeFill="background1" w:themeFillShade="D9"/>
            <w:noWrap/>
            <w:hideMark/>
          </w:tcPr>
          <w:p w14:paraId="633B82A2" w14:textId="5ED9537F" w:rsidR="00D56F4C" w:rsidRPr="00E61D23" w:rsidRDefault="00D56F4C" w:rsidP="00D56F4C">
            <w:pPr>
              <w:jc w:val="center"/>
              <w:rPr>
                <w:rFonts w:ascii="Aptos Narrow" w:hAnsi="Aptos Narrow"/>
                <w:b/>
                <w:bCs/>
                <w:color w:val="000000" w:themeColor="text1"/>
              </w:rPr>
            </w:pPr>
            <w:r w:rsidRPr="00E61D23">
              <w:rPr>
                <w:rFonts w:ascii="Aptos Narrow" w:hAnsi="Aptos Narrow"/>
                <w:b/>
                <w:bCs/>
                <w:color w:val="000000" w:themeColor="text1"/>
              </w:rPr>
              <w:t>Number of Articles</w:t>
            </w:r>
          </w:p>
        </w:tc>
        <w:tc>
          <w:tcPr>
            <w:tcW w:w="1344" w:type="dxa"/>
            <w:shd w:val="clear" w:color="auto" w:fill="D9D9D9" w:themeFill="background1" w:themeFillShade="D9"/>
            <w:noWrap/>
            <w:hideMark/>
          </w:tcPr>
          <w:p w14:paraId="7D0F5E22" w14:textId="77777777" w:rsidR="00D56F4C" w:rsidRPr="00E61D23" w:rsidRDefault="00D56F4C" w:rsidP="00D56F4C">
            <w:pPr>
              <w:jc w:val="center"/>
              <w:rPr>
                <w:rFonts w:ascii="Aptos Narrow" w:hAnsi="Aptos Narrow"/>
                <w:b/>
                <w:bCs/>
                <w:color w:val="000000" w:themeColor="text1"/>
              </w:rPr>
            </w:pPr>
            <w:r w:rsidRPr="00E61D23">
              <w:rPr>
                <w:rFonts w:ascii="Aptos Narrow" w:hAnsi="Aptos Narrow"/>
                <w:b/>
                <w:bCs/>
                <w:color w:val="000000" w:themeColor="text1"/>
              </w:rPr>
              <w:t>Percentage</w:t>
            </w:r>
          </w:p>
        </w:tc>
      </w:tr>
      <w:tr w:rsidR="00D56F4C" w:rsidRPr="00692049" w14:paraId="02DAEC91" w14:textId="77777777" w:rsidTr="00D56F4C">
        <w:trPr>
          <w:trHeight w:val="340"/>
        </w:trPr>
        <w:tc>
          <w:tcPr>
            <w:tcW w:w="1572" w:type="dxa"/>
            <w:noWrap/>
            <w:hideMark/>
          </w:tcPr>
          <w:p w14:paraId="4C8D75D1" w14:textId="77777777" w:rsidR="00D56F4C" w:rsidRPr="00692049" w:rsidRDefault="00D56F4C" w:rsidP="00D56F4C">
            <w:pPr>
              <w:jc w:val="center"/>
              <w:rPr>
                <w:rFonts w:ascii="Aptos Narrow" w:hAnsi="Aptos Narrow"/>
                <w:b/>
                <w:bCs/>
                <w:color w:val="000000"/>
              </w:rPr>
            </w:pPr>
            <w:r w:rsidRPr="00692049">
              <w:rPr>
                <w:rFonts w:ascii="Aptos Narrow" w:hAnsi="Aptos Narrow"/>
                <w:b/>
                <w:bCs/>
                <w:color w:val="000000"/>
              </w:rPr>
              <w:t>Europe</w:t>
            </w:r>
          </w:p>
        </w:tc>
        <w:tc>
          <w:tcPr>
            <w:tcW w:w="2680" w:type="dxa"/>
            <w:noWrap/>
            <w:hideMark/>
          </w:tcPr>
          <w:p w14:paraId="69EDB262" w14:textId="0802520B" w:rsidR="00D56F4C" w:rsidRPr="00692049" w:rsidRDefault="00D56F4C" w:rsidP="00D56F4C">
            <w:pPr>
              <w:jc w:val="center"/>
              <w:rPr>
                <w:rFonts w:ascii="Aptos Narrow" w:hAnsi="Aptos Narrow"/>
                <w:color w:val="000000"/>
              </w:rPr>
            </w:pPr>
            <w:r w:rsidRPr="00692049">
              <w:rPr>
                <w:rFonts w:ascii="Aptos Narrow" w:hAnsi="Aptos Narrow"/>
                <w:color w:val="000000"/>
              </w:rPr>
              <w:t>38</w:t>
            </w:r>
          </w:p>
        </w:tc>
        <w:tc>
          <w:tcPr>
            <w:tcW w:w="1344" w:type="dxa"/>
            <w:noWrap/>
            <w:hideMark/>
          </w:tcPr>
          <w:p w14:paraId="5EE1432D" w14:textId="77777777" w:rsidR="00D56F4C" w:rsidRPr="00692049" w:rsidRDefault="00D56F4C" w:rsidP="00D56F4C">
            <w:pPr>
              <w:jc w:val="center"/>
              <w:rPr>
                <w:rFonts w:ascii="Aptos Narrow" w:hAnsi="Aptos Narrow"/>
                <w:color w:val="000000"/>
              </w:rPr>
            </w:pPr>
            <w:r w:rsidRPr="00692049">
              <w:rPr>
                <w:rFonts w:ascii="Aptos Narrow" w:hAnsi="Aptos Narrow"/>
                <w:color w:val="000000"/>
              </w:rPr>
              <w:t>55.1</w:t>
            </w:r>
          </w:p>
        </w:tc>
      </w:tr>
      <w:tr w:rsidR="00D56F4C" w:rsidRPr="00692049" w14:paraId="24C2EB45" w14:textId="77777777" w:rsidTr="00D56F4C">
        <w:trPr>
          <w:trHeight w:val="340"/>
        </w:trPr>
        <w:tc>
          <w:tcPr>
            <w:tcW w:w="1572" w:type="dxa"/>
            <w:noWrap/>
            <w:hideMark/>
          </w:tcPr>
          <w:p w14:paraId="23B23AA3" w14:textId="77777777" w:rsidR="00D56F4C" w:rsidRPr="00692049" w:rsidRDefault="00D56F4C" w:rsidP="00D56F4C">
            <w:pPr>
              <w:jc w:val="center"/>
              <w:rPr>
                <w:rFonts w:ascii="Aptos Narrow" w:hAnsi="Aptos Narrow"/>
                <w:b/>
                <w:bCs/>
                <w:color w:val="000000"/>
              </w:rPr>
            </w:pPr>
            <w:r w:rsidRPr="00692049">
              <w:rPr>
                <w:rFonts w:ascii="Aptos Narrow" w:hAnsi="Aptos Narrow"/>
                <w:b/>
                <w:bCs/>
                <w:color w:val="000000"/>
              </w:rPr>
              <w:t>North America</w:t>
            </w:r>
          </w:p>
        </w:tc>
        <w:tc>
          <w:tcPr>
            <w:tcW w:w="2680" w:type="dxa"/>
            <w:noWrap/>
            <w:hideMark/>
          </w:tcPr>
          <w:p w14:paraId="07804F65" w14:textId="38A8039D" w:rsidR="00D56F4C" w:rsidRPr="00692049" w:rsidRDefault="00D56F4C" w:rsidP="00D56F4C">
            <w:pPr>
              <w:jc w:val="center"/>
              <w:rPr>
                <w:rFonts w:ascii="Aptos Narrow" w:hAnsi="Aptos Narrow"/>
                <w:color w:val="000000"/>
              </w:rPr>
            </w:pPr>
            <w:r w:rsidRPr="00692049">
              <w:rPr>
                <w:rFonts w:ascii="Aptos Narrow" w:hAnsi="Aptos Narrow"/>
                <w:color w:val="000000"/>
              </w:rPr>
              <w:t>2</w:t>
            </w:r>
            <w:r>
              <w:rPr>
                <w:rFonts w:ascii="Aptos Narrow" w:hAnsi="Aptos Narrow"/>
                <w:color w:val="000000"/>
              </w:rPr>
              <w:t>2</w:t>
            </w:r>
          </w:p>
        </w:tc>
        <w:tc>
          <w:tcPr>
            <w:tcW w:w="1344" w:type="dxa"/>
            <w:noWrap/>
            <w:hideMark/>
          </w:tcPr>
          <w:p w14:paraId="60728771" w14:textId="77777777" w:rsidR="00D56F4C" w:rsidRPr="00692049" w:rsidRDefault="00D56F4C" w:rsidP="00D56F4C">
            <w:pPr>
              <w:jc w:val="center"/>
              <w:rPr>
                <w:rFonts w:ascii="Aptos Narrow" w:hAnsi="Aptos Narrow"/>
                <w:color w:val="000000"/>
              </w:rPr>
            </w:pPr>
            <w:r w:rsidRPr="00692049">
              <w:rPr>
                <w:rFonts w:ascii="Aptos Narrow" w:hAnsi="Aptos Narrow"/>
                <w:color w:val="000000"/>
              </w:rPr>
              <w:t>31.9</w:t>
            </w:r>
          </w:p>
        </w:tc>
      </w:tr>
      <w:tr w:rsidR="00D56F4C" w:rsidRPr="00692049" w14:paraId="692A82F7" w14:textId="77777777" w:rsidTr="00D56F4C">
        <w:trPr>
          <w:trHeight w:val="340"/>
        </w:trPr>
        <w:tc>
          <w:tcPr>
            <w:tcW w:w="1572" w:type="dxa"/>
            <w:noWrap/>
            <w:hideMark/>
          </w:tcPr>
          <w:p w14:paraId="64C87B26" w14:textId="77777777" w:rsidR="00D56F4C" w:rsidRPr="00692049" w:rsidRDefault="00D56F4C" w:rsidP="00D56F4C">
            <w:pPr>
              <w:jc w:val="center"/>
              <w:rPr>
                <w:rFonts w:ascii="Aptos Narrow" w:hAnsi="Aptos Narrow"/>
                <w:b/>
                <w:bCs/>
                <w:color w:val="000000"/>
              </w:rPr>
            </w:pPr>
            <w:r w:rsidRPr="00692049">
              <w:rPr>
                <w:rFonts w:ascii="Aptos Narrow" w:hAnsi="Aptos Narrow"/>
                <w:b/>
                <w:bCs/>
                <w:color w:val="000000"/>
              </w:rPr>
              <w:t>Asia</w:t>
            </w:r>
          </w:p>
        </w:tc>
        <w:tc>
          <w:tcPr>
            <w:tcW w:w="2680" w:type="dxa"/>
            <w:noWrap/>
            <w:hideMark/>
          </w:tcPr>
          <w:p w14:paraId="7A294CC6" w14:textId="79515EEE" w:rsidR="00D56F4C" w:rsidRPr="00692049" w:rsidRDefault="00D56F4C" w:rsidP="00D56F4C">
            <w:pPr>
              <w:jc w:val="center"/>
              <w:rPr>
                <w:rFonts w:ascii="Aptos Narrow" w:hAnsi="Aptos Narrow"/>
                <w:color w:val="000000"/>
              </w:rPr>
            </w:pPr>
            <w:r w:rsidRPr="00692049">
              <w:rPr>
                <w:rFonts w:ascii="Aptos Narrow" w:hAnsi="Aptos Narrow"/>
                <w:color w:val="000000"/>
              </w:rPr>
              <w:t>4</w:t>
            </w:r>
          </w:p>
        </w:tc>
        <w:tc>
          <w:tcPr>
            <w:tcW w:w="1344" w:type="dxa"/>
            <w:noWrap/>
            <w:hideMark/>
          </w:tcPr>
          <w:p w14:paraId="1D733E52" w14:textId="77777777" w:rsidR="00D56F4C" w:rsidRPr="00692049" w:rsidRDefault="00D56F4C" w:rsidP="00D56F4C">
            <w:pPr>
              <w:jc w:val="center"/>
              <w:rPr>
                <w:rFonts w:ascii="Aptos Narrow" w:hAnsi="Aptos Narrow"/>
                <w:color w:val="000000"/>
              </w:rPr>
            </w:pPr>
            <w:r w:rsidRPr="00692049">
              <w:rPr>
                <w:rFonts w:ascii="Aptos Narrow" w:hAnsi="Aptos Narrow"/>
                <w:color w:val="000000"/>
              </w:rPr>
              <w:t>5.8</w:t>
            </w:r>
          </w:p>
        </w:tc>
      </w:tr>
      <w:tr w:rsidR="00D56F4C" w:rsidRPr="00692049" w14:paraId="66D677BC" w14:textId="77777777" w:rsidTr="00D56F4C">
        <w:trPr>
          <w:trHeight w:val="340"/>
        </w:trPr>
        <w:tc>
          <w:tcPr>
            <w:tcW w:w="1572" w:type="dxa"/>
            <w:noWrap/>
            <w:hideMark/>
          </w:tcPr>
          <w:p w14:paraId="1EEF19E5" w14:textId="77777777" w:rsidR="00D56F4C" w:rsidRPr="00692049" w:rsidRDefault="00D56F4C" w:rsidP="00D56F4C">
            <w:pPr>
              <w:jc w:val="center"/>
              <w:rPr>
                <w:rFonts w:ascii="Aptos Narrow" w:hAnsi="Aptos Narrow"/>
                <w:b/>
                <w:bCs/>
                <w:color w:val="000000"/>
              </w:rPr>
            </w:pPr>
            <w:r w:rsidRPr="00692049">
              <w:rPr>
                <w:rFonts w:ascii="Aptos Narrow" w:hAnsi="Aptos Narrow"/>
                <w:b/>
                <w:bCs/>
                <w:color w:val="000000"/>
              </w:rPr>
              <w:t>Oceania</w:t>
            </w:r>
          </w:p>
        </w:tc>
        <w:tc>
          <w:tcPr>
            <w:tcW w:w="2680" w:type="dxa"/>
            <w:noWrap/>
            <w:hideMark/>
          </w:tcPr>
          <w:p w14:paraId="55C129B3" w14:textId="6636E314" w:rsidR="00D56F4C" w:rsidRPr="00692049" w:rsidRDefault="00D56F4C" w:rsidP="00D56F4C">
            <w:pPr>
              <w:jc w:val="center"/>
              <w:rPr>
                <w:rFonts w:ascii="Aptos Narrow" w:hAnsi="Aptos Narrow"/>
                <w:color w:val="000000"/>
              </w:rPr>
            </w:pPr>
            <w:r w:rsidRPr="00692049">
              <w:rPr>
                <w:rFonts w:ascii="Aptos Narrow" w:hAnsi="Aptos Narrow"/>
                <w:color w:val="000000"/>
              </w:rPr>
              <w:t>4</w:t>
            </w:r>
          </w:p>
        </w:tc>
        <w:tc>
          <w:tcPr>
            <w:tcW w:w="1344" w:type="dxa"/>
            <w:noWrap/>
            <w:hideMark/>
          </w:tcPr>
          <w:p w14:paraId="6E69AB1D" w14:textId="77777777" w:rsidR="00D56F4C" w:rsidRPr="00692049" w:rsidRDefault="00D56F4C" w:rsidP="00D56F4C">
            <w:pPr>
              <w:jc w:val="center"/>
              <w:rPr>
                <w:rFonts w:ascii="Aptos Narrow" w:hAnsi="Aptos Narrow"/>
                <w:color w:val="000000"/>
              </w:rPr>
            </w:pPr>
            <w:r w:rsidRPr="00692049">
              <w:rPr>
                <w:rFonts w:ascii="Aptos Narrow" w:hAnsi="Aptos Narrow"/>
                <w:color w:val="000000"/>
              </w:rPr>
              <w:t>5.8</w:t>
            </w:r>
          </w:p>
        </w:tc>
      </w:tr>
      <w:tr w:rsidR="00D56F4C" w:rsidRPr="00692049" w14:paraId="71056B46" w14:textId="77777777" w:rsidTr="00D56F4C">
        <w:trPr>
          <w:trHeight w:val="340"/>
        </w:trPr>
        <w:tc>
          <w:tcPr>
            <w:tcW w:w="1572" w:type="dxa"/>
            <w:noWrap/>
            <w:hideMark/>
          </w:tcPr>
          <w:p w14:paraId="4CBC5F68" w14:textId="77777777" w:rsidR="00D56F4C" w:rsidRPr="00692049" w:rsidRDefault="00D56F4C" w:rsidP="00D56F4C">
            <w:pPr>
              <w:jc w:val="center"/>
              <w:rPr>
                <w:rFonts w:ascii="Aptos Narrow" w:hAnsi="Aptos Narrow"/>
                <w:b/>
                <w:bCs/>
                <w:color w:val="000000"/>
              </w:rPr>
            </w:pPr>
            <w:r w:rsidRPr="00692049">
              <w:rPr>
                <w:rFonts w:ascii="Aptos Narrow" w:hAnsi="Aptos Narrow"/>
                <w:b/>
                <w:bCs/>
                <w:color w:val="000000"/>
              </w:rPr>
              <w:t>Middle East</w:t>
            </w:r>
          </w:p>
        </w:tc>
        <w:tc>
          <w:tcPr>
            <w:tcW w:w="2680" w:type="dxa"/>
            <w:noWrap/>
            <w:hideMark/>
          </w:tcPr>
          <w:p w14:paraId="71A4F923" w14:textId="5A7D5261" w:rsidR="00D56F4C" w:rsidRPr="00692049" w:rsidRDefault="00D56F4C" w:rsidP="00D56F4C">
            <w:pPr>
              <w:jc w:val="center"/>
              <w:rPr>
                <w:rFonts w:ascii="Aptos Narrow" w:hAnsi="Aptos Narrow"/>
                <w:color w:val="000000"/>
              </w:rPr>
            </w:pPr>
            <w:r w:rsidRPr="00692049">
              <w:rPr>
                <w:rFonts w:ascii="Aptos Narrow" w:hAnsi="Aptos Narrow"/>
                <w:color w:val="000000"/>
              </w:rPr>
              <w:t>1</w:t>
            </w:r>
          </w:p>
        </w:tc>
        <w:tc>
          <w:tcPr>
            <w:tcW w:w="1344" w:type="dxa"/>
            <w:noWrap/>
            <w:hideMark/>
          </w:tcPr>
          <w:p w14:paraId="60F6A42E" w14:textId="77777777" w:rsidR="00D56F4C" w:rsidRPr="00692049" w:rsidRDefault="00D56F4C" w:rsidP="00D56F4C">
            <w:pPr>
              <w:jc w:val="center"/>
              <w:rPr>
                <w:rFonts w:ascii="Aptos Narrow" w:hAnsi="Aptos Narrow"/>
                <w:color w:val="000000"/>
              </w:rPr>
            </w:pPr>
            <w:r w:rsidRPr="00692049">
              <w:rPr>
                <w:rFonts w:ascii="Aptos Narrow" w:hAnsi="Aptos Narrow"/>
                <w:color w:val="000000"/>
              </w:rPr>
              <w:t>1.4</w:t>
            </w:r>
          </w:p>
        </w:tc>
      </w:tr>
      <w:tr w:rsidR="00D56F4C" w:rsidRPr="00692049" w14:paraId="655BEE86" w14:textId="77777777" w:rsidTr="00D56F4C">
        <w:trPr>
          <w:trHeight w:val="340"/>
        </w:trPr>
        <w:tc>
          <w:tcPr>
            <w:tcW w:w="1572" w:type="dxa"/>
            <w:noWrap/>
            <w:hideMark/>
          </w:tcPr>
          <w:p w14:paraId="77F15237" w14:textId="77777777" w:rsidR="00D56F4C" w:rsidRPr="00692049" w:rsidRDefault="00D56F4C" w:rsidP="00D56F4C">
            <w:pPr>
              <w:jc w:val="center"/>
              <w:rPr>
                <w:rFonts w:ascii="Aptos Narrow" w:hAnsi="Aptos Narrow"/>
                <w:b/>
                <w:bCs/>
                <w:color w:val="000000"/>
              </w:rPr>
            </w:pPr>
            <w:r w:rsidRPr="00692049">
              <w:rPr>
                <w:rFonts w:ascii="Aptos Narrow" w:hAnsi="Aptos Narrow"/>
                <w:b/>
                <w:bCs/>
                <w:color w:val="000000"/>
              </w:rPr>
              <w:t>Total</w:t>
            </w:r>
          </w:p>
        </w:tc>
        <w:tc>
          <w:tcPr>
            <w:tcW w:w="2680" w:type="dxa"/>
            <w:noWrap/>
            <w:hideMark/>
          </w:tcPr>
          <w:p w14:paraId="7FEBF67F" w14:textId="200110E4" w:rsidR="00D56F4C" w:rsidRPr="00692049" w:rsidRDefault="00D56F4C" w:rsidP="00D56F4C">
            <w:pPr>
              <w:jc w:val="center"/>
              <w:rPr>
                <w:rFonts w:ascii="Aptos Narrow" w:hAnsi="Aptos Narrow"/>
                <w:b/>
                <w:bCs/>
                <w:color w:val="000000"/>
              </w:rPr>
            </w:pPr>
            <w:r w:rsidRPr="00692049">
              <w:rPr>
                <w:rFonts w:ascii="Aptos Narrow" w:hAnsi="Aptos Narrow"/>
                <w:b/>
                <w:bCs/>
                <w:color w:val="000000"/>
              </w:rPr>
              <w:t>69</w:t>
            </w:r>
          </w:p>
        </w:tc>
        <w:tc>
          <w:tcPr>
            <w:tcW w:w="1344" w:type="dxa"/>
            <w:noWrap/>
            <w:hideMark/>
          </w:tcPr>
          <w:p w14:paraId="1A5C6358" w14:textId="77777777" w:rsidR="00D56F4C" w:rsidRPr="00692049" w:rsidRDefault="00D56F4C" w:rsidP="00D56F4C">
            <w:pPr>
              <w:jc w:val="center"/>
              <w:rPr>
                <w:rFonts w:ascii="Aptos Narrow" w:hAnsi="Aptos Narrow"/>
                <w:color w:val="000000"/>
              </w:rPr>
            </w:pPr>
            <w:r w:rsidRPr="00692049">
              <w:rPr>
                <w:rFonts w:ascii="Aptos Narrow" w:hAnsi="Aptos Narrow"/>
                <w:color w:val="000000"/>
              </w:rPr>
              <w:t>100</w:t>
            </w:r>
          </w:p>
        </w:tc>
      </w:tr>
      <w:tr w:rsidR="00D56F4C" w:rsidRPr="00E61D23" w14:paraId="7CD6FAA8" w14:textId="77777777" w:rsidTr="00D56F4C">
        <w:trPr>
          <w:trHeight w:val="340"/>
        </w:trPr>
        <w:tc>
          <w:tcPr>
            <w:tcW w:w="1572" w:type="dxa"/>
            <w:shd w:val="clear" w:color="auto" w:fill="D9D9D9" w:themeFill="background1" w:themeFillShade="D9"/>
            <w:noWrap/>
            <w:hideMark/>
          </w:tcPr>
          <w:p w14:paraId="12DA766E"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Article Type</w:t>
            </w:r>
          </w:p>
        </w:tc>
        <w:tc>
          <w:tcPr>
            <w:tcW w:w="2680" w:type="dxa"/>
            <w:shd w:val="clear" w:color="auto" w:fill="D9D9D9" w:themeFill="background1" w:themeFillShade="D9"/>
            <w:noWrap/>
            <w:hideMark/>
          </w:tcPr>
          <w:p w14:paraId="61FE1514" w14:textId="2DBDDDA6" w:rsidR="00D56F4C" w:rsidRPr="00E61D23" w:rsidRDefault="00D56F4C" w:rsidP="00D56F4C">
            <w:pPr>
              <w:jc w:val="center"/>
              <w:rPr>
                <w:rFonts w:ascii="Aptos Narrow" w:hAnsi="Aptos Narrow"/>
                <w:b/>
                <w:bCs/>
                <w:color w:val="000000"/>
              </w:rPr>
            </w:pPr>
            <w:r>
              <w:rPr>
                <w:rFonts w:ascii="Aptos Narrow" w:hAnsi="Aptos Narrow"/>
                <w:b/>
                <w:bCs/>
                <w:color w:val="000000"/>
              </w:rPr>
              <w:t>Number of Articles</w:t>
            </w:r>
          </w:p>
        </w:tc>
        <w:tc>
          <w:tcPr>
            <w:tcW w:w="1344" w:type="dxa"/>
            <w:shd w:val="clear" w:color="auto" w:fill="D9D9D9" w:themeFill="background1" w:themeFillShade="D9"/>
            <w:noWrap/>
            <w:hideMark/>
          </w:tcPr>
          <w:p w14:paraId="6B7B862A" w14:textId="77777777" w:rsidR="00D56F4C" w:rsidRPr="00F93250" w:rsidRDefault="00D56F4C" w:rsidP="00D56F4C">
            <w:pPr>
              <w:jc w:val="center"/>
              <w:rPr>
                <w:rFonts w:ascii="Aptos Narrow" w:hAnsi="Aptos Narrow"/>
                <w:b/>
                <w:bCs/>
                <w:color w:val="000000"/>
              </w:rPr>
            </w:pPr>
            <w:r w:rsidRPr="00F93250">
              <w:rPr>
                <w:rFonts w:ascii="Aptos Narrow" w:hAnsi="Aptos Narrow"/>
                <w:b/>
                <w:bCs/>
                <w:color w:val="000000"/>
              </w:rPr>
              <w:t>Percentage</w:t>
            </w:r>
          </w:p>
        </w:tc>
      </w:tr>
      <w:tr w:rsidR="00D56F4C" w:rsidRPr="00E61D23" w14:paraId="5F94A208" w14:textId="77777777" w:rsidTr="00D56F4C">
        <w:trPr>
          <w:trHeight w:val="340"/>
        </w:trPr>
        <w:tc>
          <w:tcPr>
            <w:tcW w:w="1572" w:type="dxa"/>
            <w:noWrap/>
            <w:hideMark/>
          </w:tcPr>
          <w:p w14:paraId="5E5AF38B"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Original Research Article</w:t>
            </w:r>
          </w:p>
        </w:tc>
        <w:tc>
          <w:tcPr>
            <w:tcW w:w="2680" w:type="dxa"/>
            <w:noWrap/>
            <w:hideMark/>
          </w:tcPr>
          <w:p w14:paraId="623E06B7"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42</w:t>
            </w:r>
          </w:p>
        </w:tc>
        <w:tc>
          <w:tcPr>
            <w:tcW w:w="1344" w:type="dxa"/>
            <w:noWrap/>
            <w:hideMark/>
          </w:tcPr>
          <w:p w14:paraId="009497EA" w14:textId="77777777" w:rsidR="00D56F4C" w:rsidRPr="00E61D23" w:rsidRDefault="00D56F4C" w:rsidP="00D56F4C">
            <w:pPr>
              <w:jc w:val="center"/>
              <w:rPr>
                <w:rFonts w:ascii="Aptos Narrow" w:hAnsi="Aptos Narrow"/>
                <w:color w:val="000000"/>
              </w:rPr>
            </w:pPr>
            <w:r w:rsidRPr="00E61D23">
              <w:rPr>
                <w:rFonts w:ascii="Aptos Narrow" w:hAnsi="Aptos Narrow"/>
                <w:color w:val="000000"/>
              </w:rPr>
              <w:t>60.</w:t>
            </w:r>
            <w:r>
              <w:rPr>
                <w:rFonts w:ascii="Aptos Narrow" w:hAnsi="Aptos Narrow"/>
                <w:color w:val="000000"/>
              </w:rPr>
              <w:t>9</w:t>
            </w:r>
          </w:p>
        </w:tc>
      </w:tr>
      <w:tr w:rsidR="00D56F4C" w:rsidRPr="00E61D23" w14:paraId="0BC74AC1" w14:textId="77777777" w:rsidTr="00D56F4C">
        <w:trPr>
          <w:trHeight w:val="340"/>
        </w:trPr>
        <w:tc>
          <w:tcPr>
            <w:tcW w:w="1572" w:type="dxa"/>
            <w:noWrap/>
            <w:hideMark/>
          </w:tcPr>
          <w:p w14:paraId="6418E552"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Review</w:t>
            </w:r>
          </w:p>
        </w:tc>
        <w:tc>
          <w:tcPr>
            <w:tcW w:w="2680" w:type="dxa"/>
            <w:noWrap/>
            <w:hideMark/>
          </w:tcPr>
          <w:p w14:paraId="2A226CFB"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18</w:t>
            </w:r>
          </w:p>
        </w:tc>
        <w:tc>
          <w:tcPr>
            <w:tcW w:w="1344" w:type="dxa"/>
            <w:noWrap/>
            <w:hideMark/>
          </w:tcPr>
          <w:p w14:paraId="05BBAC22" w14:textId="77777777" w:rsidR="00D56F4C" w:rsidRPr="00E61D23" w:rsidRDefault="00D56F4C" w:rsidP="00D56F4C">
            <w:pPr>
              <w:jc w:val="center"/>
              <w:rPr>
                <w:rFonts w:ascii="Aptos Narrow" w:hAnsi="Aptos Narrow"/>
                <w:color w:val="000000"/>
              </w:rPr>
            </w:pPr>
            <w:r w:rsidRPr="00E61D23">
              <w:rPr>
                <w:rFonts w:ascii="Aptos Narrow" w:hAnsi="Aptos Narrow"/>
                <w:color w:val="000000"/>
              </w:rPr>
              <w:t>26.</w:t>
            </w:r>
            <w:r>
              <w:rPr>
                <w:rFonts w:ascii="Aptos Narrow" w:hAnsi="Aptos Narrow"/>
                <w:color w:val="000000"/>
              </w:rPr>
              <w:t>1</w:t>
            </w:r>
          </w:p>
        </w:tc>
      </w:tr>
      <w:tr w:rsidR="00D56F4C" w:rsidRPr="00E61D23" w14:paraId="32ED0E2B" w14:textId="77777777" w:rsidTr="00D56F4C">
        <w:trPr>
          <w:trHeight w:val="340"/>
        </w:trPr>
        <w:tc>
          <w:tcPr>
            <w:tcW w:w="1572" w:type="dxa"/>
            <w:noWrap/>
            <w:hideMark/>
          </w:tcPr>
          <w:p w14:paraId="778B7CA4"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Perspective</w:t>
            </w:r>
          </w:p>
        </w:tc>
        <w:tc>
          <w:tcPr>
            <w:tcW w:w="2680" w:type="dxa"/>
            <w:noWrap/>
            <w:hideMark/>
          </w:tcPr>
          <w:p w14:paraId="3D399810"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5</w:t>
            </w:r>
          </w:p>
        </w:tc>
        <w:tc>
          <w:tcPr>
            <w:tcW w:w="1344" w:type="dxa"/>
            <w:noWrap/>
            <w:hideMark/>
          </w:tcPr>
          <w:p w14:paraId="658B7AA6" w14:textId="77777777" w:rsidR="00D56F4C" w:rsidRPr="00E61D23" w:rsidRDefault="00D56F4C" w:rsidP="00D56F4C">
            <w:pPr>
              <w:jc w:val="center"/>
              <w:rPr>
                <w:rFonts w:ascii="Aptos Narrow" w:hAnsi="Aptos Narrow"/>
                <w:color w:val="000000"/>
              </w:rPr>
            </w:pPr>
            <w:r w:rsidRPr="00E61D23">
              <w:rPr>
                <w:rFonts w:ascii="Aptos Narrow" w:hAnsi="Aptos Narrow"/>
                <w:color w:val="000000"/>
              </w:rPr>
              <w:t>7.25</w:t>
            </w:r>
          </w:p>
        </w:tc>
      </w:tr>
      <w:tr w:rsidR="00D56F4C" w:rsidRPr="00E61D23" w14:paraId="55D4D2DE" w14:textId="77777777" w:rsidTr="00D56F4C">
        <w:trPr>
          <w:trHeight w:val="340"/>
        </w:trPr>
        <w:tc>
          <w:tcPr>
            <w:tcW w:w="1572" w:type="dxa"/>
            <w:noWrap/>
            <w:hideMark/>
          </w:tcPr>
          <w:p w14:paraId="4B45559F"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Book Chapter</w:t>
            </w:r>
          </w:p>
        </w:tc>
        <w:tc>
          <w:tcPr>
            <w:tcW w:w="2680" w:type="dxa"/>
            <w:noWrap/>
            <w:hideMark/>
          </w:tcPr>
          <w:p w14:paraId="3DF291F9"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2</w:t>
            </w:r>
          </w:p>
        </w:tc>
        <w:tc>
          <w:tcPr>
            <w:tcW w:w="1344" w:type="dxa"/>
            <w:noWrap/>
            <w:hideMark/>
          </w:tcPr>
          <w:p w14:paraId="1DD6D5CD" w14:textId="77777777" w:rsidR="00D56F4C" w:rsidRPr="00E61D23" w:rsidRDefault="00D56F4C" w:rsidP="00D56F4C">
            <w:pPr>
              <w:jc w:val="center"/>
              <w:rPr>
                <w:rFonts w:ascii="Aptos Narrow" w:hAnsi="Aptos Narrow"/>
                <w:color w:val="000000"/>
              </w:rPr>
            </w:pPr>
            <w:r w:rsidRPr="00E61D23">
              <w:rPr>
                <w:rFonts w:ascii="Aptos Narrow" w:hAnsi="Aptos Narrow"/>
                <w:color w:val="000000"/>
              </w:rPr>
              <w:t>2.90</w:t>
            </w:r>
          </w:p>
        </w:tc>
      </w:tr>
      <w:tr w:rsidR="00D56F4C" w:rsidRPr="00E61D23" w14:paraId="3D07DC3C" w14:textId="77777777" w:rsidTr="00D56F4C">
        <w:trPr>
          <w:trHeight w:val="340"/>
        </w:trPr>
        <w:tc>
          <w:tcPr>
            <w:tcW w:w="1572" w:type="dxa"/>
            <w:noWrap/>
            <w:hideMark/>
          </w:tcPr>
          <w:p w14:paraId="60AA6DBB"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Other</w:t>
            </w:r>
          </w:p>
        </w:tc>
        <w:tc>
          <w:tcPr>
            <w:tcW w:w="2680" w:type="dxa"/>
            <w:noWrap/>
            <w:hideMark/>
          </w:tcPr>
          <w:p w14:paraId="05408C08"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2</w:t>
            </w:r>
          </w:p>
        </w:tc>
        <w:tc>
          <w:tcPr>
            <w:tcW w:w="1344" w:type="dxa"/>
            <w:noWrap/>
            <w:hideMark/>
          </w:tcPr>
          <w:p w14:paraId="1848D45E" w14:textId="77777777" w:rsidR="00D56F4C" w:rsidRPr="00E61D23" w:rsidRDefault="00D56F4C" w:rsidP="00D56F4C">
            <w:pPr>
              <w:jc w:val="center"/>
              <w:rPr>
                <w:rFonts w:ascii="Aptos Narrow" w:hAnsi="Aptos Narrow"/>
                <w:color w:val="000000"/>
              </w:rPr>
            </w:pPr>
            <w:r w:rsidRPr="00E61D23">
              <w:rPr>
                <w:rFonts w:ascii="Aptos Narrow" w:hAnsi="Aptos Narrow"/>
                <w:color w:val="000000"/>
              </w:rPr>
              <w:t>2.90</w:t>
            </w:r>
          </w:p>
        </w:tc>
      </w:tr>
      <w:tr w:rsidR="00D56F4C" w:rsidRPr="00E61D23" w14:paraId="27F29B47" w14:textId="77777777" w:rsidTr="00D56F4C">
        <w:trPr>
          <w:trHeight w:val="340"/>
        </w:trPr>
        <w:tc>
          <w:tcPr>
            <w:tcW w:w="1572" w:type="dxa"/>
            <w:noWrap/>
            <w:hideMark/>
          </w:tcPr>
          <w:p w14:paraId="7198CB93"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Total</w:t>
            </w:r>
          </w:p>
        </w:tc>
        <w:tc>
          <w:tcPr>
            <w:tcW w:w="2680" w:type="dxa"/>
            <w:noWrap/>
            <w:hideMark/>
          </w:tcPr>
          <w:p w14:paraId="0DC6C82E" w14:textId="77777777" w:rsidR="00D56F4C" w:rsidRPr="00E61D23" w:rsidRDefault="00D56F4C" w:rsidP="00D56F4C">
            <w:pPr>
              <w:jc w:val="center"/>
              <w:rPr>
                <w:rFonts w:ascii="Aptos Narrow" w:hAnsi="Aptos Narrow"/>
                <w:b/>
                <w:bCs/>
                <w:color w:val="000000"/>
              </w:rPr>
            </w:pPr>
            <w:r w:rsidRPr="00E61D23">
              <w:rPr>
                <w:rFonts w:ascii="Aptos Narrow" w:hAnsi="Aptos Narrow"/>
                <w:b/>
                <w:bCs/>
                <w:color w:val="000000"/>
              </w:rPr>
              <w:t>69</w:t>
            </w:r>
          </w:p>
        </w:tc>
        <w:tc>
          <w:tcPr>
            <w:tcW w:w="1344" w:type="dxa"/>
            <w:noWrap/>
            <w:hideMark/>
          </w:tcPr>
          <w:p w14:paraId="1DFA5744" w14:textId="77777777" w:rsidR="00D56F4C" w:rsidRPr="00E61D23" w:rsidRDefault="00D56F4C" w:rsidP="00C61AD9">
            <w:pPr>
              <w:keepNext/>
              <w:jc w:val="center"/>
              <w:rPr>
                <w:rFonts w:ascii="Aptos Narrow" w:hAnsi="Aptos Narrow"/>
                <w:color w:val="000000"/>
              </w:rPr>
            </w:pPr>
            <w:r w:rsidRPr="00E61D23">
              <w:rPr>
                <w:rFonts w:ascii="Aptos Narrow" w:hAnsi="Aptos Narrow"/>
                <w:color w:val="000000"/>
              </w:rPr>
              <w:t>100</w:t>
            </w:r>
          </w:p>
        </w:tc>
      </w:tr>
    </w:tbl>
    <w:p w14:paraId="42E2A412" w14:textId="69C35EA4" w:rsidR="00A50329" w:rsidRDefault="00A50329" w:rsidP="00A50329">
      <w:pPr>
        <w:spacing w:line="240" w:lineRule="auto"/>
      </w:pPr>
    </w:p>
    <w:p w14:paraId="0BBD3151" w14:textId="77777777" w:rsidR="00A50329" w:rsidRPr="00692049" w:rsidRDefault="00A50329" w:rsidP="00A50329">
      <w:pPr>
        <w:spacing w:line="240" w:lineRule="auto"/>
      </w:pPr>
    </w:p>
    <w:p w14:paraId="74199DAE" w14:textId="77777777" w:rsidR="00A50329" w:rsidRDefault="00A50329" w:rsidP="00A50329">
      <w:pPr>
        <w:spacing w:line="240" w:lineRule="auto"/>
      </w:pPr>
    </w:p>
    <w:p w14:paraId="5554FFC3" w14:textId="5C4ED5BF" w:rsidR="00C61AD9" w:rsidRPr="00A01B10" w:rsidRDefault="00C61AD9" w:rsidP="00C61AD9">
      <w:pPr>
        <w:pStyle w:val="Caption"/>
        <w:framePr w:h="328" w:hRule="exact" w:hSpace="180" w:wrap="around" w:vAnchor="page" w:hAnchor="margin" w:xAlign="center" w:y="9611"/>
        <w:rPr>
          <w:color w:val="000000" w:themeColor="text1"/>
        </w:rPr>
      </w:pPr>
      <w:r w:rsidRPr="00A01B10">
        <w:rPr>
          <w:color w:val="000000" w:themeColor="text1"/>
        </w:rPr>
        <w:t xml:space="preserve">Table </w:t>
      </w:r>
      <w:r w:rsidRPr="00A01B10">
        <w:rPr>
          <w:color w:val="000000" w:themeColor="text1"/>
        </w:rPr>
        <w:fldChar w:fldCharType="begin"/>
      </w:r>
      <w:r w:rsidRPr="00A01B10">
        <w:rPr>
          <w:color w:val="000000" w:themeColor="text1"/>
        </w:rPr>
        <w:instrText xml:space="preserve"> SEQ Table \* ARABIC </w:instrText>
      </w:r>
      <w:r w:rsidRPr="00A01B10">
        <w:rPr>
          <w:color w:val="000000" w:themeColor="text1"/>
        </w:rPr>
        <w:fldChar w:fldCharType="separate"/>
      </w:r>
      <w:r w:rsidR="00B452BA" w:rsidRPr="00A01B10">
        <w:rPr>
          <w:noProof/>
          <w:color w:val="000000" w:themeColor="text1"/>
        </w:rPr>
        <w:t>2</w:t>
      </w:r>
      <w:r w:rsidRPr="00A01B10">
        <w:rPr>
          <w:color w:val="000000" w:themeColor="text1"/>
        </w:rPr>
        <w:fldChar w:fldCharType="end"/>
      </w:r>
      <w:r w:rsidRPr="00A01B10">
        <w:rPr>
          <w:color w:val="000000" w:themeColor="text1"/>
        </w:rPr>
        <w:t>: Geographic distribution and article types</w:t>
      </w:r>
    </w:p>
    <w:p w14:paraId="15C31154" w14:textId="46F58B31" w:rsidR="00A50329" w:rsidRPr="00692049" w:rsidRDefault="00A50329" w:rsidP="00A50329">
      <w:pPr>
        <w:spacing w:line="240" w:lineRule="auto"/>
      </w:pPr>
    </w:p>
    <w:p w14:paraId="517796A5" w14:textId="17466464" w:rsidR="00D56F4C" w:rsidRDefault="00D56F4C" w:rsidP="002D66C7">
      <w:pPr>
        <w:keepNext/>
        <w:spacing w:line="240" w:lineRule="auto"/>
        <w:jc w:val="center"/>
      </w:pPr>
      <w:r>
        <w:rPr>
          <w:noProof/>
        </w:rPr>
        <w:lastRenderedPageBreak/>
        <mc:AlternateContent>
          <mc:Choice Requires="wps">
            <w:drawing>
              <wp:anchor distT="0" distB="0" distL="114300" distR="114300" simplePos="0" relativeHeight="251662336" behindDoc="0" locked="0" layoutInCell="1" allowOverlap="1" wp14:anchorId="02860FB9" wp14:editId="49EAE362">
                <wp:simplePos x="0" y="0"/>
                <wp:positionH relativeFrom="column">
                  <wp:posOffset>1230630</wp:posOffset>
                </wp:positionH>
                <wp:positionV relativeFrom="paragraph">
                  <wp:posOffset>3977005</wp:posOffset>
                </wp:positionV>
                <wp:extent cx="3557905" cy="635"/>
                <wp:effectExtent l="0" t="0" r="0" b="12065"/>
                <wp:wrapSquare wrapText="bothSides"/>
                <wp:docPr id="417074605" name="Text Box 1"/>
                <wp:cNvGraphicFramePr/>
                <a:graphic xmlns:a="http://schemas.openxmlformats.org/drawingml/2006/main">
                  <a:graphicData uri="http://schemas.microsoft.com/office/word/2010/wordprocessingShape">
                    <wps:wsp>
                      <wps:cNvSpPr txBox="1"/>
                      <wps:spPr>
                        <a:xfrm>
                          <a:off x="0" y="0"/>
                          <a:ext cx="3557905" cy="635"/>
                        </a:xfrm>
                        <a:prstGeom prst="rect">
                          <a:avLst/>
                        </a:prstGeom>
                        <a:solidFill>
                          <a:prstClr val="white"/>
                        </a:solidFill>
                        <a:ln>
                          <a:noFill/>
                        </a:ln>
                      </wps:spPr>
                      <wps:txbx>
                        <w:txbxContent>
                          <w:p w14:paraId="08A0AE2B" w14:textId="2264BD99" w:rsidR="00D56F4C" w:rsidRPr="00D56F4C" w:rsidRDefault="00D56F4C" w:rsidP="00D56F4C">
                            <w:pPr>
                              <w:pStyle w:val="Caption"/>
                              <w:jc w:val="center"/>
                              <w:rPr>
                                <w:noProof/>
                                <w:color w:val="000000" w:themeColor="text1"/>
                              </w:rPr>
                            </w:pPr>
                            <w:r w:rsidRPr="00D56F4C">
                              <w:rPr>
                                <w:color w:val="000000" w:themeColor="text1"/>
                              </w:rPr>
                              <w:t xml:space="preserve">Figure </w:t>
                            </w:r>
                            <w:r w:rsidRPr="00D56F4C">
                              <w:rPr>
                                <w:color w:val="000000" w:themeColor="text1"/>
                              </w:rPr>
                              <w:fldChar w:fldCharType="begin"/>
                            </w:r>
                            <w:r w:rsidRPr="00D56F4C">
                              <w:rPr>
                                <w:color w:val="000000" w:themeColor="text1"/>
                              </w:rPr>
                              <w:instrText xml:space="preserve"> SEQ Figure \* ARABIC </w:instrText>
                            </w:r>
                            <w:r w:rsidRPr="00D56F4C">
                              <w:rPr>
                                <w:color w:val="000000" w:themeColor="text1"/>
                              </w:rPr>
                              <w:fldChar w:fldCharType="separate"/>
                            </w:r>
                            <w:r w:rsidRPr="00D56F4C">
                              <w:rPr>
                                <w:noProof/>
                                <w:color w:val="000000" w:themeColor="text1"/>
                              </w:rPr>
                              <w:t>1</w:t>
                            </w:r>
                            <w:r w:rsidRPr="00D56F4C">
                              <w:rPr>
                                <w:color w:val="000000" w:themeColor="text1"/>
                              </w:rPr>
                              <w:fldChar w:fldCharType="end"/>
                            </w:r>
                            <w:r w:rsidRPr="00D56F4C">
                              <w:rPr>
                                <w:color w:val="000000" w:themeColor="text1"/>
                              </w:rPr>
                              <w:t>: PRISMA flow-chart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2860FB9" id="_x0000_t202" coordsize="21600,21600" o:spt="202" path="m,l,21600r21600,l21600,xe">
                <v:stroke joinstyle="miter"/>
                <v:path gradientshapeok="t" o:connecttype="rect"/>
              </v:shapetype>
              <v:shape id="Text Box 1" o:spid="_x0000_s1026" type="#_x0000_t202" style="position:absolute;left:0;text-align:left;margin-left:96.9pt;margin-top:313.15pt;width:280.1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" stroked="f">
                <v:textbox style="mso-fit-shape-to-text:t" inset="0,0,0,0">
                  <w:txbxContent>
                    <w:p w14:paraId="08A0AE2B" w14:textId="2264BD99" w:rsidR="00D56F4C" w:rsidRPr="00D56F4C" w:rsidRDefault="00D56F4C" w:rsidP="00D56F4C">
                      <w:pPr>
                        <w:pStyle w:val="Caption"/>
                        <w:jc w:val="center"/>
                        <w:rPr>
                          <w:noProof/>
                          <w:color w:val="000000" w:themeColor="text1"/>
                        </w:rPr>
                      </w:pPr>
                      <w:r w:rsidRPr="00D56F4C">
                        <w:rPr>
                          <w:color w:val="000000" w:themeColor="text1"/>
                        </w:rPr>
                        <w:t xml:space="preserve">Figure </w:t>
                      </w:r>
                      <w:r w:rsidRPr="00D56F4C">
                        <w:rPr>
                          <w:color w:val="000000" w:themeColor="text1"/>
                        </w:rPr>
                        <w:fldChar w:fldCharType="begin"/>
                      </w:r>
                      <w:r w:rsidRPr="00D56F4C">
                        <w:rPr>
                          <w:color w:val="000000" w:themeColor="text1"/>
                        </w:rPr>
                        <w:instrText xml:space="preserve"> SEQ Figure \* ARABIC </w:instrText>
                      </w:r>
                      <w:r w:rsidRPr="00D56F4C">
                        <w:rPr>
                          <w:color w:val="000000" w:themeColor="text1"/>
                        </w:rPr>
                        <w:fldChar w:fldCharType="separate"/>
                      </w:r>
                      <w:r w:rsidRPr="00D56F4C">
                        <w:rPr>
                          <w:noProof/>
                          <w:color w:val="000000" w:themeColor="text1"/>
                        </w:rPr>
                        <w:t>1</w:t>
                      </w:r>
                      <w:r w:rsidRPr="00D56F4C">
                        <w:rPr>
                          <w:color w:val="000000" w:themeColor="text1"/>
                        </w:rPr>
                        <w:fldChar w:fldCharType="end"/>
                      </w:r>
                      <w:r w:rsidRPr="00D56F4C">
                        <w:rPr>
                          <w:color w:val="000000" w:themeColor="text1"/>
                        </w:rPr>
                        <w:t>: PRISMA flow-chart</w:t>
                      </w:r>
                    </w:p>
                  </w:txbxContent>
                </v:textbox>
                <w10:wrap type="square"/>
              </v:shape>
            </w:pict>
          </mc:Fallback>
        </mc:AlternateContent>
      </w:r>
      <w:r w:rsidRPr="00F8592A">
        <w:rPr>
          <w:noProof/>
        </w:rPr>
        <w:drawing>
          <wp:anchor distT="0" distB="0" distL="114300" distR="114300" simplePos="0" relativeHeight="251660288" behindDoc="0" locked="0" layoutInCell="1" allowOverlap="1" wp14:anchorId="3AF4DBD5" wp14:editId="6E0C4C8C">
            <wp:simplePos x="0" y="0"/>
            <wp:positionH relativeFrom="column">
              <wp:posOffset>1230787</wp:posOffset>
            </wp:positionH>
            <wp:positionV relativeFrom="paragraph">
              <wp:posOffset>0</wp:posOffset>
            </wp:positionV>
            <wp:extent cx="3557905" cy="3919855"/>
            <wp:effectExtent l="0" t="0" r="0" b="4445"/>
            <wp:wrapSquare wrapText="bothSides"/>
            <wp:docPr id="165732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285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57905" cy="3919855"/>
                    </a:xfrm>
                    <a:prstGeom prst="rect">
                      <a:avLst/>
                    </a:prstGeom>
                  </pic:spPr>
                </pic:pic>
              </a:graphicData>
            </a:graphic>
            <wp14:sizeRelH relativeFrom="page">
              <wp14:pctWidth>0</wp14:pctWidth>
            </wp14:sizeRelH>
            <wp14:sizeRelV relativeFrom="page">
              <wp14:pctHeight>0</wp14:pctHeight>
            </wp14:sizeRelV>
          </wp:anchor>
        </w:drawing>
      </w:r>
    </w:p>
    <w:p w14:paraId="379EE7CF" w14:textId="77777777" w:rsidR="00D56F4C" w:rsidRDefault="00D56F4C" w:rsidP="002D66C7">
      <w:pPr>
        <w:keepNext/>
        <w:spacing w:line="240" w:lineRule="auto"/>
        <w:jc w:val="center"/>
      </w:pPr>
    </w:p>
    <w:p w14:paraId="52F66CD6" w14:textId="77777777" w:rsidR="00D56F4C" w:rsidRDefault="00D56F4C" w:rsidP="002D66C7">
      <w:pPr>
        <w:keepNext/>
        <w:spacing w:line="240" w:lineRule="auto"/>
        <w:jc w:val="center"/>
      </w:pPr>
    </w:p>
    <w:p w14:paraId="4E19A7EF" w14:textId="77777777" w:rsidR="00D56F4C" w:rsidRDefault="00D56F4C" w:rsidP="002D66C7">
      <w:pPr>
        <w:keepNext/>
        <w:spacing w:line="240" w:lineRule="auto"/>
        <w:jc w:val="center"/>
      </w:pPr>
    </w:p>
    <w:p w14:paraId="10BE6996" w14:textId="77777777" w:rsidR="00D56F4C" w:rsidRDefault="00D56F4C" w:rsidP="002D66C7">
      <w:pPr>
        <w:keepNext/>
        <w:spacing w:line="240" w:lineRule="auto"/>
        <w:jc w:val="center"/>
      </w:pPr>
    </w:p>
    <w:p w14:paraId="43449C62" w14:textId="77777777" w:rsidR="00D56F4C" w:rsidRDefault="00D56F4C" w:rsidP="002D66C7">
      <w:pPr>
        <w:keepNext/>
        <w:spacing w:line="240" w:lineRule="auto"/>
        <w:jc w:val="center"/>
      </w:pPr>
    </w:p>
    <w:p w14:paraId="6445DB54" w14:textId="77777777" w:rsidR="00D56F4C" w:rsidRDefault="00D56F4C" w:rsidP="002D66C7">
      <w:pPr>
        <w:keepNext/>
        <w:spacing w:line="240" w:lineRule="auto"/>
        <w:jc w:val="center"/>
      </w:pPr>
    </w:p>
    <w:p w14:paraId="6DFB86A8" w14:textId="77777777" w:rsidR="00D56F4C" w:rsidRDefault="00D56F4C" w:rsidP="002D66C7">
      <w:pPr>
        <w:keepNext/>
        <w:spacing w:line="240" w:lineRule="auto"/>
        <w:jc w:val="center"/>
      </w:pPr>
    </w:p>
    <w:p w14:paraId="27F2AB38" w14:textId="77777777" w:rsidR="00D56F4C" w:rsidRDefault="00D56F4C" w:rsidP="002D66C7">
      <w:pPr>
        <w:keepNext/>
        <w:spacing w:line="240" w:lineRule="auto"/>
        <w:jc w:val="center"/>
      </w:pPr>
    </w:p>
    <w:p w14:paraId="320919CB" w14:textId="77777777" w:rsidR="00D56F4C" w:rsidRDefault="00D56F4C" w:rsidP="002D66C7">
      <w:pPr>
        <w:keepNext/>
        <w:spacing w:line="240" w:lineRule="auto"/>
        <w:jc w:val="center"/>
      </w:pPr>
    </w:p>
    <w:p w14:paraId="0B9F3618" w14:textId="77777777" w:rsidR="00D56F4C" w:rsidRDefault="00D56F4C" w:rsidP="002D66C7">
      <w:pPr>
        <w:keepNext/>
        <w:spacing w:line="240" w:lineRule="auto"/>
        <w:jc w:val="center"/>
      </w:pPr>
    </w:p>
    <w:p w14:paraId="4F5B3B04" w14:textId="77777777" w:rsidR="00D56F4C" w:rsidRDefault="00D56F4C" w:rsidP="002D66C7">
      <w:pPr>
        <w:keepNext/>
        <w:spacing w:line="240" w:lineRule="auto"/>
        <w:jc w:val="center"/>
      </w:pPr>
    </w:p>
    <w:p w14:paraId="1FC9800E" w14:textId="77777777" w:rsidR="00D56F4C" w:rsidRDefault="00D56F4C" w:rsidP="002D66C7">
      <w:pPr>
        <w:keepNext/>
        <w:spacing w:line="240" w:lineRule="auto"/>
        <w:jc w:val="center"/>
      </w:pPr>
    </w:p>
    <w:p w14:paraId="5ABF3F23" w14:textId="77777777" w:rsidR="00D56F4C" w:rsidRDefault="00D56F4C" w:rsidP="002D66C7">
      <w:pPr>
        <w:keepNext/>
        <w:spacing w:line="240" w:lineRule="auto"/>
        <w:jc w:val="center"/>
      </w:pPr>
    </w:p>
    <w:p w14:paraId="16881EE0" w14:textId="77777777" w:rsidR="00D56F4C" w:rsidRDefault="00D56F4C" w:rsidP="002D66C7">
      <w:pPr>
        <w:keepNext/>
        <w:spacing w:line="240" w:lineRule="auto"/>
        <w:jc w:val="center"/>
      </w:pPr>
    </w:p>
    <w:p w14:paraId="6DA05642" w14:textId="77777777" w:rsidR="00D56F4C" w:rsidRDefault="00D56F4C" w:rsidP="002D66C7">
      <w:pPr>
        <w:keepNext/>
        <w:spacing w:line="240" w:lineRule="auto"/>
        <w:jc w:val="center"/>
      </w:pPr>
    </w:p>
    <w:p w14:paraId="7059C199" w14:textId="77777777" w:rsidR="00D56F4C" w:rsidRDefault="00D56F4C" w:rsidP="002D66C7">
      <w:pPr>
        <w:keepNext/>
        <w:spacing w:line="240" w:lineRule="auto"/>
        <w:jc w:val="center"/>
      </w:pPr>
    </w:p>
    <w:p w14:paraId="454D3357" w14:textId="77777777" w:rsidR="00D56F4C" w:rsidRDefault="00D56F4C" w:rsidP="002D66C7">
      <w:pPr>
        <w:keepNext/>
        <w:spacing w:line="240" w:lineRule="auto"/>
        <w:jc w:val="center"/>
      </w:pPr>
    </w:p>
    <w:p w14:paraId="3DC0E883" w14:textId="77777777" w:rsidR="00D56F4C" w:rsidRDefault="00D56F4C" w:rsidP="002D66C7">
      <w:pPr>
        <w:keepNext/>
        <w:spacing w:line="240" w:lineRule="auto"/>
        <w:jc w:val="center"/>
      </w:pPr>
    </w:p>
    <w:p w14:paraId="48713E8E" w14:textId="77777777" w:rsidR="00D56F4C" w:rsidRDefault="00D56F4C" w:rsidP="002D66C7">
      <w:pPr>
        <w:keepNext/>
        <w:spacing w:line="240" w:lineRule="auto"/>
        <w:jc w:val="center"/>
      </w:pPr>
    </w:p>
    <w:p w14:paraId="44BFB647" w14:textId="77777777" w:rsidR="00D56F4C" w:rsidRDefault="00D56F4C" w:rsidP="002D66C7">
      <w:pPr>
        <w:keepNext/>
        <w:spacing w:line="240" w:lineRule="auto"/>
        <w:jc w:val="center"/>
      </w:pPr>
    </w:p>
    <w:p w14:paraId="3EF3F272" w14:textId="77777777" w:rsidR="00D56F4C" w:rsidRDefault="00D56F4C" w:rsidP="002D66C7">
      <w:pPr>
        <w:keepNext/>
        <w:spacing w:line="240" w:lineRule="auto"/>
        <w:jc w:val="center"/>
      </w:pPr>
    </w:p>
    <w:p w14:paraId="78A3E6D0" w14:textId="77777777" w:rsidR="00D56F4C" w:rsidRDefault="00D56F4C" w:rsidP="002D66C7">
      <w:pPr>
        <w:keepNext/>
        <w:spacing w:line="240" w:lineRule="auto"/>
        <w:jc w:val="center"/>
      </w:pPr>
    </w:p>
    <w:p w14:paraId="5A2F9BBB" w14:textId="77777777" w:rsidR="00D56F4C" w:rsidRDefault="00D56F4C" w:rsidP="002D66C7">
      <w:pPr>
        <w:keepNext/>
        <w:spacing w:line="240" w:lineRule="auto"/>
        <w:jc w:val="center"/>
      </w:pPr>
    </w:p>
    <w:p w14:paraId="7C63C626" w14:textId="5A1054D8" w:rsidR="00A50329" w:rsidRDefault="00D56F4C" w:rsidP="00011276">
      <w:pPr>
        <w:keepNext/>
        <w:spacing w:line="240" w:lineRule="auto"/>
        <w:jc w:val="center"/>
      </w:pPr>
      <w:r>
        <w:rPr>
          <w:noProof/>
        </w:rPr>
        <w:drawing>
          <wp:inline distT="0" distB="0" distL="0" distR="0" wp14:anchorId="02C2FCA5" wp14:editId="0D62F6DF">
            <wp:extent cx="5219114" cy="3368675"/>
            <wp:effectExtent l="0" t="0" r="13335" b="9525"/>
            <wp:docPr id="689068837" name="Chart 1">
              <a:extLst xmlns:a="http://schemas.openxmlformats.org/drawingml/2006/main">
                <a:ext uri="{FF2B5EF4-FFF2-40B4-BE49-F238E27FC236}">
                  <a16:creationId xmlns:a16="http://schemas.microsoft.com/office/drawing/2014/main" id="{899562BB-93BA-D51D-954C-CC2AB09262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2737CB" w14:textId="77777777" w:rsidR="00011276" w:rsidRDefault="00011276" w:rsidP="00011276">
      <w:pPr>
        <w:keepNext/>
        <w:spacing w:line="240" w:lineRule="auto"/>
        <w:jc w:val="center"/>
      </w:pPr>
    </w:p>
    <w:p w14:paraId="169E5F3A" w14:textId="497D34A8" w:rsidR="008809A8" w:rsidRPr="00C61AD9" w:rsidRDefault="00A50329" w:rsidP="00C61AD9">
      <w:pPr>
        <w:pStyle w:val="Caption"/>
        <w:jc w:val="center"/>
        <w:rPr>
          <w:color w:val="000000" w:themeColor="text1"/>
        </w:rPr>
      </w:pPr>
      <w:r w:rsidRPr="002D66C7">
        <w:rPr>
          <w:color w:val="000000" w:themeColor="text1"/>
        </w:rPr>
        <w:t xml:space="preserve">Figure </w:t>
      </w:r>
      <w:r w:rsidRPr="002D66C7">
        <w:rPr>
          <w:color w:val="000000" w:themeColor="text1"/>
        </w:rPr>
        <w:fldChar w:fldCharType="begin"/>
      </w:r>
      <w:r w:rsidRPr="002D66C7">
        <w:rPr>
          <w:color w:val="000000" w:themeColor="text1"/>
        </w:rPr>
        <w:instrText xml:space="preserve"> SEQ Figure \* ARABIC </w:instrText>
      </w:r>
      <w:r w:rsidRPr="002D66C7">
        <w:rPr>
          <w:color w:val="000000" w:themeColor="text1"/>
        </w:rPr>
        <w:fldChar w:fldCharType="separate"/>
      </w:r>
      <w:r w:rsidR="00D56F4C">
        <w:rPr>
          <w:noProof/>
          <w:color w:val="000000" w:themeColor="text1"/>
        </w:rPr>
        <w:t>2</w:t>
      </w:r>
      <w:r w:rsidRPr="002D66C7">
        <w:rPr>
          <w:color w:val="000000" w:themeColor="text1"/>
        </w:rPr>
        <w:fldChar w:fldCharType="end"/>
      </w:r>
      <w:r w:rsidRPr="002D66C7">
        <w:rPr>
          <w:color w:val="000000" w:themeColor="text1"/>
        </w:rPr>
        <w:t>: Publications over tim</w:t>
      </w:r>
      <w:r w:rsidR="00C61AD9">
        <w:rPr>
          <w:color w:val="000000" w:themeColor="text1"/>
        </w:rPr>
        <w:t>e</w:t>
      </w:r>
    </w:p>
    <w:tbl>
      <w:tblPr>
        <w:tblStyle w:val="GridTable2"/>
        <w:tblW w:w="5098" w:type="dxa"/>
        <w:jc w:val="center"/>
        <w:tblLook w:val="04A0" w:firstRow="1" w:lastRow="0" w:firstColumn="1" w:lastColumn="0" w:noHBand="0" w:noVBand="1"/>
      </w:tblPr>
      <w:tblGrid>
        <w:gridCol w:w="3823"/>
        <w:gridCol w:w="1275"/>
      </w:tblGrid>
      <w:tr w:rsidR="00AF5A92" w:rsidRPr="00AF5A92" w14:paraId="6BDC1ABA" w14:textId="77777777" w:rsidTr="002D66C7">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098" w:type="dxa"/>
            <w:gridSpan w:val="2"/>
            <w:shd w:val="clear" w:color="auto" w:fill="D1D1D1" w:themeFill="background2" w:themeFillShade="E6"/>
            <w:noWrap/>
          </w:tcPr>
          <w:p w14:paraId="737F0B29" w14:textId="3AA7B233" w:rsidR="00AF5A92" w:rsidRPr="00AF5A92" w:rsidRDefault="00AF5A92" w:rsidP="00AF5A92">
            <w:pPr>
              <w:spacing w:line="240" w:lineRule="auto"/>
              <w:jc w:val="center"/>
              <w:rPr>
                <w:color w:val="FFFFFF"/>
                <w:lang w:val="en-CH"/>
              </w:rPr>
            </w:pPr>
            <w:r w:rsidRPr="00AF5A92">
              <w:rPr>
                <w:color w:val="000000" w:themeColor="text1"/>
                <w:lang w:val="en-CH"/>
              </w:rPr>
              <w:lastRenderedPageBreak/>
              <w:t>Terminologies</w:t>
            </w:r>
          </w:p>
        </w:tc>
      </w:tr>
      <w:tr w:rsidR="00AF5A92" w:rsidRPr="00AF5A92" w14:paraId="3E5E0AFE" w14:textId="77777777" w:rsidTr="002D66C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2CC81C5" w14:textId="77777777" w:rsidR="00AF5A92" w:rsidRPr="00AF5A92" w:rsidRDefault="00AF5A92" w:rsidP="00AF5A92">
            <w:pPr>
              <w:spacing w:line="240" w:lineRule="auto"/>
              <w:rPr>
                <w:color w:val="000000" w:themeColor="text1"/>
                <w:lang w:val="en-CH"/>
              </w:rPr>
            </w:pPr>
            <w:r w:rsidRPr="00AF5A92">
              <w:rPr>
                <w:color w:val="000000" w:themeColor="text1"/>
                <w:lang w:val="en-CH"/>
              </w:rPr>
              <w:t>Expert</w:t>
            </w:r>
          </w:p>
        </w:tc>
        <w:tc>
          <w:tcPr>
            <w:tcW w:w="1275" w:type="dxa"/>
            <w:noWrap/>
            <w:hideMark/>
          </w:tcPr>
          <w:p w14:paraId="4A9B2EC5" w14:textId="77777777" w:rsidR="00AF5A92" w:rsidRPr="00AF5A92" w:rsidRDefault="00AF5A92" w:rsidP="00AF5A92">
            <w:pPr>
              <w:spacing w:line="240" w:lineRule="auto"/>
              <w:cnfStyle w:val="000000100000" w:firstRow="0" w:lastRow="0" w:firstColumn="0" w:lastColumn="0" w:oddVBand="0" w:evenVBand="0" w:oddHBand="1" w:evenHBand="0" w:firstRowFirstColumn="0" w:firstRowLastColumn="0" w:lastRowFirstColumn="0" w:lastRowLastColumn="0"/>
              <w:rPr>
                <w:b/>
                <w:bCs/>
                <w:color w:val="000000" w:themeColor="text1"/>
                <w:lang w:val="en-CH"/>
              </w:rPr>
            </w:pPr>
            <w:r w:rsidRPr="00AF5A92">
              <w:rPr>
                <w:b/>
                <w:bCs/>
                <w:color w:val="000000" w:themeColor="text1"/>
                <w:lang w:val="en-CH"/>
              </w:rPr>
              <w:t># Articles</w:t>
            </w:r>
          </w:p>
        </w:tc>
      </w:tr>
      <w:tr w:rsidR="00AF5A92" w:rsidRPr="00AF5A92" w14:paraId="49055A72"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8D87A6E" w14:textId="77777777" w:rsidR="00AF5A92" w:rsidRPr="00AF5A92" w:rsidRDefault="00AF5A92" w:rsidP="00AF5A92">
            <w:pPr>
              <w:spacing w:line="240" w:lineRule="auto"/>
              <w:rPr>
                <w:b w:val="0"/>
                <w:bCs w:val="0"/>
                <w:color w:val="000000"/>
                <w:lang w:val="en-CH"/>
              </w:rPr>
            </w:pPr>
            <w:r w:rsidRPr="00AF5A92">
              <w:rPr>
                <w:b w:val="0"/>
                <w:bCs w:val="0"/>
                <w:color w:val="000000"/>
                <w:lang w:val="en-CH"/>
              </w:rPr>
              <w:t>Expert</w:t>
            </w:r>
          </w:p>
        </w:tc>
        <w:tc>
          <w:tcPr>
            <w:tcW w:w="1275" w:type="dxa"/>
            <w:noWrap/>
            <w:hideMark/>
          </w:tcPr>
          <w:p w14:paraId="63DDA4BA" w14:textId="77777777" w:rsidR="00AF5A92" w:rsidRPr="00AF5A92" w:rsidRDefault="00AF5A92" w:rsidP="00AF5A92">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57</w:t>
            </w:r>
          </w:p>
        </w:tc>
      </w:tr>
      <w:tr w:rsidR="00AF5A92" w:rsidRPr="00AF5A92" w14:paraId="5F2B4A01" w14:textId="77777777" w:rsidTr="002D66C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6D6BB050" w14:textId="77777777" w:rsidR="00AF5A92" w:rsidRPr="00AF5A92" w:rsidRDefault="00AF5A92" w:rsidP="00AF5A92">
            <w:pPr>
              <w:spacing w:line="240" w:lineRule="auto"/>
              <w:rPr>
                <w:b w:val="0"/>
                <w:bCs w:val="0"/>
                <w:color w:val="000000"/>
                <w:lang w:val="en-CH"/>
              </w:rPr>
            </w:pPr>
            <w:r w:rsidRPr="00AF5A92">
              <w:rPr>
                <w:b w:val="0"/>
                <w:bCs w:val="0"/>
                <w:color w:val="000000"/>
                <w:lang w:val="en-CH"/>
              </w:rPr>
              <w:t>Expert Clinical Reasoning</w:t>
            </w:r>
          </w:p>
        </w:tc>
        <w:tc>
          <w:tcPr>
            <w:tcW w:w="1275" w:type="dxa"/>
            <w:shd w:val="clear" w:color="auto" w:fill="auto"/>
            <w:noWrap/>
            <w:hideMark/>
          </w:tcPr>
          <w:p w14:paraId="5757D24A" w14:textId="77777777" w:rsidR="00AF5A92" w:rsidRPr="00AF5A92" w:rsidRDefault="00AF5A92" w:rsidP="00AF5A92">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7</w:t>
            </w:r>
          </w:p>
        </w:tc>
      </w:tr>
      <w:tr w:rsidR="00AF5A92" w:rsidRPr="00AF5A92" w14:paraId="2B30D294"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AC30280" w14:textId="77777777" w:rsidR="00AF5A92" w:rsidRPr="00AF5A92" w:rsidRDefault="00AF5A92" w:rsidP="00AF5A92">
            <w:pPr>
              <w:spacing w:line="240" w:lineRule="auto"/>
              <w:rPr>
                <w:b w:val="0"/>
                <w:bCs w:val="0"/>
                <w:color w:val="000000"/>
                <w:lang w:val="en-CH"/>
              </w:rPr>
            </w:pPr>
            <w:r w:rsidRPr="00AF5A92">
              <w:rPr>
                <w:b w:val="0"/>
                <w:bCs w:val="0"/>
                <w:color w:val="000000"/>
                <w:lang w:val="en-CH"/>
              </w:rPr>
              <w:t>Expert Clinician</w:t>
            </w:r>
          </w:p>
        </w:tc>
        <w:tc>
          <w:tcPr>
            <w:tcW w:w="1275" w:type="dxa"/>
            <w:noWrap/>
            <w:hideMark/>
          </w:tcPr>
          <w:p w14:paraId="46439ED3" w14:textId="77777777" w:rsidR="00AF5A92" w:rsidRPr="00AF5A92" w:rsidRDefault="00AF5A92" w:rsidP="00AF5A92">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7</w:t>
            </w:r>
          </w:p>
        </w:tc>
      </w:tr>
      <w:tr w:rsidR="00AF5A92" w:rsidRPr="00AF5A92" w14:paraId="196833D3" w14:textId="77777777" w:rsidTr="002D66C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0B0B4E03" w14:textId="77777777" w:rsidR="00AF5A92" w:rsidRPr="00AF5A92" w:rsidRDefault="00AF5A92" w:rsidP="00AF5A92">
            <w:pPr>
              <w:spacing w:line="240" w:lineRule="auto"/>
              <w:rPr>
                <w:b w:val="0"/>
                <w:bCs w:val="0"/>
                <w:color w:val="000000"/>
                <w:lang w:val="en-CH"/>
              </w:rPr>
            </w:pPr>
            <w:r w:rsidRPr="00AF5A92">
              <w:rPr>
                <w:b w:val="0"/>
                <w:bCs w:val="0"/>
                <w:color w:val="000000"/>
                <w:lang w:val="en-CH"/>
              </w:rPr>
              <w:t>Expert Physician</w:t>
            </w:r>
          </w:p>
        </w:tc>
        <w:tc>
          <w:tcPr>
            <w:tcW w:w="1275" w:type="dxa"/>
            <w:shd w:val="clear" w:color="auto" w:fill="auto"/>
            <w:noWrap/>
            <w:hideMark/>
          </w:tcPr>
          <w:p w14:paraId="4BBC7F30" w14:textId="77777777" w:rsidR="00AF5A92" w:rsidRPr="00AF5A92" w:rsidRDefault="00AF5A92" w:rsidP="00AF5A92">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5</w:t>
            </w:r>
          </w:p>
        </w:tc>
      </w:tr>
      <w:tr w:rsidR="00AF5A92" w:rsidRPr="00AF5A92" w14:paraId="25F1C9FE"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D98E1E5" w14:textId="77777777" w:rsidR="00AF5A92" w:rsidRPr="00AF5A92" w:rsidRDefault="00AF5A92" w:rsidP="00AF5A92">
            <w:pPr>
              <w:spacing w:line="240" w:lineRule="auto"/>
              <w:rPr>
                <w:b w:val="0"/>
                <w:bCs w:val="0"/>
                <w:color w:val="000000"/>
                <w:lang w:val="en-CH"/>
              </w:rPr>
            </w:pPr>
            <w:r w:rsidRPr="00AF5A92">
              <w:rPr>
                <w:b w:val="0"/>
                <w:bCs w:val="0"/>
                <w:color w:val="000000"/>
                <w:lang w:val="en-CH"/>
              </w:rPr>
              <w:t>Expert Judgment</w:t>
            </w:r>
          </w:p>
        </w:tc>
        <w:tc>
          <w:tcPr>
            <w:tcW w:w="1275" w:type="dxa"/>
            <w:noWrap/>
            <w:hideMark/>
          </w:tcPr>
          <w:p w14:paraId="7D1EE987" w14:textId="77777777" w:rsidR="00AF5A92" w:rsidRPr="00AF5A92" w:rsidRDefault="00AF5A92" w:rsidP="00AF5A92">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4</w:t>
            </w:r>
          </w:p>
        </w:tc>
      </w:tr>
      <w:tr w:rsidR="00AF5A92" w:rsidRPr="00AF5A92" w14:paraId="7F7BC89B" w14:textId="77777777" w:rsidTr="002D66C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47DEE8F8" w14:textId="77777777" w:rsidR="00AF5A92" w:rsidRPr="00AF5A92" w:rsidRDefault="00AF5A92" w:rsidP="00AF5A92">
            <w:pPr>
              <w:spacing w:line="240" w:lineRule="auto"/>
              <w:rPr>
                <w:b w:val="0"/>
                <w:bCs w:val="0"/>
                <w:color w:val="000000"/>
                <w:lang w:val="en-CH"/>
              </w:rPr>
            </w:pPr>
            <w:r w:rsidRPr="00AF5A92">
              <w:rPr>
                <w:b w:val="0"/>
                <w:bCs w:val="0"/>
                <w:color w:val="000000"/>
                <w:lang w:val="en-CH"/>
              </w:rPr>
              <w:t>Adaptive Expert</w:t>
            </w:r>
          </w:p>
        </w:tc>
        <w:tc>
          <w:tcPr>
            <w:tcW w:w="1275" w:type="dxa"/>
            <w:shd w:val="clear" w:color="auto" w:fill="auto"/>
            <w:noWrap/>
            <w:hideMark/>
          </w:tcPr>
          <w:p w14:paraId="4D9C47D0" w14:textId="77777777" w:rsidR="00AF5A92" w:rsidRPr="00AF5A92" w:rsidRDefault="00AF5A92" w:rsidP="00AF5A92">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2</w:t>
            </w:r>
          </w:p>
        </w:tc>
      </w:tr>
      <w:tr w:rsidR="00AF5A92" w:rsidRPr="00AF5A92" w14:paraId="504D3086"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ACBDE8A" w14:textId="77777777" w:rsidR="00AF5A92" w:rsidRPr="00AF5A92" w:rsidRDefault="00AF5A92" w:rsidP="00AF5A92">
            <w:pPr>
              <w:spacing w:line="240" w:lineRule="auto"/>
              <w:rPr>
                <w:b w:val="0"/>
                <w:bCs w:val="0"/>
                <w:color w:val="000000"/>
                <w:lang w:val="en-CH"/>
              </w:rPr>
            </w:pPr>
            <w:r w:rsidRPr="00AF5A92">
              <w:rPr>
                <w:b w:val="0"/>
                <w:bCs w:val="0"/>
                <w:color w:val="000000"/>
                <w:lang w:val="en-CH"/>
              </w:rPr>
              <w:t>Clinical Expert</w:t>
            </w:r>
          </w:p>
        </w:tc>
        <w:tc>
          <w:tcPr>
            <w:tcW w:w="1275" w:type="dxa"/>
            <w:noWrap/>
            <w:hideMark/>
          </w:tcPr>
          <w:p w14:paraId="0A25341F" w14:textId="77777777" w:rsidR="00AF5A92" w:rsidRPr="00AF5A92" w:rsidRDefault="00AF5A92" w:rsidP="00AF5A92">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2</w:t>
            </w:r>
          </w:p>
        </w:tc>
      </w:tr>
      <w:tr w:rsidR="00AF5A92" w:rsidRPr="00AF5A92" w14:paraId="1153023E" w14:textId="77777777" w:rsidTr="002D66C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3C4B656A" w14:textId="77777777" w:rsidR="00AF5A92" w:rsidRPr="00AF5A92" w:rsidRDefault="00AF5A92" w:rsidP="00AF5A92">
            <w:pPr>
              <w:spacing w:line="240" w:lineRule="auto"/>
              <w:rPr>
                <w:b w:val="0"/>
                <w:bCs w:val="0"/>
                <w:color w:val="000000"/>
                <w:lang w:val="en-CH"/>
              </w:rPr>
            </w:pPr>
            <w:r w:rsidRPr="00AF5A92">
              <w:rPr>
                <w:b w:val="0"/>
                <w:bCs w:val="0"/>
                <w:color w:val="000000"/>
                <w:lang w:val="en-CH"/>
              </w:rPr>
              <w:t>Expert Diagnostic Reasoning</w:t>
            </w:r>
          </w:p>
        </w:tc>
        <w:tc>
          <w:tcPr>
            <w:tcW w:w="1275" w:type="dxa"/>
            <w:shd w:val="clear" w:color="auto" w:fill="auto"/>
            <w:noWrap/>
            <w:hideMark/>
          </w:tcPr>
          <w:p w14:paraId="337E5A17" w14:textId="77777777" w:rsidR="00AF5A92" w:rsidRPr="00AF5A92" w:rsidRDefault="00AF5A92" w:rsidP="00AF5A92">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2</w:t>
            </w:r>
          </w:p>
        </w:tc>
      </w:tr>
      <w:tr w:rsidR="00AF5A92" w:rsidRPr="00AF5A92" w14:paraId="10B22D88"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889CEDA" w14:textId="77777777" w:rsidR="00AF5A92" w:rsidRPr="00AF5A92" w:rsidRDefault="00AF5A92" w:rsidP="00AF5A92">
            <w:pPr>
              <w:spacing w:line="240" w:lineRule="auto"/>
              <w:rPr>
                <w:b w:val="0"/>
                <w:bCs w:val="0"/>
                <w:color w:val="000000"/>
                <w:lang w:val="en-CH"/>
              </w:rPr>
            </w:pPr>
            <w:r w:rsidRPr="00AF5A92">
              <w:rPr>
                <w:b w:val="0"/>
                <w:bCs w:val="0"/>
                <w:color w:val="000000"/>
                <w:lang w:val="en-CH"/>
              </w:rPr>
              <w:t>Expert Diagnostician</w:t>
            </w:r>
          </w:p>
        </w:tc>
        <w:tc>
          <w:tcPr>
            <w:tcW w:w="1275" w:type="dxa"/>
            <w:noWrap/>
            <w:hideMark/>
          </w:tcPr>
          <w:p w14:paraId="19D1623B" w14:textId="77777777" w:rsidR="00AF5A92" w:rsidRPr="00AF5A92" w:rsidRDefault="00AF5A92" w:rsidP="00AF5A92">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2</w:t>
            </w:r>
          </w:p>
        </w:tc>
      </w:tr>
      <w:tr w:rsidR="00246980" w:rsidRPr="00AF5A92" w14:paraId="383E596C" w14:textId="77777777" w:rsidTr="0024698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tcPr>
          <w:p w14:paraId="2BD95AAB" w14:textId="197731ED" w:rsidR="00246980" w:rsidRPr="00AF5A92" w:rsidRDefault="00246980" w:rsidP="00246980">
            <w:pPr>
              <w:spacing w:line="240" w:lineRule="auto"/>
              <w:rPr>
                <w:color w:val="000000"/>
                <w:lang w:val="en-CH"/>
              </w:rPr>
            </w:pPr>
            <w:r w:rsidRPr="00AF5A92">
              <w:rPr>
                <w:b w:val="0"/>
                <w:bCs w:val="0"/>
                <w:color w:val="000000"/>
                <w:lang w:val="en-CH"/>
              </w:rPr>
              <w:t>Expert Professionals</w:t>
            </w:r>
          </w:p>
        </w:tc>
        <w:tc>
          <w:tcPr>
            <w:tcW w:w="1275" w:type="dxa"/>
            <w:shd w:val="clear" w:color="auto" w:fill="auto"/>
            <w:noWrap/>
          </w:tcPr>
          <w:p w14:paraId="4C78255E" w14:textId="0CC3161C" w:rsidR="00246980" w:rsidRPr="00AF5A92" w:rsidRDefault="00246980" w:rsidP="00246980">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1</w:t>
            </w:r>
          </w:p>
        </w:tc>
      </w:tr>
      <w:tr w:rsidR="00246980" w:rsidRPr="00AF5A92" w14:paraId="29D10379"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E896172" w14:textId="77777777" w:rsidR="00246980" w:rsidRPr="00AF5A92" w:rsidRDefault="00246980" w:rsidP="00246980">
            <w:pPr>
              <w:spacing w:line="240" w:lineRule="auto"/>
              <w:rPr>
                <w:b w:val="0"/>
                <w:bCs w:val="0"/>
                <w:color w:val="000000"/>
                <w:lang w:val="en-CH"/>
              </w:rPr>
            </w:pPr>
            <w:r w:rsidRPr="00AF5A92">
              <w:rPr>
                <w:b w:val="0"/>
                <w:bCs w:val="0"/>
                <w:color w:val="000000"/>
                <w:lang w:val="en-CH"/>
              </w:rPr>
              <w:t>Physician Expert</w:t>
            </w:r>
          </w:p>
        </w:tc>
        <w:tc>
          <w:tcPr>
            <w:tcW w:w="1275" w:type="dxa"/>
            <w:noWrap/>
            <w:hideMark/>
          </w:tcPr>
          <w:p w14:paraId="176C1E3F" w14:textId="77777777" w:rsidR="00246980" w:rsidRPr="00AF5A92" w:rsidRDefault="00246980" w:rsidP="00246980">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1</w:t>
            </w:r>
          </w:p>
        </w:tc>
      </w:tr>
      <w:tr w:rsidR="00246980" w:rsidRPr="00AF5A92" w14:paraId="2E9544C3" w14:textId="77777777" w:rsidTr="0024698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527EEF5B" w14:textId="77777777" w:rsidR="00246980" w:rsidRPr="00AF5A92" w:rsidRDefault="00246980" w:rsidP="00246980">
            <w:pPr>
              <w:spacing w:line="240" w:lineRule="auto"/>
              <w:rPr>
                <w:b w:val="0"/>
                <w:bCs w:val="0"/>
                <w:color w:val="000000"/>
                <w:lang w:val="en-CH"/>
              </w:rPr>
            </w:pPr>
            <w:r w:rsidRPr="00AF5A92">
              <w:rPr>
                <w:b w:val="0"/>
                <w:bCs w:val="0"/>
                <w:color w:val="000000"/>
                <w:lang w:val="en-CH"/>
              </w:rPr>
              <w:t>Routine Expert</w:t>
            </w:r>
          </w:p>
        </w:tc>
        <w:tc>
          <w:tcPr>
            <w:tcW w:w="1275" w:type="dxa"/>
            <w:shd w:val="clear" w:color="auto" w:fill="auto"/>
            <w:noWrap/>
            <w:hideMark/>
          </w:tcPr>
          <w:p w14:paraId="6AB14AF3" w14:textId="77777777" w:rsidR="00246980" w:rsidRPr="00AF5A92" w:rsidRDefault="00246980" w:rsidP="00246980">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1</w:t>
            </w:r>
          </w:p>
        </w:tc>
      </w:tr>
      <w:tr w:rsidR="00246980" w:rsidRPr="00AF5A92" w14:paraId="41192059" w14:textId="77777777" w:rsidTr="00246980">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D1D1D1" w:themeFill="background2" w:themeFillShade="E6"/>
            <w:noWrap/>
            <w:hideMark/>
          </w:tcPr>
          <w:p w14:paraId="6426951B" w14:textId="77777777" w:rsidR="00246980" w:rsidRPr="00AF5A92" w:rsidRDefault="00246980" w:rsidP="00246980">
            <w:pPr>
              <w:spacing w:line="240" w:lineRule="auto"/>
              <w:rPr>
                <w:color w:val="000000" w:themeColor="text1"/>
                <w:lang w:val="en-CH"/>
              </w:rPr>
            </w:pPr>
            <w:r w:rsidRPr="00AF5A92">
              <w:rPr>
                <w:color w:val="000000" w:themeColor="text1"/>
                <w:lang w:val="en-CH"/>
              </w:rPr>
              <w:t>Expertise</w:t>
            </w:r>
          </w:p>
        </w:tc>
        <w:tc>
          <w:tcPr>
            <w:tcW w:w="1275" w:type="dxa"/>
            <w:shd w:val="clear" w:color="auto" w:fill="D1D1D1" w:themeFill="background2" w:themeFillShade="E6"/>
            <w:noWrap/>
            <w:hideMark/>
          </w:tcPr>
          <w:p w14:paraId="37332B83" w14:textId="044822C5" w:rsidR="00246980" w:rsidRPr="00AF5A92" w:rsidRDefault="00246980" w:rsidP="00246980">
            <w:pPr>
              <w:spacing w:line="240" w:lineRule="auto"/>
              <w:cnfStyle w:val="000000000000" w:firstRow="0" w:lastRow="0" w:firstColumn="0" w:lastColumn="0" w:oddVBand="0" w:evenVBand="0" w:oddHBand="0" w:evenHBand="0" w:firstRowFirstColumn="0" w:firstRowLastColumn="0" w:lastRowFirstColumn="0" w:lastRowLastColumn="0"/>
              <w:rPr>
                <w:b/>
                <w:bCs/>
                <w:color w:val="000000" w:themeColor="text1"/>
                <w:lang w:val="en-CH"/>
              </w:rPr>
            </w:pPr>
            <w:r w:rsidRPr="00AF5A92">
              <w:rPr>
                <w:b/>
                <w:bCs/>
                <w:color w:val="000000" w:themeColor="text1"/>
                <w:lang w:val="en-CH"/>
              </w:rPr>
              <w:t># Articles</w:t>
            </w:r>
          </w:p>
        </w:tc>
      </w:tr>
      <w:tr w:rsidR="00246980" w:rsidRPr="00AF5A92" w14:paraId="2D876FC5" w14:textId="77777777" w:rsidTr="0024698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7BFAD56A" w14:textId="77777777" w:rsidR="00246980" w:rsidRPr="00AF5A92" w:rsidRDefault="00246980" w:rsidP="00246980">
            <w:pPr>
              <w:spacing w:line="240" w:lineRule="auto"/>
              <w:rPr>
                <w:b w:val="0"/>
                <w:bCs w:val="0"/>
                <w:color w:val="000000"/>
                <w:lang w:val="en-CH"/>
              </w:rPr>
            </w:pPr>
            <w:r w:rsidRPr="00AF5A92">
              <w:rPr>
                <w:b w:val="0"/>
                <w:bCs w:val="0"/>
                <w:color w:val="000000"/>
                <w:lang w:val="en-CH"/>
              </w:rPr>
              <w:t>Expertise</w:t>
            </w:r>
          </w:p>
        </w:tc>
        <w:tc>
          <w:tcPr>
            <w:tcW w:w="1275" w:type="dxa"/>
            <w:shd w:val="clear" w:color="auto" w:fill="auto"/>
            <w:noWrap/>
            <w:hideMark/>
          </w:tcPr>
          <w:p w14:paraId="60DA309A" w14:textId="77777777" w:rsidR="00246980" w:rsidRPr="00AF5A92" w:rsidRDefault="00246980" w:rsidP="00246980">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52</w:t>
            </w:r>
          </w:p>
        </w:tc>
      </w:tr>
      <w:tr w:rsidR="00246980" w:rsidRPr="00AF5A92" w14:paraId="4B4D4931"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FD79AA7" w14:textId="77777777" w:rsidR="00246980" w:rsidRPr="00AF5A92" w:rsidRDefault="00246980" w:rsidP="00246980">
            <w:pPr>
              <w:spacing w:line="240" w:lineRule="auto"/>
              <w:rPr>
                <w:b w:val="0"/>
                <w:bCs w:val="0"/>
                <w:color w:val="000000"/>
                <w:lang w:val="en-CH"/>
              </w:rPr>
            </w:pPr>
            <w:r w:rsidRPr="00AF5A92">
              <w:rPr>
                <w:b w:val="0"/>
                <w:bCs w:val="0"/>
                <w:color w:val="000000"/>
                <w:lang w:val="en-CH"/>
              </w:rPr>
              <w:t>Medical Expertise</w:t>
            </w:r>
          </w:p>
        </w:tc>
        <w:tc>
          <w:tcPr>
            <w:tcW w:w="1275" w:type="dxa"/>
            <w:noWrap/>
            <w:hideMark/>
          </w:tcPr>
          <w:p w14:paraId="4D54DA73" w14:textId="77777777" w:rsidR="00246980" w:rsidRPr="00AF5A92" w:rsidRDefault="00246980" w:rsidP="00246980">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18</w:t>
            </w:r>
          </w:p>
        </w:tc>
      </w:tr>
      <w:tr w:rsidR="00246980" w:rsidRPr="00AF5A92" w14:paraId="631FA5F1" w14:textId="77777777" w:rsidTr="0024698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6EFDA75A" w14:textId="77777777" w:rsidR="00246980" w:rsidRPr="00AF5A92" w:rsidRDefault="00246980" w:rsidP="00246980">
            <w:pPr>
              <w:spacing w:line="240" w:lineRule="auto"/>
              <w:rPr>
                <w:b w:val="0"/>
                <w:bCs w:val="0"/>
                <w:color w:val="000000"/>
                <w:lang w:val="en-CH"/>
              </w:rPr>
            </w:pPr>
            <w:r w:rsidRPr="00AF5A92">
              <w:rPr>
                <w:b w:val="0"/>
                <w:bCs w:val="0"/>
                <w:color w:val="000000"/>
                <w:lang w:val="en-CH"/>
              </w:rPr>
              <w:t>Clinical Expertise</w:t>
            </w:r>
          </w:p>
        </w:tc>
        <w:tc>
          <w:tcPr>
            <w:tcW w:w="1275" w:type="dxa"/>
            <w:shd w:val="clear" w:color="auto" w:fill="auto"/>
            <w:noWrap/>
            <w:hideMark/>
          </w:tcPr>
          <w:p w14:paraId="140A1DA3" w14:textId="77777777" w:rsidR="00246980" w:rsidRPr="00AF5A92" w:rsidRDefault="00246980" w:rsidP="00246980">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13</w:t>
            </w:r>
          </w:p>
        </w:tc>
      </w:tr>
      <w:tr w:rsidR="00246980" w:rsidRPr="00AF5A92" w14:paraId="065929EC"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502E0370" w14:textId="77777777" w:rsidR="00246980" w:rsidRPr="00AF5A92" w:rsidRDefault="00246980" w:rsidP="00246980">
            <w:pPr>
              <w:spacing w:line="240" w:lineRule="auto"/>
              <w:rPr>
                <w:b w:val="0"/>
                <w:bCs w:val="0"/>
                <w:color w:val="000000"/>
                <w:lang w:val="en-CH"/>
              </w:rPr>
            </w:pPr>
            <w:r w:rsidRPr="00AF5A92">
              <w:rPr>
                <w:b w:val="0"/>
                <w:bCs w:val="0"/>
                <w:color w:val="000000"/>
                <w:lang w:val="en-CH"/>
              </w:rPr>
              <w:t>Adaptive Expertise</w:t>
            </w:r>
          </w:p>
        </w:tc>
        <w:tc>
          <w:tcPr>
            <w:tcW w:w="1275" w:type="dxa"/>
            <w:noWrap/>
            <w:hideMark/>
          </w:tcPr>
          <w:p w14:paraId="1046C751" w14:textId="77777777" w:rsidR="00246980" w:rsidRPr="00AF5A92" w:rsidRDefault="00246980" w:rsidP="00246980">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8</w:t>
            </w:r>
          </w:p>
        </w:tc>
      </w:tr>
      <w:tr w:rsidR="00246980" w:rsidRPr="00AF5A92" w14:paraId="3EB1E2CF" w14:textId="77777777" w:rsidTr="0024698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25A9FEC1" w14:textId="77777777" w:rsidR="00246980" w:rsidRPr="00AF5A92" w:rsidRDefault="00246980" w:rsidP="00246980">
            <w:pPr>
              <w:spacing w:line="240" w:lineRule="auto"/>
              <w:rPr>
                <w:b w:val="0"/>
                <w:bCs w:val="0"/>
                <w:color w:val="000000"/>
                <w:lang w:val="en-CH"/>
              </w:rPr>
            </w:pPr>
            <w:r w:rsidRPr="00AF5A92">
              <w:rPr>
                <w:b w:val="0"/>
                <w:bCs w:val="0"/>
                <w:color w:val="000000"/>
                <w:lang w:val="en-CH"/>
              </w:rPr>
              <w:t>Diagnostic expertise</w:t>
            </w:r>
          </w:p>
        </w:tc>
        <w:tc>
          <w:tcPr>
            <w:tcW w:w="1275" w:type="dxa"/>
            <w:shd w:val="clear" w:color="auto" w:fill="auto"/>
            <w:noWrap/>
            <w:hideMark/>
          </w:tcPr>
          <w:p w14:paraId="059EF88D" w14:textId="77777777" w:rsidR="00246980" w:rsidRPr="00AF5A92" w:rsidRDefault="00246980" w:rsidP="00246980">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4</w:t>
            </w:r>
          </w:p>
        </w:tc>
      </w:tr>
      <w:tr w:rsidR="00246980" w:rsidRPr="00AF5A92" w14:paraId="58C25854"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956F1C5" w14:textId="77777777" w:rsidR="00246980" w:rsidRPr="00AF5A92" w:rsidRDefault="00246980" w:rsidP="00246980">
            <w:pPr>
              <w:spacing w:line="240" w:lineRule="auto"/>
              <w:rPr>
                <w:b w:val="0"/>
                <w:bCs w:val="0"/>
                <w:color w:val="000000"/>
                <w:lang w:val="en-CH"/>
              </w:rPr>
            </w:pPr>
            <w:r w:rsidRPr="00AF5A92">
              <w:rPr>
                <w:b w:val="0"/>
                <w:bCs w:val="0"/>
                <w:color w:val="000000"/>
                <w:lang w:val="en-CH"/>
              </w:rPr>
              <w:t>Clinical Reasoning Expertise</w:t>
            </w:r>
          </w:p>
        </w:tc>
        <w:tc>
          <w:tcPr>
            <w:tcW w:w="1275" w:type="dxa"/>
            <w:noWrap/>
            <w:hideMark/>
          </w:tcPr>
          <w:p w14:paraId="2785F2DA" w14:textId="77777777" w:rsidR="00246980" w:rsidRPr="00AF5A92" w:rsidRDefault="00246980" w:rsidP="00246980">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3</w:t>
            </w:r>
          </w:p>
        </w:tc>
      </w:tr>
      <w:tr w:rsidR="00246980" w:rsidRPr="00AF5A92" w14:paraId="01D08158" w14:textId="77777777" w:rsidTr="0024698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32C38521" w14:textId="77777777" w:rsidR="00246980" w:rsidRPr="00AF5A92" w:rsidRDefault="00246980" w:rsidP="00246980">
            <w:pPr>
              <w:spacing w:line="240" w:lineRule="auto"/>
              <w:rPr>
                <w:b w:val="0"/>
                <w:bCs w:val="0"/>
                <w:color w:val="000000"/>
                <w:lang w:val="en-CH"/>
              </w:rPr>
            </w:pPr>
            <w:r w:rsidRPr="00AF5A92">
              <w:rPr>
                <w:b w:val="0"/>
                <w:bCs w:val="0"/>
                <w:color w:val="000000"/>
                <w:lang w:val="en-CH"/>
              </w:rPr>
              <w:t>Routine Expertise</w:t>
            </w:r>
          </w:p>
        </w:tc>
        <w:tc>
          <w:tcPr>
            <w:tcW w:w="1275" w:type="dxa"/>
            <w:shd w:val="clear" w:color="auto" w:fill="auto"/>
            <w:noWrap/>
            <w:hideMark/>
          </w:tcPr>
          <w:p w14:paraId="11D70B13" w14:textId="77777777" w:rsidR="00246980" w:rsidRPr="00AF5A92" w:rsidRDefault="00246980" w:rsidP="00246980">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2</w:t>
            </w:r>
          </w:p>
        </w:tc>
      </w:tr>
      <w:tr w:rsidR="00246980" w:rsidRPr="00AF5A92" w14:paraId="7F24D853"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6FEAB3E" w14:textId="77777777" w:rsidR="00246980" w:rsidRPr="00AF5A92" w:rsidRDefault="00246980" w:rsidP="00246980">
            <w:pPr>
              <w:spacing w:line="240" w:lineRule="auto"/>
              <w:rPr>
                <w:b w:val="0"/>
                <w:bCs w:val="0"/>
                <w:color w:val="000000"/>
                <w:lang w:val="en-CH"/>
              </w:rPr>
            </w:pPr>
            <w:r w:rsidRPr="00AF5A92">
              <w:rPr>
                <w:b w:val="0"/>
                <w:bCs w:val="0"/>
                <w:color w:val="000000"/>
                <w:lang w:val="en-CH"/>
              </w:rPr>
              <w:t>Hybrid Expertise</w:t>
            </w:r>
          </w:p>
        </w:tc>
        <w:tc>
          <w:tcPr>
            <w:tcW w:w="1275" w:type="dxa"/>
            <w:noWrap/>
            <w:hideMark/>
          </w:tcPr>
          <w:p w14:paraId="62FC2BB0" w14:textId="77777777" w:rsidR="00246980" w:rsidRPr="00AF5A92" w:rsidRDefault="00246980" w:rsidP="00246980">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1</w:t>
            </w:r>
          </w:p>
        </w:tc>
      </w:tr>
      <w:tr w:rsidR="00246980" w:rsidRPr="00AF5A92" w14:paraId="577462C0" w14:textId="77777777" w:rsidTr="002D66C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D1D1D1" w:themeFill="background2" w:themeFillShade="E6"/>
            <w:noWrap/>
            <w:hideMark/>
          </w:tcPr>
          <w:p w14:paraId="3D3C4DF3" w14:textId="7A874FFA" w:rsidR="00246980" w:rsidRPr="00AF5A92" w:rsidRDefault="00246980" w:rsidP="00246980">
            <w:pPr>
              <w:spacing w:line="240" w:lineRule="auto"/>
              <w:rPr>
                <w:color w:val="000000" w:themeColor="text1"/>
                <w:lang w:val="en-CH"/>
              </w:rPr>
            </w:pPr>
            <w:r w:rsidRPr="00AF5A92">
              <w:rPr>
                <w:color w:val="000000" w:themeColor="text1"/>
                <w:lang w:val="en-CH"/>
              </w:rPr>
              <w:t>Others</w:t>
            </w:r>
          </w:p>
        </w:tc>
        <w:tc>
          <w:tcPr>
            <w:tcW w:w="1275" w:type="dxa"/>
            <w:shd w:val="clear" w:color="auto" w:fill="D1D1D1" w:themeFill="background2" w:themeFillShade="E6"/>
            <w:noWrap/>
            <w:hideMark/>
          </w:tcPr>
          <w:p w14:paraId="4D8737CC" w14:textId="77777777" w:rsidR="00246980" w:rsidRPr="00AF5A92" w:rsidRDefault="00246980" w:rsidP="00246980">
            <w:pPr>
              <w:spacing w:line="240" w:lineRule="auto"/>
              <w:cnfStyle w:val="000000100000" w:firstRow="0" w:lastRow="0" w:firstColumn="0" w:lastColumn="0" w:oddVBand="0" w:evenVBand="0" w:oddHBand="1" w:evenHBand="0" w:firstRowFirstColumn="0" w:firstRowLastColumn="0" w:lastRowFirstColumn="0" w:lastRowLastColumn="0"/>
              <w:rPr>
                <w:b/>
                <w:bCs/>
                <w:color w:val="000000" w:themeColor="text1"/>
                <w:lang w:val="en-CH"/>
              </w:rPr>
            </w:pPr>
            <w:r w:rsidRPr="00AF5A92">
              <w:rPr>
                <w:b/>
                <w:bCs/>
                <w:color w:val="000000" w:themeColor="text1"/>
                <w:lang w:val="en-CH"/>
              </w:rPr>
              <w:t># Articles</w:t>
            </w:r>
          </w:p>
        </w:tc>
      </w:tr>
      <w:tr w:rsidR="00246980" w:rsidRPr="00AF5A92" w14:paraId="01788AFF"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6FD5131" w14:textId="77777777" w:rsidR="00246980" w:rsidRPr="00AF5A92" w:rsidRDefault="00246980" w:rsidP="00246980">
            <w:pPr>
              <w:spacing w:line="240" w:lineRule="auto"/>
              <w:rPr>
                <w:b w:val="0"/>
                <w:bCs w:val="0"/>
                <w:color w:val="000000"/>
                <w:lang w:val="en-CH"/>
              </w:rPr>
            </w:pPr>
            <w:r w:rsidRPr="00AF5A92">
              <w:rPr>
                <w:b w:val="0"/>
                <w:bCs w:val="0"/>
                <w:color w:val="000000"/>
                <w:lang w:val="en-CH"/>
              </w:rPr>
              <w:t>Clinical Reasoning</w:t>
            </w:r>
          </w:p>
        </w:tc>
        <w:tc>
          <w:tcPr>
            <w:tcW w:w="1275" w:type="dxa"/>
            <w:noWrap/>
            <w:hideMark/>
          </w:tcPr>
          <w:p w14:paraId="5F209ECA" w14:textId="77777777" w:rsidR="00246980" w:rsidRPr="00AF5A92" w:rsidRDefault="00246980" w:rsidP="00246980">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61</w:t>
            </w:r>
          </w:p>
        </w:tc>
      </w:tr>
      <w:tr w:rsidR="00246980" w:rsidRPr="00AF5A92" w14:paraId="7D8B88D3" w14:textId="77777777" w:rsidTr="0024698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0879036D" w14:textId="77777777" w:rsidR="00246980" w:rsidRPr="00AF5A92" w:rsidRDefault="00246980" w:rsidP="00246980">
            <w:pPr>
              <w:spacing w:line="240" w:lineRule="auto"/>
              <w:rPr>
                <w:b w:val="0"/>
                <w:bCs w:val="0"/>
                <w:color w:val="000000"/>
                <w:lang w:val="en-CH"/>
              </w:rPr>
            </w:pPr>
            <w:r w:rsidRPr="00AF5A92">
              <w:rPr>
                <w:b w:val="0"/>
                <w:bCs w:val="0"/>
                <w:color w:val="000000"/>
                <w:lang w:val="en-CH"/>
              </w:rPr>
              <w:t>Clinical Competence</w:t>
            </w:r>
          </w:p>
        </w:tc>
        <w:tc>
          <w:tcPr>
            <w:tcW w:w="1275" w:type="dxa"/>
            <w:shd w:val="clear" w:color="auto" w:fill="auto"/>
            <w:noWrap/>
            <w:hideMark/>
          </w:tcPr>
          <w:p w14:paraId="25851536" w14:textId="77777777" w:rsidR="00246980" w:rsidRPr="00AF5A92" w:rsidRDefault="00246980" w:rsidP="00246980">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18</w:t>
            </w:r>
          </w:p>
        </w:tc>
      </w:tr>
      <w:tr w:rsidR="00246980" w:rsidRPr="00AF5A92" w14:paraId="1EF4ADD8"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D0D04CB" w14:textId="77777777" w:rsidR="00246980" w:rsidRPr="00AF5A92" w:rsidRDefault="00246980" w:rsidP="00246980">
            <w:pPr>
              <w:spacing w:line="240" w:lineRule="auto"/>
              <w:rPr>
                <w:b w:val="0"/>
                <w:bCs w:val="0"/>
                <w:color w:val="000000"/>
                <w:lang w:val="en-CH"/>
              </w:rPr>
            </w:pPr>
            <w:r w:rsidRPr="00AF5A92">
              <w:rPr>
                <w:b w:val="0"/>
                <w:bCs w:val="0"/>
                <w:color w:val="000000"/>
                <w:lang w:val="en-CH"/>
              </w:rPr>
              <w:t>Mastery</w:t>
            </w:r>
          </w:p>
        </w:tc>
        <w:tc>
          <w:tcPr>
            <w:tcW w:w="1275" w:type="dxa"/>
            <w:noWrap/>
            <w:hideMark/>
          </w:tcPr>
          <w:p w14:paraId="277DC4D4" w14:textId="77777777" w:rsidR="00246980" w:rsidRPr="00AF5A92" w:rsidRDefault="00246980" w:rsidP="00246980">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14</w:t>
            </w:r>
          </w:p>
        </w:tc>
      </w:tr>
      <w:tr w:rsidR="00246980" w:rsidRPr="00AF5A92" w14:paraId="66EEADB5" w14:textId="77777777" w:rsidTr="0024698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2BBDED1E" w14:textId="77777777" w:rsidR="00246980" w:rsidRPr="00AF5A92" w:rsidRDefault="00246980" w:rsidP="00246980">
            <w:pPr>
              <w:spacing w:line="240" w:lineRule="auto"/>
              <w:rPr>
                <w:b w:val="0"/>
                <w:bCs w:val="0"/>
                <w:color w:val="000000"/>
                <w:lang w:val="en-CH"/>
              </w:rPr>
            </w:pPr>
            <w:r w:rsidRPr="00AF5A92">
              <w:rPr>
                <w:b w:val="0"/>
                <w:bCs w:val="0"/>
                <w:color w:val="000000"/>
                <w:lang w:val="en-CH"/>
              </w:rPr>
              <w:t>Diagnostic Competence</w:t>
            </w:r>
          </w:p>
        </w:tc>
        <w:tc>
          <w:tcPr>
            <w:tcW w:w="1275" w:type="dxa"/>
            <w:shd w:val="clear" w:color="auto" w:fill="auto"/>
            <w:noWrap/>
            <w:hideMark/>
          </w:tcPr>
          <w:p w14:paraId="303E73D6" w14:textId="77777777" w:rsidR="00246980" w:rsidRPr="00AF5A92" w:rsidRDefault="00246980" w:rsidP="00246980">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5</w:t>
            </w:r>
          </w:p>
        </w:tc>
      </w:tr>
      <w:tr w:rsidR="00246980" w:rsidRPr="00AF5A92" w14:paraId="2AC9C355"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D8AF834" w14:textId="77777777" w:rsidR="00246980" w:rsidRPr="00AF5A92" w:rsidRDefault="00246980" w:rsidP="00246980">
            <w:pPr>
              <w:spacing w:line="240" w:lineRule="auto"/>
              <w:rPr>
                <w:b w:val="0"/>
                <w:bCs w:val="0"/>
                <w:color w:val="000000"/>
                <w:lang w:val="en-CH"/>
              </w:rPr>
            </w:pPr>
            <w:r w:rsidRPr="00AF5A92">
              <w:rPr>
                <w:b w:val="0"/>
                <w:bCs w:val="0"/>
                <w:color w:val="000000"/>
                <w:lang w:val="en-CH"/>
              </w:rPr>
              <w:t>Diagnostic Excellence</w:t>
            </w:r>
          </w:p>
        </w:tc>
        <w:tc>
          <w:tcPr>
            <w:tcW w:w="1275" w:type="dxa"/>
            <w:noWrap/>
            <w:hideMark/>
          </w:tcPr>
          <w:p w14:paraId="0760E1F9" w14:textId="77777777" w:rsidR="00246980" w:rsidRPr="00AF5A92" w:rsidRDefault="00246980" w:rsidP="00246980">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3</w:t>
            </w:r>
          </w:p>
        </w:tc>
      </w:tr>
      <w:tr w:rsidR="00246980" w:rsidRPr="00AF5A92" w14:paraId="6D5FBEC1" w14:textId="77777777" w:rsidTr="00246980">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noWrap/>
            <w:hideMark/>
          </w:tcPr>
          <w:p w14:paraId="19575E5C" w14:textId="77777777" w:rsidR="00246980" w:rsidRPr="00AF5A92" w:rsidRDefault="00246980" w:rsidP="00246980">
            <w:pPr>
              <w:spacing w:line="240" w:lineRule="auto"/>
              <w:rPr>
                <w:b w:val="0"/>
                <w:bCs w:val="0"/>
                <w:color w:val="000000"/>
                <w:lang w:val="en-CH"/>
              </w:rPr>
            </w:pPr>
            <w:r w:rsidRPr="00AF5A92">
              <w:rPr>
                <w:b w:val="0"/>
                <w:bCs w:val="0"/>
                <w:color w:val="000000"/>
                <w:lang w:val="en-CH"/>
              </w:rPr>
              <w:t>Professional Competence</w:t>
            </w:r>
          </w:p>
        </w:tc>
        <w:tc>
          <w:tcPr>
            <w:tcW w:w="1275" w:type="dxa"/>
            <w:shd w:val="clear" w:color="auto" w:fill="auto"/>
            <w:noWrap/>
            <w:hideMark/>
          </w:tcPr>
          <w:p w14:paraId="47CBB807" w14:textId="77777777" w:rsidR="00246980" w:rsidRPr="00AF5A92" w:rsidRDefault="00246980" w:rsidP="00246980">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lang w:val="en-CH"/>
              </w:rPr>
            </w:pPr>
            <w:r w:rsidRPr="00AF5A92">
              <w:rPr>
                <w:color w:val="000000"/>
                <w:lang w:val="en-CH"/>
              </w:rPr>
              <w:t>2</w:t>
            </w:r>
          </w:p>
        </w:tc>
      </w:tr>
      <w:tr w:rsidR="00246980" w:rsidRPr="00AF5A92" w14:paraId="590EF466" w14:textId="77777777" w:rsidTr="002D66C7">
        <w:trPr>
          <w:trHeight w:val="320"/>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D25E6A1" w14:textId="77777777" w:rsidR="00246980" w:rsidRPr="00AF5A92" w:rsidRDefault="00246980" w:rsidP="00246980">
            <w:pPr>
              <w:spacing w:line="240" w:lineRule="auto"/>
              <w:rPr>
                <w:b w:val="0"/>
                <w:bCs w:val="0"/>
                <w:color w:val="000000"/>
                <w:lang w:val="en-CH"/>
              </w:rPr>
            </w:pPr>
            <w:r w:rsidRPr="00AF5A92">
              <w:rPr>
                <w:b w:val="0"/>
                <w:bCs w:val="0"/>
                <w:color w:val="000000"/>
                <w:lang w:val="en-CH"/>
              </w:rPr>
              <w:t>Physician Competence</w:t>
            </w:r>
          </w:p>
        </w:tc>
        <w:tc>
          <w:tcPr>
            <w:tcW w:w="1275" w:type="dxa"/>
            <w:noWrap/>
            <w:hideMark/>
          </w:tcPr>
          <w:p w14:paraId="020D735A" w14:textId="77777777" w:rsidR="00246980" w:rsidRPr="00AF5A92" w:rsidRDefault="00246980" w:rsidP="00246980">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lang w:val="en-CH"/>
              </w:rPr>
            </w:pPr>
            <w:r w:rsidRPr="00AF5A92">
              <w:rPr>
                <w:color w:val="000000"/>
                <w:lang w:val="en-CH"/>
              </w:rPr>
              <w:t>2</w:t>
            </w:r>
          </w:p>
        </w:tc>
      </w:tr>
    </w:tbl>
    <w:p w14:paraId="32178B0B" w14:textId="5E9A49F0" w:rsidR="008809A8" w:rsidRPr="00B452BA" w:rsidRDefault="00B452BA" w:rsidP="00B452BA">
      <w:pPr>
        <w:pStyle w:val="Caption"/>
        <w:jc w:val="center"/>
        <w:rPr>
          <w:color w:val="000000" w:themeColor="text1"/>
        </w:rPr>
      </w:pPr>
      <w:r w:rsidRPr="00B452BA">
        <w:rPr>
          <w:color w:val="000000" w:themeColor="text1"/>
        </w:rPr>
        <w:t xml:space="preserve">Table </w:t>
      </w:r>
      <w:r w:rsidRPr="00B452BA">
        <w:rPr>
          <w:color w:val="000000" w:themeColor="text1"/>
        </w:rPr>
        <w:fldChar w:fldCharType="begin"/>
      </w:r>
      <w:r w:rsidRPr="00B452BA">
        <w:rPr>
          <w:color w:val="000000" w:themeColor="text1"/>
        </w:rPr>
        <w:instrText xml:space="preserve"> SEQ Table \* ARABIC </w:instrText>
      </w:r>
      <w:r w:rsidRPr="00B452BA">
        <w:rPr>
          <w:color w:val="000000" w:themeColor="text1"/>
        </w:rPr>
        <w:fldChar w:fldCharType="separate"/>
      </w:r>
      <w:r w:rsidRPr="00B452BA">
        <w:rPr>
          <w:noProof/>
          <w:color w:val="000000" w:themeColor="text1"/>
        </w:rPr>
        <w:t>3</w:t>
      </w:r>
      <w:r w:rsidRPr="00B452BA">
        <w:rPr>
          <w:color w:val="000000" w:themeColor="text1"/>
        </w:rPr>
        <w:fldChar w:fldCharType="end"/>
      </w:r>
      <w:r w:rsidRPr="00B452BA">
        <w:rPr>
          <w:color w:val="000000" w:themeColor="text1"/>
        </w:rPr>
        <w:t>: Various terminologies utilized</w:t>
      </w:r>
    </w:p>
    <w:p w14:paraId="0199E717" w14:textId="77777777" w:rsidR="008809A8" w:rsidRDefault="008809A8" w:rsidP="00A50329">
      <w:pPr>
        <w:spacing w:line="240" w:lineRule="auto"/>
      </w:pPr>
    </w:p>
    <w:p w14:paraId="103A096F" w14:textId="77777777" w:rsidR="008809A8" w:rsidRDefault="008809A8" w:rsidP="00A50329">
      <w:pPr>
        <w:spacing w:line="240" w:lineRule="auto"/>
      </w:pPr>
    </w:p>
    <w:p w14:paraId="1E43F997" w14:textId="77777777" w:rsidR="008809A8" w:rsidRDefault="008809A8" w:rsidP="00A50329">
      <w:pPr>
        <w:spacing w:line="240" w:lineRule="auto"/>
      </w:pPr>
    </w:p>
    <w:p w14:paraId="71AF554F" w14:textId="77777777" w:rsidR="008809A8" w:rsidRDefault="008809A8" w:rsidP="00A50329">
      <w:pPr>
        <w:spacing w:line="240" w:lineRule="auto"/>
      </w:pPr>
    </w:p>
    <w:p w14:paraId="3F3C2EEE" w14:textId="77777777" w:rsidR="008809A8" w:rsidRDefault="008809A8" w:rsidP="00A50329">
      <w:pPr>
        <w:spacing w:line="240" w:lineRule="auto"/>
      </w:pPr>
    </w:p>
    <w:p w14:paraId="16892202" w14:textId="77777777" w:rsidR="008809A8" w:rsidRDefault="008809A8" w:rsidP="00A50329">
      <w:pPr>
        <w:spacing w:line="240" w:lineRule="auto"/>
      </w:pPr>
    </w:p>
    <w:p w14:paraId="2C6AD05C" w14:textId="77777777" w:rsidR="008809A8" w:rsidRDefault="008809A8" w:rsidP="00A50329">
      <w:pPr>
        <w:spacing w:line="240" w:lineRule="auto"/>
      </w:pPr>
    </w:p>
    <w:p w14:paraId="21074FD7" w14:textId="0395A6C8" w:rsidR="00A50329" w:rsidRDefault="00637A60" w:rsidP="00A50329">
      <w:pPr>
        <w:spacing w:line="240" w:lineRule="auto"/>
      </w:pPr>
      <w:r>
        <w:t>Table</w:t>
      </w:r>
    </w:p>
    <w:tbl>
      <w:tblPr>
        <w:tblStyle w:val="PlainTable1"/>
        <w:tblW w:w="0" w:type="auto"/>
        <w:jc w:val="center"/>
        <w:tblLook w:val="04A0" w:firstRow="1" w:lastRow="0" w:firstColumn="1" w:lastColumn="0" w:noHBand="0" w:noVBand="1"/>
      </w:tblPr>
      <w:tblGrid>
        <w:gridCol w:w="1318"/>
        <w:gridCol w:w="6332"/>
        <w:gridCol w:w="895"/>
      </w:tblGrid>
      <w:tr w:rsidR="00A50329" w:rsidRPr="00FB4A55" w14:paraId="2DE22FB9" w14:textId="77777777" w:rsidTr="002D66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8" w:type="dxa"/>
          </w:tcPr>
          <w:p w14:paraId="308EBD4E" w14:textId="77777777" w:rsidR="00A50329" w:rsidRPr="00FB4A55" w:rsidRDefault="00A50329" w:rsidP="00837B80">
            <w:pPr>
              <w:rPr>
                <w:sz w:val="20"/>
                <w:szCs w:val="20"/>
              </w:rPr>
            </w:pPr>
            <w:r w:rsidRPr="00FB4A55">
              <w:rPr>
                <w:sz w:val="20"/>
                <w:szCs w:val="20"/>
              </w:rPr>
              <w:lastRenderedPageBreak/>
              <w:t>Terminology</w:t>
            </w:r>
          </w:p>
        </w:tc>
        <w:tc>
          <w:tcPr>
            <w:tcW w:w="6332" w:type="dxa"/>
          </w:tcPr>
          <w:p w14:paraId="6F0116C6" w14:textId="77777777" w:rsidR="00A50329" w:rsidRPr="00FB4A55" w:rsidRDefault="00A50329" w:rsidP="00837B80">
            <w:pPr>
              <w:cnfStyle w:val="100000000000" w:firstRow="1" w:lastRow="0" w:firstColumn="0" w:lastColumn="0" w:oddVBand="0" w:evenVBand="0" w:oddHBand="0" w:evenHBand="0" w:firstRowFirstColumn="0" w:firstRowLastColumn="0" w:lastRowFirstColumn="0" w:lastRowLastColumn="0"/>
              <w:rPr>
                <w:sz w:val="20"/>
                <w:szCs w:val="20"/>
              </w:rPr>
            </w:pPr>
            <w:r w:rsidRPr="00FB4A55">
              <w:rPr>
                <w:sz w:val="20"/>
                <w:szCs w:val="20"/>
              </w:rPr>
              <w:t>Definition</w:t>
            </w:r>
          </w:p>
        </w:tc>
        <w:tc>
          <w:tcPr>
            <w:tcW w:w="895" w:type="dxa"/>
          </w:tcPr>
          <w:p w14:paraId="17D3A809" w14:textId="77777777" w:rsidR="00A50329" w:rsidRPr="00FB4A55" w:rsidRDefault="00A50329" w:rsidP="00837B8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Article</w:t>
            </w:r>
          </w:p>
        </w:tc>
      </w:tr>
      <w:tr w:rsidR="00A50329" w:rsidRPr="00FB4A55" w14:paraId="3DCEF478" w14:textId="77777777" w:rsidTr="002D66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8" w:type="dxa"/>
          </w:tcPr>
          <w:p w14:paraId="594D8680" w14:textId="77777777" w:rsidR="00A50329" w:rsidRPr="00FB4A55" w:rsidRDefault="00A50329" w:rsidP="00837B80">
            <w:pPr>
              <w:rPr>
                <w:sz w:val="20"/>
                <w:szCs w:val="20"/>
              </w:rPr>
            </w:pPr>
            <w:r>
              <w:rPr>
                <w:sz w:val="20"/>
                <w:szCs w:val="20"/>
              </w:rPr>
              <w:t>Physician Expert</w:t>
            </w:r>
          </w:p>
        </w:tc>
        <w:tc>
          <w:tcPr>
            <w:tcW w:w="6332" w:type="dxa"/>
          </w:tcPr>
          <w:p w14:paraId="0E2DC27B" w14:textId="77777777" w:rsidR="00A50329" w:rsidRPr="00FB4A55" w:rsidRDefault="00A50329" w:rsidP="00837B80">
            <w:pPr>
              <w:cnfStyle w:val="000000100000" w:firstRow="0" w:lastRow="0" w:firstColumn="0" w:lastColumn="0" w:oddVBand="0" w:evenVBand="0" w:oddHBand="1" w:evenHBand="0" w:firstRowFirstColumn="0" w:firstRowLastColumn="0" w:lastRowFirstColumn="0" w:lastRowLastColumn="0"/>
              <w:rPr>
                <w:sz w:val="20"/>
                <w:szCs w:val="20"/>
              </w:rPr>
            </w:pPr>
            <w:r w:rsidRPr="00FB4A55">
              <w:rPr>
                <w:sz w:val="20"/>
                <w:szCs w:val="20"/>
              </w:rPr>
              <w:t>"The physician expert is the person who, together with his/her individual knowledge and experience, evaluates the available evidence—assuming that he/she has the skill to do so—and uses it in clinical reasoning and problem-solving tasks."</w:t>
            </w:r>
          </w:p>
        </w:tc>
        <w:tc>
          <w:tcPr>
            <w:tcW w:w="895" w:type="dxa"/>
          </w:tcPr>
          <w:p w14:paraId="0C8AA454" w14:textId="77777777" w:rsidR="00A50329" w:rsidRPr="00FB4A55" w:rsidRDefault="00A50329" w:rsidP="00837B8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r>
      <w:tr w:rsidR="00A50329" w:rsidRPr="00FB4A55" w14:paraId="24C51FC4" w14:textId="77777777" w:rsidTr="002D66C7">
        <w:trPr>
          <w:jc w:val="center"/>
        </w:trPr>
        <w:tc>
          <w:tcPr>
            <w:cnfStyle w:val="001000000000" w:firstRow="0" w:lastRow="0" w:firstColumn="1" w:lastColumn="0" w:oddVBand="0" w:evenVBand="0" w:oddHBand="0" w:evenHBand="0" w:firstRowFirstColumn="0" w:firstRowLastColumn="0" w:lastRowFirstColumn="0" w:lastRowLastColumn="0"/>
            <w:tcW w:w="1318" w:type="dxa"/>
          </w:tcPr>
          <w:p w14:paraId="47858426" w14:textId="77777777" w:rsidR="00A50329" w:rsidRPr="00FB4A55" w:rsidRDefault="00A50329" w:rsidP="00837B80">
            <w:pPr>
              <w:rPr>
                <w:sz w:val="20"/>
                <w:szCs w:val="20"/>
              </w:rPr>
            </w:pPr>
            <w:r w:rsidRPr="00FB4A55">
              <w:rPr>
                <w:sz w:val="20"/>
                <w:szCs w:val="20"/>
              </w:rPr>
              <w:t>Medical Expertise</w:t>
            </w:r>
          </w:p>
        </w:tc>
        <w:tc>
          <w:tcPr>
            <w:tcW w:w="6332" w:type="dxa"/>
          </w:tcPr>
          <w:p w14:paraId="682B7680" w14:textId="77777777" w:rsidR="00A50329" w:rsidRPr="00FB4A55" w:rsidRDefault="00A50329" w:rsidP="00837B80">
            <w:pPr>
              <w:cnfStyle w:val="000000000000" w:firstRow="0" w:lastRow="0" w:firstColumn="0" w:lastColumn="0" w:oddVBand="0" w:evenVBand="0" w:oddHBand="0" w:evenHBand="0" w:firstRowFirstColumn="0" w:firstRowLastColumn="0" w:lastRowFirstColumn="0" w:lastRowLastColumn="0"/>
              <w:rPr>
                <w:sz w:val="20"/>
                <w:szCs w:val="20"/>
              </w:rPr>
            </w:pPr>
            <w:r w:rsidRPr="00FB4A55">
              <w:rPr>
                <w:sz w:val="20"/>
                <w:szCs w:val="20"/>
              </w:rPr>
              <w:t>“Medical expertise manifests in a hybrid form—one that integrates both propositional-cognitive and practical-experiential dimensions […] Experts are those who have attained a high degree of hybridization of these forms of knowledge and who simultaneously sustain advanced levels of currency within their domain.”</w:t>
            </w:r>
          </w:p>
        </w:tc>
        <w:tc>
          <w:tcPr>
            <w:tcW w:w="895" w:type="dxa"/>
          </w:tcPr>
          <w:p w14:paraId="666DFE64" w14:textId="77777777" w:rsidR="00A50329" w:rsidRPr="00FB4A55" w:rsidRDefault="00A50329" w:rsidP="00837B8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r>
      <w:tr w:rsidR="00A50329" w:rsidRPr="00FB4A55" w14:paraId="549DFC84" w14:textId="77777777" w:rsidTr="002D66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8" w:type="dxa"/>
          </w:tcPr>
          <w:p w14:paraId="39606916" w14:textId="77777777" w:rsidR="00A50329" w:rsidRPr="00FB4A55" w:rsidRDefault="00A50329" w:rsidP="00837B80">
            <w:pPr>
              <w:rPr>
                <w:sz w:val="20"/>
                <w:szCs w:val="20"/>
              </w:rPr>
            </w:pPr>
            <w:r>
              <w:rPr>
                <w:sz w:val="20"/>
                <w:szCs w:val="20"/>
              </w:rPr>
              <w:t>Professional Competence</w:t>
            </w:r>
          </w:p>
        </w:tc>
        <w:tc>
          <w:tcPr>
            <w:tcW w:w="6332" w:type="dxa"/>
          </w:tcPr>
          <w:p w14:paraId="42AC4463" w14:textId="77777777" w:rsidR="00A50329" w:rsidRPr="00FB4A55" w:rsidRDefault="00A50329" w:rsidP="00837B80">
            <w:pPr>
              <w:cnfStyle w:val="000000100000" w:firstRow="0" w:lastRow="0" w:firstColumn="0" w:lastColumn="0" w:oddVBand="0" w:evenVBand="0" w:oddHBand="1" w:evenHBand="0" w:firstRowFirstColumn="0" w:firstRowLastColumn="0" w:lastRowFirstColumn="0" w:lastRowLastColumn="0"/>
              <w:rPr>
                <w:sz w:val="20"/>
                <w:szCs w:val="20"/>
              </w:rPr>
            </w:pPr>
            <w:r w:rsidRPr="004F4D26">
              <w:rPr>
                <w:sz w:val="20"/>
                <w:szCs w:val="20"/>
              </w:rPr>
              <w:t>"Professional competence is the habitual and judicious use of communication, knowledge, technical skills, clinical reasoning, emotions, values, and reflection in daily practice for the benefit of the individual and community being served"</w:t>
            </w:r>
          </w:p>
        </w:tc>
        <w:tc>
          <w:tcPr>
            <w:tcW w:w="895" w:type="dxa"/>
          </w:tcPr>
          <w:p w14:paraId="65C86A2C" w14:textId="77777777" w:rsidR="00A50329" w:rsidRPr="004F4D26" w:rsidRDefault="00A50329" w:rsidP="00837B8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w:t>
            </w:r>
          </w:p>
        </w:tc>
      </w:tr>
      <w:tr w:rsidR="00A50329" w:rsidRPr="00FB4A55" w14:paraId="6F23D9C3" w14:textId="77777777" w:rsidTr="002D66C7">
        <w:trPr>
          <w:jc w:val="center"/>
        </w:trPr>
        <w:tc>
          <w:tcPr>
            <w:cnfStyle w:val="001000000000" w:firstRow="0" w:lastRow="0" w:firstColumn="1" w:lastColumn="0" w:oddVBand="0" w:evenVBand="0" w:oddHBand="0" w:evenHBand="0" w:firstRowFirstColumn="0" w:firstRowLastColumn="0" w:lastRowFirstColumn="0" w:lastRowLastColumn="0"/>
            <w:tcW w:w="1318" w:type="dxa"/>
          </w:tcPr>
          <w:p w14:paraId="4BED2852" w14:textId="77777777" w:rsidR="00A50329" w:rsidRPr="00FB4A55" w:rsidRDefault="00A50329" w:rsidP="00837B80">
            <w:pPr>
              <w:rPr>
                <w:sz w:val="20"/>
                <w:szCs w:val="20"/>
              </w:rPr>
            </w:pPr>
            <w:r w:rsidRPr="00FB4A55">
              <w:rPr>
                <w:sz w:val="20"/>
                <w:szCs w:val="20"/>
              </w:rPr>
              <w:t>Expert Judgment</w:t>
            </w:r>
          </w:p>
        </w:tc>
        <w:tc>
          <w:tcPr>
            <w:tcW w:w="6332" w:type="dxa"/>
          </w:tcPr>
          <w:p w14:paraId="6430BFDB" w14:textId="77777777" w:rsidR="00A50329" w:rsidRPr="00FB4A55" w:rsidRDefault="00A50329" w:rsidP="00837B80">
            <w:pPr>
              <w:cnfStyle w:val="000000000000" w:firstRow="0" w:lastRow="0" w:firstColumn="0" w:lastColumn="0" w:oddVBand="0" w:evenVBand="0" w:oddHBand="0" w:evenHBand="0" w:firstRowFirstColumn="0" w:firstRowLastColumn="0" w:lastRowFirstColumn="0" w:lastRowLastColumn="0"/>
              <w:rPr>
                <w:sz w:val="20"/>
                <w:szCs w:val="20"/>
              </w:rPr>
            </w:pPr>
            <w:r w:rsidRPr="00FB4A55">
              <w:rPr>
                <w:sz w:val="20"/>
                <w:szCs w:val="20"/>
              </w:rPr>
              <w:t>“Expert judgement be considered as an expert's ability to respond effectively in the moment to the limits of her automatic resources and to transition appropriately to a greater reliance on effortful processes when needed.</w:t>
            </w:r>
            <w:r>
              <w:rPr>
                <w:sz w:val="20"/>
                <w:szCs w:val="20"/>
              </w:rPr>
              <w:t>”</w:t>
            </w:r>
          </w:p>
        </w:tc>
        <w:tc>
          <w:tcPr>
            <w:tcW w:w="895" w:type="dxa"/>
          </w:tcPr>
          <w:p w14:paraId="3D3D2E3E" w14:textId="77777777" w:rsidR="00A50329" w:rsidRPr="00FB4A55" w:rsidRDefault="00A50329" w:rsidP="00837B8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r>
      <w:tr w:rsidR="00A50329" w:rsidRPr="00FB4A55" w14:paraId="468E44AC" w14:textId="77777777" w:rsidTr="002D66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8" w:type="dxa"/>
          </w:tcPr>
          <w:p w14:paraId="4D65F47E" w14:textId="77777777" w:rsidR="00A50329" w:rsidRPr="00FB4A55" w:rsidRDefault="00A50329" w:rsidP="00837B80">
            <w:pPr>
              <w:rPr>
                <w:sz w:val="20"/>
                <w:szCs w:val="20"/>
              </w:rPr>
            </w:pPr>
            <w:r>
              <w:rPr>
                <w:sz w:val="20"/>
                <w:szCs w:val="20"/>
              </w:rPr>
              <w:t>Adaptive Expertise</w:t>
            </w:r>
          </w:p>
        </w:tc>
        <w:tc>
          <w:tcPr>
            <w:tcW w:w="6332" w:type="dxa"/>
          </w:tcPr>
          <w:p w14:paraId="5B6159C4" w14:textId="77777777" w:rsidR="00A50329" w:rsidRPr="00FB4A55" w:rsidRDefault="00A50329" w:rsidP="00837B80">
            <w:pPr>
              <w:cnfStyle w:val="000000100000" w:firstRow="0" w:lastRow="0" w:firstColumn="0" w:lastColumn="0" w:oddVBand="0" w:evenVBand="0" w:oddHBand="1" w:evenHBand="0" w:firstRowFirstColumn="0" w:firstRowLastColumn="0" w:lastRowFirstColumn="0" w:lastRowLastColumn="0"/>
              <w:rPr>
                <w:sz w:val="20"/>
                <w:szCs w:val="20"/>
              </w:rPr>
            </w:pPr>
            <w:r w:rsidRPr="00706FB7">
              <w:rPr>
                <w:sz w:val="20"/>
                <w:szCs w:val="20"/>
              </w:rPr>
              <w:t>"The resulting constructions of “adaptive expertise” emphasize the flexible use of knowledge and the ability to generate new solutions and learn from daily problem solving as key processes of clinical decision making.</w:t>
            </w:r>
            <w:r>
              <w:rPr>
                <w:sz w:val="20"/>
                <w:szCs w:val="20"/>
              </w:rPr>
              <w:t xml:space="preserve"> </w:t>
            </w:r>
            <w:r w:rsidRPr="00706FB7">
              <w:rPr>
                <w:sz w:val="20"/>
                <w:szCs w:val="20"/>
              </w:rPr>
              <w:t xml:space="preserve">Specifically, adaptive experts </w:t>
            </w:r>
            <w:proofErr w:type="gramStart"/>
            <w:r w:rsidRPr="00706FB7">
              <w:rPr>
                <w:sz w:val="20"/>
                <w:szCs w:val="20"/>
              </w:rPr>
              <w:t>are able to</w:t>
            </w:r>
            <w:proofErr w:type="gramEnd"/>
            <w:r w:rsidRPr="00706FB7">
              <w:rPr>
                <w:sz w:val="20"/>
                <w:szCs w:val="20"/>
              </w:rPr>
              <w:t xml:space="preserve"> balance the efficient use of their previously acquired knowledge with the creation of new knowledge in response to novelty and complexity."</w:t>
            </w:r>
          </w:p>
        </w:tc>
        <w:tc>
          <w:tcPr>
            <w:tcW w:w="895" w:type="dxa"/>
          </w:tcPr>
          <w:p w14:paraId="40BDA5CB" w14:textId="77777777" w:rsidR="00A50329" w:rsidRPr="00706FB7" w:rsidRDefault="00A50329" w:rsidP="00837B8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40</w:t>
            </w:r>
          </w:p>
        </w:tc>
      </w:tr>
      <w:tr w:rsidR="00A50329" w:rsidRPr="00FB4A55" w14:paraId="7E436287" w14:textId="77777777" w:rsidTr="002D66C7">
        <w:trPr>
          <w:jc w:val="center"/>
        </w:trPr>
        <w:tc>
          <w:tcPr>
            <w:cnfStyle w:val="001000000000" w:firstRow="0" w:lastRow="0" w:firstColumn="1" w:lastColumn="0" w:oddVBand="0" w:evenVBand="0" w:oddHBand="0" w:evenHBand="0" w:firstRowFirstColumn="0" w:firstRowLastColumn="0" w:lastRowFirstColumn="0" w:lastRowLastColumn="0"/>
            <w:tcW w:w="1318" w:type="dxa"/>
          </w:tcPr>
          <w:p w14:paraId="5AED51D9" w14:textId="77777777" w:rsidR="00A50329" w:rsidRPr="00FB4A55" w:rsidRDefault="00A50329" w:rsidP="00837B80">
            <w:pPr>
              <w:rPr>
                <w:sz w:val="20"/>
                <w:szCs w:val="20"/>
              </w:rPr>
            </w:pPr>
            <w:r>
              <w:rPr>
                <w:sz w:val="20"/>
                <w:szCs w:val="20"/>
              </w:rPr>
              <w:t>Expertise</w:t>
            </w:r>
          </w:p>
        </w:tc>
        <w:tc>
          <w:tcPr>
            <w:tcW w:w="6332" w:type="dxa"/>
          </w:tcPr>
          <w:p w14:paraId="5D69EA17" w14:textId="77777777" w:rsidR="00A50329" w:rsidRPr="00FB4A55" w:rsidRDefault="00A50329" w:rsidP="00837B80">
            <w:pPr>
              <w:cnfStyle w:val="000000000000" w:firstRow="0" w:lastRow="0" w:firstColumn="0" w:lastColumn="0" w:oddVBand="0" w:evenVBand="0" w:oddHBand="0" w:evenHBand="0" w:firstRowFirstColumn="0" w:firstRowLastColumn="0" w:lastRowFirstColumn="0" w:lastRowLastColumn="0"/>
              <w:rPr>
                <w:sz w:val="20"/>
                <w:szCs w:val="20"/>
              </w:rPr>
            </w:pPr>
            <w:r w:rsidRPr="00706FB7">
              <w:rPr>
                <w:sz w:val="20"/>
                <w:szCs w:val="20"/>
              </w:rPr>
              <w:t>"Within the traditional cognitive paradigm, expertise has been deﬁned broadly as the mastery of existing knowledge and techniques in a given domain"</w:t>
            </w:r>
          </w:p>
        </w:tc>
        <w:tc>
          <w:tcPr>
            <w:tcW w:w="895" w:type="dxa"/>
          </w:tcPr>
          <w:p w14:paraId="434662A6" w14:textId="77777777" w:rsidR="00A50329" w:rsidRPr="00706FB7" w:rsidRDefault="00A50329" w:rsidP="00837B8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w:t>
            </w:r>
          </w:p>
        </w:tc>
      </w:tr>
      <w:tr w:rsidR="00A50329" w:rsidRPr="00FB4A55" w14:paraId="53EB4A9F" w14:textId="77777777" w:rsidTr="002D66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8" w:type="dxa"/>
          </w:tcPr>
          <w:p w14:paraId="7A27C848" w14:textId="77777777" w:rsidR="00A50329" w:rsidRPr="00FB4A55" w:rsidRDefault="00A50329" w:rsidP="00837B80">
            <w:pPr>
              <w:rPr>
                <w:sz w:val="20"/>
                <w:szCs w:val="20"/>
              </w:rPr>
            </w:pPr>
            <w:r w:rsidRPr="00FB4A55">
              <w:rPr>
                <w:sz w:val="20"/>
                <w:szCs w:val="20"/>
              </w:rPr>
              <w:t>Medical Expert</w:t>
            </w:r>
          </w:p>
        </w:tc>
        <w:tc>
          <w:tcPr>
            <w:tcW w:w="6332" w:type="dxa"/>
          </w:tcPr>
          <w:p w14:paraId="633B59EE" w14:textId="77777777" w:rsidR="00A50329" w:rsidRPr="00FB4A55" w:rsidRDefault="00A50329" w:rsidP="00837B80">
            <w:pPr>
              <w:cnfStyle w:val="000000100000" w:firstRow="0" w:lastRow="0" w:firstColumn="0" w:lastColumn="0" w:oddVBand="0" w:evenVBand="0" w:oddHBand="1" w:evenHBand="0" w:firstRowFirstColumn="0" w:firstRowLastColumn="0" w:lastRowFirstColumn="0" w:lastRowLastColumn="0"/>
              <w:rPr>
                <w:sz w:val="20"/>
                <w:szCs w:val="20"/>
              </w:rPr>
            </w:pPr>
            <w:r w:rsidRPr="00FB4A55">
              <w:rPr>
                <w:sz w:val="20"/>
                <w:szCs w:val="20"/>
              </w:rPr>
              <w:t>“Medical experts earn their title because of their years of experience and the amount of knowledge they are presumed to have acquired during that time.”</w:t>
            </w:r>
          </w:p>
        </w:tc>
        <w:tc>
          <w:tcPr>
            <w:tcW w:w="895" w:type="dxa"/>
          </w:tcPr>
          <w:p w14:paraId="76F5EF53" w14:textId="77777777" w:rsidR="00A50329" w:rsidRPr="00FB4A55" w:rsidRDefault="00A50329" w:rsidP="00837B8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43</w:t>
            </w:r>
          </w:p>
        </w:tc>
      </w:tr>
      <w:tr w:rsidR="00A50329" w:rsidRPr="00FB4A55" w14:paraId="6F5183C8" w14:textId="77777777" w:rsidTr="002D66C7">
        <w:trPr>
          <w:jc w:val="center"/>
        </w:trPr>
        <w:tc>
          <w:tcPr>
            <w:cnfStyle w:val="001000000000" w:firstRow="0" w:lastRow="0" w:firstColumn="1" w:lastColumn="0" w:oddVBand="0" w:evenVBand="0" w:oddHBand="0" w:evenHBand="0" w:firstRowFirstColumn="0" w:firstRowLastColumn="0" w:lastRowFirstColumn="0" w:lastRowLastColumn="0"/>
            <w:tcW w:w="1318" w:type="dxa"/>
          </w:tcPr>
          <w:p w14:paraId="049A9F31" w14:textId="77777777" w:rsidR="00A50329" w:rsidRPr="00FB4A55" w:rsidRDefault="00A50329" w:rsidP="00837B80">
            <w:pPr>
              <w:rPr>
                <w:sz w:val="20"/>
                <w:szCs w:val="20"/>
              </w:rPr>
            </w:pPr>
            <w:r>
              <w:rPr>
                <w:sz w:val="20"/>
                <w:szCs w:val="20"/>
              </w:rPr>
              <w:t>Routine Expert</w:t>
            </w:r>
          </w:p>
        </w:tc>
        <w:tc>
          <w:tcPr>
            <w:tcW w:w="6332" w:type="dxa"/>
          </w:tcPr>
          <w:p w14:paraId="3AD9BDB8" w14:textId="77777777" w:rsidR="00A50329" w:rsidRPr="00FB4A55" w:rsidRDefault="00A50329" w:rsidP="00837B80">
            <w:pPr>
              <w:cnfStyle w:val="000000000000" w:firstRow="0" w:lastRow="0" w:firstColumn="0" w:lastColumn="0" w:oddVBand="0" w:evenVBand="0" w:oddHBand="0" w:evenHBand="0" w:firstRowFirstColumn="0" w:firstRowLastColumn="0" w:lastRowFirstColumn="0" w:lastRowLastColumn="0"/>
              <w:rPr>
                <w:sz w:val="20"/>
                <w:szCs w:val="20"/>
              </w:rPr>
            </w:pPr>
            <w:r w:rsidRPr="00706FB7">
              <w:rPr>
                <w:sz w:val="20"/>
                <w:szCs w:val="20"/>
              </w:rPr>
              <w:t>"Routine experts have mastery of knowledge in their domain; they are able to apply their knowledge effectively and efﬁciently when solving well-known problems of practice and their learning is aimed towards making them more efﬁcient in their work."</w:t>
            </w:r>
          </w:p>
        </w:tc>
        <w:tc>
          <w:tcPr>
            <w:tcW w:w="895" w:type="dxa"/>
          </w:tcPr>
          <w:p w14:paraId="4E50080C" w14:textId="77777777" w:rsidR="00A50329" w:rsidRPr="00706FB7" w:rsidRDefault="00A50329" w:rsidP="00837B8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w:t>
            </w:r>
          </w:p>
        </w:tc>
      </w:tr>
      <w:tr w:rsidR="00A50329" w:rsidRPr="00FB4A55" w14:paraId="4EF164EF" w14:textId="77777777" w:rsidTr="002D66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8" w:type="dxa"/>
          </w:tcPr>
          <w:p w14:paraId="25397E2D" w14:textId="77777777" w:rsidR="00A50329" w:rsidRPr="00FB4A55" w:rsidRDefault="00A50329" w:rsidP="00837B80">
            <w:pPr>
              <w:rPr>
                <w:sz w:val="20"/>
                <w:szCs w:val="20"/>
              </w:rPr>
            </w:pPr>
            <w:r w:rsidRPr="00FB4A55">
              <w:rPr>
                <w:sz w:val="20"/>
                <w:szCs w:val="20"/>
              </w:rPr>
              <w:t>Clinical Competence</w:t>
            </w:r>
          </w:p>
        </w:tc>
        <w:tc>
          <w:tcPr>
            <w:tcW w:w="6332" w:type="dxa"/>
          </w:tcPr>
          <w:p w14:paraId="29AA5B31" w14:textId="77777777" w:rsidR="00A50329" w:rsidRPr="00FB4A55" w:rsidRDefault="00A50329" w:rsidP="00837B80">
            <w:pPr>
              <w:cnfStyle w:val="000000100000" w:firstRow="0" w:lastRow="0" w:firstColumn="0" w:lastColumn="0" w:oddVBand="0" w:evenVBand="0" w:oddHBand="1" w:evenHBand="0" w:firstRowFirstColumn="0" w:firstRowLastColumn="0" w:lastRowFirstColumn="0" w:lastRowLastColumn="0"/>
              <w:rPr>
                <w:sz w:val="20"/>
                <w:szCs w:val="20"/>
              </w:rPr>
            </w:pPr>
            <w:r w:rsidRPr="00FB4A55">
              <w:rPr>
                <w:sz w:val="20"/>
                <w:szCs w:val="20"/>
              </w:rPr>
              <w:t>“At its simplest, clinical competence may be regarded as the mastery of a body of relevant knowledge and the acquisition of a range of relevant skills, which would include interpersonal, clinical and technical components"</w:t>
            </w:r>
          </w:p>
        </w:tc>
        <w:tc>
          <w:tcPr>
            <w:tcW w:w="895" w:type="dxa"/>
          </w:tcPr>
          <w:p w14:paraId="07792E49" w14:textId="77777777" w:rsidR="00A50329" w:rsidRPr="00FB4A55" w:rsidRDefault="00A50329" w:rsidP="00837B80">
            <w:pPr>
              <w:keepN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w:t>
            </w:r>
          </w:p>
        </w:tc>
      </w:tr>
    </w:tbl>
    <w:p w14:paraId="421FCDAE" w14:textId="5097C6B3" w:rsidR="00800158" w:rsidRPr="00287F5A" w:rsidRDefault="00A50329" w:rsidP="008809A8">
      <w:pPr>
        <w:pStyle w:val="Caption"/>
        <w:jc w:val="center"/>
        <w:rPr>
          <w:color w:val="000000" w:themeColor="text1"/>
        </w:rPr>
      </w:pPr>
      <w:r w:rsidRPr="00287F5A">
        <w:rPr>
          <w:color w:val="000000" w:themeColor="text1"/>
        </w:rPr>
        <w:t>Table 4: Varied definitions</w:t>
      </w:r>
    </w:p>
    <w:p w14:paraId="44437058" w14:textId="43F4F328" w:rsidR="00D33FB2" w:rsidRPr="006907DA" w:rsidRDefault="00D33FB2" w:rsidP="00757A8B">
      <w:pPr>
        <w:pStyle w:val="Heading2"/>
        <w:rPr>
          <w:rFonts w:ascii="Times New Roman" w:hAnsi="Times New Roman" w:cs="Times New Roman"/>
          <w:b/>
          <w:bCs/>
          <w:color w:val="000000" w:themeColor="text1"/>
          <w:sz w:val="24"/>
          <w:szCs w:val="24"/>
        </w:rPr>
      </w:pPr>
      <w:r w:rsidRPr="006907DA">
        <w:rPr>
          <w:rFonts w:ascii="Times New Roman" w:hAnsi="Times New Roman" w:cs="Times New Roman"/>
          <w:b/>
          <w:bCs/>
          <w:color w:val="000000" w:themeColor="text1"/>
          <w:sz w:val="24"/>
          <w:szCs w:val="24"/>
        </w:rPr>
        <w:lastRenderedPageBreak/>
        <w:t>B. Study Articles</w:t>
      </w:r>
    </w:p>
    <w:p w14:paraId="25F88E63" w14:textId="65DC0D9E" w:rsidR="004E77FE" w:rsidRPr="004E77FE" w:rsidRDefault="004E77FE" w:rsidP="004E77FE">
      <w:pPr>
        <w:spacing w:line="240" w:lineRule="auto"/>
        <w:rPr>
          <w:lang w:val="en-CH"/>
        </w:rPr>
      </w:pPr>
      <w:r w:rsidRPr="004E77FE">
        <w:rPr>
          <w:lang w:val="en-CH"/>
        </w:rPr>
        <w:t>1.</w:t>
      </w:r>
      <w:r w:rsidR="0010487D">
        <w:rPr>
          <w:lang w:val="en-CH"/>
        </w:rPr>
        <w:t xml:space="preserve"> </w:t>
      </w:r>
      <w:r w:rsidRPr="004E77FE">
        <w:rPr>
          <w:lang w:val="en-CH"/>
        </w:rPr>
        <w:t>Amey DL, Donald PKJ, Teodorczuk APA. Teaching clinical reasoning to medical students. 2017.</w:t>
      </w:r>
    </w:p>
    <w:p w14:paraId="51D0316A" w14:textId="517820E0" w:rsidR="004E77FE" w:rsidRPr="004E77FE" w:rsidRDefault="004E77FE" w:rsidP="004E77FE">
      <w:pPr>
        <w:spacing w:line="240" w:lineRule="auto"/>
        <w:rPr>
          <w:lang w:val="en-CH"/>
        </w:rPr>
      </w:pPr>
      <w:r w:rsidRPr="004E77FE">
        <w:rPr>
          <w:lang w:val="en-CH"/>
        </w:rPr>
        <w:t>2.</w:t>
      </w:r>
      <w:r w:rsidR="0010487D">
        <w:rPr>
          <w:lang w:val="en-CH"/>
        </w:rPr>
        <w:t xml:space="preserve"> </w:t>
      </w:r>
      <w:r w:rsidRPr="004E77FE">
        <w:rPr>
          <w:lang w:val="en-CH"/>
        </w:rPr>
        <w:t>Barrows HS, Feltovich PJ. The clinical reasoning process. Medical Education. 1987 Mar;21(2):86–91. doi:</w:t>
      </w:r>
      <w:hyperlink r:id="rId8" w:history="1">
        <w:r w:rsidRPr="004E77FE">
          <w:rPr>
            <w:color w:val="0000FF"/>
            <w:u w:val="single"/>
            <w:lang w:val="en-CH"/>
          </w:rPr>
          <w:t>10.1111/j.1365-2923.1987.tb00671.x</w:t>
        </w:r>
      </w:hyperlink>
    </w:p>
    <w:p w14:paraId="393DFFAF" w14:textId="4C240648" w:rsidR="004E77FE" w:rsidRPr="004E77FE" w:rsidRDefault="004E77FE" w:rsidP="004E77FE">
      <w:pPr>
        <w:spacing w:line="240" w:lineRule="auto"/>
        <w:rPr>
          <w:lang w:val="en-CH"/>
        </w:rPr>
      </w:pPr>
      <w:r w:rsidRPr="004E77FE">
        <w:rPr>
          <w:lang w:val="en-CH"/>
        </w:rPr>
        <w:t>3.</w:t>
      </w:r>
      <w:r w:rsidR="0010487D">
        <w:rPr>
          <w:lang w:val="en-CH"/>
        </w:rPr>
        <w:t xml:space="preserve"> </w:t>
      </w:r>
      <w:r w:rsidRPr="004E77FE">
        <w:rPr>
          <w:lang w:val="en-CH"/>
        </w:rPr>
        <w:t>Berndt M, Fischer MR. The role of electronic health records in clinical reasoning. Annals of the New York Academy of Sciences. 2018 Dec;1434(1):109–14. doi:</w:t>
      </w:r>
      <w:hyperlink r:id="rId9" w:history="1">
        <w:r w:rsidRPr="004E77FE">
          <w:rPr>
            <w:color w:val="0000FF"/>
            <w:u w:val="single"/>
            <w:lang w:val="en-CH"/>
          </w:rPr>
          <w:t>10.1111/nyas.13849</w:t>
        </w:r>
      </w:hyperlink>
    </w:p>
    <w:p w14:paraId="3CA0B739" w14:textId="2DC437B8" w:rsidR="004E77FE" w:rsidRPr="004E77FE" w:rsidRDefault="004E77FE" w:rsidP="004E77FE">
      <w:pPr>
        <w:spacing w:line="240" w:lineRule="auto"/>
        <w:rPr>
          <w:lang w:val="en-CH"/>
        </w:rPr>
      </w:pPr>
      <w:r w:rsidRPr="004E77FE">
        <w:rPr>
          <w:lang w:val="en-CH"/>
        </w:rPr>
        <w:t>4.</w:t>
      </w:r>
      <w:r w:rsidR="0010487D">
        <w:rPr>
          <w:lang w:val="en-CH"/>
        </w:rPr>
        <w:t xml:space="preserve"> </w:t>
      </w:r>
      <w:r w:rsidRPr="004E77FE">
        <w:rPr>
          <w:lang w:val="en-CH"/>
        </w:rPr>
        <w:t>Bissessur SW, Geijteman ECT, Al‐Dulaimy M, Teunissen PimW, Richir MC, Arnold AER, et al. Therapeutic reasoning: from hiatus to hypothetical model. Evaluation Clinical Practice. 2009 Dec;15(6):985–9. doi:</w:t>
      </w:r>
      <w:hyperlink r:id="rId10" w:history="1">
        <w:r w:rsidRPr="004E77FE">
          <w:rPr>
            <w:color w:val="0000FF"/>
            <w:u w:val="single"/>
            <w:lang w:val="en-CH"/>
          </w:rPr>
          <w:t>10.1111/j.1365-2753.2009.01136.x</w:t>
        </w:r>
      </w:hyperlink>
    </w:p>
    <w:p w14:paraId="6A0F63C3" w14:textId="7C378303" w:rsidR="004E77FE" w:rsidRPr="004E77FE" w:rsidRDefault="004E77FE" w:rsidP="004E77FE">
      <w:pPr>
        <w:spacing w:line="240" w:lineRule="auto"/>
        <w:rPr>
          <w:lang w:val="en-CH"/>
        </w:rPr>
      </w:pPr>
      <w:r w:rsidRPr="004E77FE">
        <w:rPr>
          <w:lang w:val="en-CH"/>
        </w:rPr>
        <w:t>5.</w:t>
      </w:r>
      <w:r w:rsidR="0010487D">
        <w:rPr>
          <w:lang w:val="en-CH"/>
        </w:rPr>
        <w:t xml:space="preserve"> </w:t>
      </w:r>
      <w:r w:rsidRPr="004E77FE">
        <w:rPr>
          <w:lang w:val="en-CH"/>
        </w:rPr>
        <w:t>Bleakley A, Farrow R, Gould D, Marshall R. Making sense of clinical reasoning: judgement and the evidence of the senses. Medical Education. 2003 Jun;37(6):544–52. doi:</w:t>
      </w:r>
      <w:hyperlink r:id="rId11" w:history="1">
        <w:r w:rsidRPr="004E77FE">
          <w:rPr>
            <w:color w:val="0000FF"/>
            <w:u w:val="single"/>
            <w:lang w:val="en-CH"/>
          </w:rPr>
          <w:t>10.1046/j.1365-2923.2003.01542.x</w:t>
        </w:r>
      </w:hyperlink>
    </w:p>
    <w:p w14:paraId="38835BA8" w14:textId="2B657197" w:rsidR="004E77FE" w:rsidRPr="004E77FE" w:rsidRDefault="004E77FE" w:rsidP="004E77FE">
      <w:pPr>
        <w:spacing w:line="240" w:lineRule="auto"/>
        <w:rPr>
          <w:lang w:val="en-CH"/>
        </w:rPr>
      </w:pPr>
      <w:r w:rsidRPr="004E77FE">
        <w:rPr>
          <w:lang w:val="en-CH"/>
        </w:rPr>
        <w:t>6.</w:t>
      </w:r>
      <w:r w:rsidR="0010487D">
        <w:rPr>
          <w:lang w:val="en-CH"/>
        </w:rPr>
        <w:t xml:space="preserve"> </w:t>
      </w:r>
      <w:r w:rsidRPr="004E77FE">
        <w:rPr>
          <w:lang w:val="en-CH"/>
        </w:rPr>
        <w:t>Chamberland M, Mamede S, Bergeron L, Varpio L. A&amp;nbsp;layered analysis of self-explanation and structured reflection to support clinical reasoning in medical students. Perspect Med Educ. 2020 Jul 30;10(3):171–9. doi:</w:t>
      </w:r>
      <w:hyperlink r:id="rId12" w:history="1">
        <w:r w:rsidRPr="004E77FE">
          <w:rPr>
            <w:color w:val="0000FF"/>
            <w:u w:val="single"/>
            <w:lang w:val="en-CH"/>
          </w:rPr>
          <w:t>10.1007/S40037-020-00603-2</w:t>
        </w:r>
      </w:hyperlink>
    </w:p>
    <w:p w14:paraId="5C30D24D" w14:textId="46C10118" w:rsidR="004E77FE" w:rsidRPr="004E77FE" w:rsidRDefault="004E77FE" w:rsidP="004E77FE">
      <w:pPr>
        <w:spacing w:line="240" w:lineRule="auto"/>
        <w:rPr>
          <w:lang w:val="en-CH"/>
        </w:rPr>
      </w:pPr>
      <w:r w:rsidRPr="004E77FE">
        <w:rPr>
          <w:lang w:val="en-CH"/>
        </w:rPr>
        <w:t>7.</w:t>
      </w:r>
      <w:r w:rsidR="0010487D">
        <w:rPr>
          <w:lang w:val="en-CH"/>
        </w:rPr>
        <w:t xml:space="preserve"> </w:t>
      </w:r>
      <w:r w:rsidRPr="004E77FE">
        <w:rPr>
          <w:lang w:val="en-CH"/>
        </w:rPr>
        <w:t>Chen H, Xuan H, Cai J, Liu M, Shi L. The impact of empathy on medical students: an integrative review. BMC Med Educ. 2024 Apr 25;24(1):455. doi:</w:t>
      </w:r>
      <w:hyperlink r:id="rId13" w:history="1">
        <w:r w:rsidRPr="004E77FE">
          <w:rPr>
            <w:color w:val="0000FF"/>
            <w:u w:val="single"/>
            <w:lang w:val="en-CH"/>
          </w:rPr>
          <w:t>10.1186/s12909-024-05448-5</w:t>
        </w:r>
      </w:hyperlink>
    </w:p>
    <w:p w14:paraId="302C72CD" w14:textId="37F9A0C1" w:rsidR="004E77FE" w:rsidRPr="004E77FE" w:rsidRDefault="004E77FE" w:rsidP="004E77FE">
      <w:pPr>
        <w:spacing w:line="240" w:lineRule="auto"/>
        <w:rPr>
          <w:lang w:val="en-CH"/>
        </w:rPr>
      </w:pPr>
      <w:r w:rsidRPr="004E77FE">
        <w:rPr>
          <w:lang w:val="en-CH"/>
        </w:rPr>
        <w:t>8.</w:t>
      </w:r>
      <w:r w:rsidR="0010487D">
        <w:rPr>
          <w:lang w:val="en-CH"/>
        </w:rPr>
        <w:t xml:space="preserve"> </w:t>
      </w:r>
      <w:r w:rsidRPr="004E77FE">
        <w:rPr>
          <w:lang w:val="en-CH"/>
        </w:rPr>
        <w:t>Conn JJ, Lake FR, McColl GJ, Bilszta JLC, Woodward‐Kron R. Clinical teaching and learning: from theory and research to application. Medical Journal of Australia. 2012 May;196(8):527–527. doi:</w:t>
      </w:r>
      <w:hyperlink r:id="rId14" w:history="1">
        <w:r w:rsidRPr="004E77FE">
          <w:rPr>
            <w:color w:val="0000FF"/>
            <w:u w:val="single"/>
            <w:lang w:val="en-CH"/>
          </w:rPr>
          <w:t>10.5694/mja10.11473</w:t>
        </w:r>
      </w:hyperlink>
    </w:p>
    <w:p w14:paraId="2018F839" w14:textId="0850DA71" w:rsidR="004E77FE" w:rsidRPr="004E77FE" w:rsidRDefault="004E77FE" w:rsidP="004E77FE">
      <w:pPr>
        <w:spacing w:line="240" w:lineRule="auto"/>
        <w:rPr>
          <w:lang w:val="en-CH"/>
        </w:rPr>
      </w:pPr>
      <w:r w:rsidRPr="004E77FE">
        <w:rPr>
          <w:lang w:val="en-CH"/>
        </w:rPr>
        <w:t>9.</w:t>
      </w:r>
      <w:r w:rsidR="0010487D">
        <w:rPr>
          <w:lang w:val="en-CH"/>
        </w:rPr>
        <w:t xml:space="preserve"> </w:t>
      </w:r>
      <w:r w:rsidRPr="004E77FE">
        <w:rPr>
          <w:lang w:val="en-CH"/>
        </w:rPr>
        <w:t>Cooper N, Bartlett M, Gay S, Hammond A, Lillicrap M, Matthan J, et al. Consensus statement on the content of clinical reasoning curricula in undergraduate medical education. Medical Teacher. 2021 Feb 1;43(2):152–9. doi:</w:t>
      </w:r>
      <w:hyperlink r:id="rId15" w:history="1">
        <w:r w:rsidRPr="004E77FE">
          <w:rPr>
            <w:color w:val="0000FF"/>
            <w:u w:val="single"/>
            <w:lang w:val="en-CH"/>
          </w:rPr>
          <w:t>10.1080/0142159X.2020.1842343</w:t>
        </w:r>
      </w:hyperlink>
    </w:p>
    <w:p w14:paraId="46753AEF" w14:textId="38EF8A61" w:rsidR="004E77FE" w:rsidRPr="004E77FE" w:rsidRDefault="004E77FE" w:rsidP="004E77FE">
      <w:pPr>
        <w:spacing w:line="240" w:lineRule="auto"/>
        <w:rPr>
          <w:lang w:val="en-CH"/>
        </w:rPr>
      </w:pPr>
      <w:r w:rsidRPr="004E77FE">
        <w:rPr>
          <w:lang w:val="en-CH"/>
        </w:rPr>
        <w:t>10.</w:t>
      </w:r>
      <w:r w:rsidR="0010487D">
        <w:rPr>
          <w:lang w:val="en-CH"/>
        </w:rPr>
        <w:t xml:space="preserve"> </w:t>
      </w:r>
      <w:r w:rsidRPr="004E77FE">
        <w:rPr>
          <w:lang w:val="en-CH"/>
        </w:rPr>
        <w:t>Croskerry P. A Universal Model of Diagnostic Reasoning: Academic Medicine. 2009 Aug;84(8):1022–8. doi:</w:t>
      </w:r>
      <w:hyperlink r:id="rId16" w:history="1">
        <w:r w:rsidRPr="004E77FE">
          <w:rPr>
            <w:color w:val="0000FF"/>
            <w:u w:val="single"/>
            <w:lang w:val="en-CH"/>
          </w:rPr>
          <w:t>10.1097/ACM.0b013e3181ace703</w:t>
        </w:r>
      </w:hyperlink>
    </w:p>
    <w:p w14:paraId="5668B466" w14:textId="0A63715A" w:rsidR="004E77FE" w:rsidRPr="004E77FE" w:rsidRDefault="004E77FE" w:rsidP="004E77FE">
      <w:pPr>
        <w:spacing w:line="240" w:lineRule="auto"/>
        <w:rPr>
          <w:lang w:val="en-CH"/>
        </w:rPr>
      </w:pPr>
      <w:r w:rsidRPr="004E77FE">
        <w:rPr>
          <w:lang w:val="en-CH"/>
        </w:rPr>
        <w:t>11.</w:t>
      </w:r>
      <w:r w:rsidR="0010487D">
        <w:rPr>
          <w:lang w:val="en-CH"/>
        </w:rPr>
        <w:t xml:space="preserve"> </w:t>
      </w:r>
      <w:r w:rsidRPr="004E77FE">
        <w:rPr>
          <w:lang w:val="en-CH"/>
        </w:rPr>
        <w:t>Croskerry P, Graber ML. The importance of cognition for improving diagnostic safety: Salerno redux? Diagnosis. 2025 Oct 20;12(4):557–63. doi:</w:t>
      </w:r>
      <w:hyperlink r:id="rId17" w:history="1">
        <w:r w:rsidRPr="004E77FE">
          <w:rPr>
            <w:color w:val="0000FF"/>
            <w:u w:val="single"/>
            <w:lang w:val="en-CH"/>
          </w:rPr>
          <w:t>10.1515/dx-2025-0106</w:t>
        </w:r>
      </w:hyperlink>
    </w:p>
    <w:p w14:paraId="12D78D81" w14:textId="329D8D57" w:rsidR="004E77FE" w:rsidRPr="004E77FE" w:rsidRDefault="004E77FE" w:rsidP="004E77FE">
      <w:pPr>
        <w:spacing w:line="240" w:lineRule="auto"/>
        <w:rPr>
          <w:lang w:val="en-CH"/>
        </w:rPr>
      </w:pPr>
      <w:r w:rsidRPr="004E77FE">
        <w:rPr>
          <w:lang w:val="en-CH"/>
        </w:rPr>
        <w:t>12.</w:t>
      </w:r>
      <w:r w:rsidR="0010487D">
        <w:rPr>
          <w:lang w:val="en-CH"/>
        </w:rPr>
        <w:t xml:space="preserve"> </w:t>
      </w:r>
      <w:r w:rsidRPr="004E77FE">
        <w:rPr>
          <w:lang w:val="en-CH"/>
        </w:rPr>
        <w:t>Cuevas-Badallo A, Torres González O. Medical expertise as hybrid expertise: a proposal for the articulation of medical knowledge. Philos Ethics Humanit Med. 2025 Nov 4;20(1):38. doi:</w:t>
      </w:r>
      <w:hyperlink r:id="rId18" w:history="1">
        <w:r w:rsidRPr="004E77FE">
          <w:rPr>
            <w:color w:val="0000FF"/>
            <w:u w:val="single"/>
            <w:lang w:val="en-CH"/>
          </w:rPr>
          <w:t>10.1186/s13010-025-00194-y</w:t>
        </w:r>
      </w:hyperlink>
    </w:p>
    <w:p w14:paraId="5962EB58" w14:textId="2DCC44C2" w:rsidR="004E77FE" w:rsidRPr="004E77FE" w:rsidRDefault="004E77FE" w:rsidP="004E77FE">
      <w:pPr>
        <w:spacing w:line="240" w:lineRule="auto"/>
        <w:rPr>
          <w:lang w:val="en-CH"/>
        </w:rPr>
      </w:pPr>
      <w:r w:rsidRPr="004E77FE">
        <w:rPr>
          <w:lang w:val="en-CH"/>
        </w:rPr>
        <w:t>13.</w:t>
      </w:r>
      <w:r w:rsidR="0010487D">
        <w:rPr>
          <w:lang w:val="en-CH"/>
        </w:rPr>
        <w:t xml:space="preserve"> </w:t>
      </w:r>
      <w:r w:rsidRPr="004E77FE">
        <w:rPr>
          <w:lang w:val="en-CH"/>
        </w:rPr>
        <w:t>Custers EJFM. Thirty years of illness scripts: Theoretical origins and practical applications. Medical Teacher. 2015 May 4;37(5):457–62. doi:</w:t>
      </w:r>
      <w:hyperlink r:id="rId19" w:history="1">
        <w:r w:rsidRPr="004E77FE">
          <w:rPr>
            <w:color w:val="0000FF"/>
            <w:u w:val="single"/>
            <w:lang w:val="en-CH"/>
          </w:rPr>
          <w:t>10.3109/0142159X.2014.956052</w:t>
        </w:r>
      </w:hyperlink>
    </w:p>
    <w:p w14:paraId="5D8ACE93" w14:textId="482A101F" w:rsidR="004E77FE" w:rsidRPr="004E77FE" w:rsidRDefault="004E77FE" w:rsidP="004E77FE">
      <w:pPr>
        <w:spacing w:line="240" w:lineRule="auto"/>
        <w:rPr>
          <w:lang w:val="en-CH"/>
        </w:rPr>
      </w:pPr>
      <w:r w:rsidRPr="004E77FE">
        <w:rPr>
          <w:lang w:val="en-CH"/>
        </w:rPr>
        <w:t>14.</w:t>
      </w:r>
      <w:r w:rsidR="0010487D">
        <w:rPr>
          <w:lang w:val="en-CH"/>
        </w:rPr>
        <w:t xml:space="preserve"> </w:t>
      </w:r>
      <w:r w:rsidRPr="004E77FE">
        <w:rPr>
          <w:lang w:val="en-CH"/>
        </w:rPr>
        <w:t>Custers EJFM. Medical Education and Cognitive Continuum Theory: An Alternative Perspective on Medical Problem Solving and Clinical Reasoning. Academic Medicine. 2013 Aug;88(8):1074–80. doi:</w:t>
      </w:r>
      <w:hyperlink r:id="rId20" w:history="1">
        <w:r w:rsidRPr="004E77FE">
          <w:rPr>
            <w:color w:val="0000FF"/>
            <w:u w:val="single"/>
            <w:lang w:val="en-CH"/>
          </w:rPr>
          <w:t>10.1097/ACM.0b013e31829a3b10</w:t>
        </w:r>
      </w:hyperlink>
    </w:p>
    <w:p w14:paraId="44D47931" w14:textId="50F9EE39" w:rsidR="004E77FE" w:rsidRPr="004E77FE" w:rsidRDefault="004E77FE" w:rsidP="004E77FE">
      <w:pPr>
        <w:spacing w:line="240" w:lineRule="auto"/>
        <w:rPr>
          <w:lang w:val="en-CH"/>
        </w:rPr>
      </w:pPr>
      <w:r w:rsidRPr="004E77FE">
        <w:rPr>
          <w:lang w:val="en-CH"/>
        </w:rPr>
        <w:t>15.</w:t>
      </w:r>
      <w:r w:rsidR="0010487D">
        <w:rPr>
          <w:lang w:val="en-CH"/>
        </w:rPr>
        <w:t xml:space="preserve"> </w:t>
      </w:r>
      <w:r w:rsidRPr="004E77FE">
        <w:rPr>
          <w:lang w:val="en-CH"/>
        </w:rPr>
        <w:t>Cutrer WB, Sullivan WM, Fleming AE. Educational Strategies for Improving Clinical Reasoning. Current Problems in Pediatric and Adolescent Health Care. 2013 Oct;43(9):248–57. doi:</w:t>
      </w:r>
      <w:hyperlink r:id="rId21" w:history="1">
        <w:r w:rsidRPr="004E77FE">
          <w:rPr>
            <w:color w:val="0000FF"/>
            <w:u w:val="single"/>
            <w:lang w:val="en-CH"/>
          </w:rPr>
          <w:t>10.1016/j.cppeds.2013.07.005</w:t>
        </w:r>
      </w:hyperlink>
    </w:p>
    <w:p w14:paraId="204AEEDB" w14:textId="0BD68ED8" w:rsidR="004E77FE" w:rsidRPr="004E77FE" w:rsidRDefault="004E77FE" w:rsidP="004E77FE">
      <w:pPr>
        <w:spacing w:line="240" w:lineRule="auto"/>
        <w:rPr>
          <w:lang w:val="en-CH"/>
        </w:rPr>
      </w:pPr>
      <w:r w:rsidRPr="004E77FE">
        <w:rPr>
          <w:lang w:val="en-CH"/>
        </w:rPr>
        <w:t>16.</w:t>
      </w:r>
      <w:r w:rsidR="0010487D">
        <w:rPr>
          <w:lang w:val="en-CH"/>
        </w:rPr>
        <w:t xml:space="preserve"> </w:t>
      </w:r>
      <w:r w:rsidRPr="004E77FE">
        <w:rPr>
          <w:lang w:val="en-CH"/>
        </w:rPr>
        <w:t>Dreicer JJ, Parsons AS, Joudi T, Stern S, Olson APJ, Rencic JJ. Framework and Schema are False Synonyms: Defining Terms to Improve Learning. Perspect Med Educ. 2023 Jul 28;12(1). doi:</w:t>
      </w:r>
      <w:hyperlink r:id="rId22" w:history="1">
        <w:r w:rsidRPr="004E77FE">
          <w:rPr>
            <w:color w:val="0000FF"/>
            <w:u w:val="single"/>
            <w:lang w:val="en-CH"/>
          </w:rPr>
          <w:t>10.5334/pme.947</w:t>
        </w:r>
      </w:hyperlink>
    </w:p>
    <w:p w14:paraId="7CCEC3B2" w14:textId="6057BFEB" w:rsidR="004E77FE" w:rsidRPr="004E77FE" w:rsidRDefault="004E77FE" w:rsidP="004E77FE">
      <w:pPr>
        <w:spacing w:line="240" w:lineRule="auto"/>
        <w:rPr>
          <w:lang w:val="en-CH"/>
        </w:rPr>
      </w:pPr>
      <w:r w:rsidRPr="004E77FE">
        <w:rPr>
          <w:lang w:val="en-CH"/>
        </w:rPr>
        <w:t>17.</w:t>
      </w:r>
      <w:r w:rsidR="0010487D">
        <w:rPr>
          <w:lang w:val="en-CH"/>
        </w:rPr>
        <w:t xml:space="preserve"> </w:t>
      </w:r>
      <w:r w:rsidRPr="004E77FE">
        <w:rPr>
          <w:lang w:val="en-CH"/>
        </w:rPr>
        <w:t>Dumas D, Torre DM, Durning SJ. Using Relational Reasoning Strategies to Help Improve Clinical Reasoning Practice. Academic Medicine. 2018 May;93(5):709–14. doi:</w:t>
      </w:r>
      <w:hyperlink r:id="rId23" w:history="1">
        <w:r w:rsidRPr="004E77FE">
          <w:rPr>
            <w:color w:val="0000FF"/>
            <w:u w:val="single"/>
            <w:lang w:val="en-CH"/>
          </w:rPr>
          <w:t>10.1097/ACM.0000000000002114</w:t>
        </w:r>
      </w:hyperlink>
    </w:p>
    <w:p w14:paraId="7A9F0DB9" w14:textId="46CB493F" w:rsidR="004E77FE" w:rsidRPr="004E77FE" w:rsidRDefault="004E77FE" w:rsidP="004E77FE">
      <w:pPr>
        <w:spacing w:line="240" w:lineRule="auto"/>
        <w:rPr>
          <w:lang w:val="en-CH"/>
        </w:rPr>
      </w:pPr>
      <w:r w:rsidRPr="004E77FE">
        <w:rPr>
          <w:lang w:val="en-CH"/>
        </w:rPr>
        <w:lastRenderedPageBreak/>
        <w:t>18.</w:t>
      </w:r>
      <w:r w:rsidR="0010487D">
        <w:rPr>
          <w:lang w:val="en-CH"/>
        </w:rPr>
        <w:t xml:space="preserve"> </w:t>
      </w:r>
      <w:r w:rsidRPr="004E77FE">
        <w:rPr>
          <w:lang w:val="en-CH"/>
        </w:rPr>
        <w:t>Durning SJ, Artino AR, Schuwirth L, Van Der Vleuten C. Clarifying Assumptions to Enhance Our Understanding and Assessment of Clinical Reasoning: Academic Medicine. 2013 Apr;88(4):442–8. doi:</w:t>
      </w:r>
      <w:hyperlink r:id="rId24" w:history="1">
        <w:r w:rsidRPr="004E77FE">
          <w:rPr>
            <w:color w:val="0000FF"/>
            <w:u w:val="single"/>
            <w:lang w:val="en-CH"/>
          </w:rPr>
          <w:t>10.1097/ACM.0b013e3182851b5b</w:t>
        </w:r>
      </w:hyperlink>
    </w:p>
    <w:p w14:paraId="6AFD5622" w14:textId="35FB02A7" w:rsidR="004E77FE" w:rsidRPr="004E77FE" w:rsidRDefault="004E77FE" w:rsidP="004E77FE">
      <w:pPr>
        <w:spacing w:line="240" w:lineRule="auto"/>
        <w:rPr>
          <w:lang w:val="en-CH"/>
        </w:rPr>
      </w:pPr>
      <w:r w:rsidRPr="004E77FE">
        <w:rPr>
          <w:lang w:val="en-CH"/>
        </w:rPr>
        <w:t>19.</w:t>
      </w:r>
      <w:r w:rsidR="0010487D">
        <w:rPr>
          <w:lang w:val="en-CH"/>
        </w:rPr>
        <w:t xml:space="preserve"> </w:t>
      </w:r>
      <w:r w:rsidRPr="004E77FE">
        <w:rPr>
          <w:lang w:val="en-CH"/>
        </w:rPr>
        <w:t>Durning SJ, Costanzo M, Artino AR, Van Der Vleuten C, Beckman TJ, Holmboe E, et al. Using Functional Magnetic Resonance Imaging to Improve How We Understand, Teach, and Assess Clinical Reasoning. Journal of Continuing Education in the Health Professions. 2014;34(1):76–82. doi:</w:t>
      </w:r>
      <w:hyperlink r:id="rId25" w:history="1">
        <w:r w:rsidRPr="004E77FE">
          <w:rPr>
            <w:color w:val="0000FF"/>
            <w:u w:val="single"/>
            <w:lang w:val="en-CH"/>
          </w:rPr>
          <w:t>10.1002/chp.21215</w:t>
        </w:r>
      </w:hyperlink>
    </w:p>
    <w:p w14:paraId="51529249" w14:textId="332190B3" w:rsidR="004E77FE" w:rsidRPr="004E77FE" w:rsidRDefault="004E77FE" w:rsidP="004E77FE">
      <w:pPr>
        <w:spacing w:line="240" w:lineRule="auto"/>
        <w:rPr>
          <w:lang w:val="en-CH"/>
        </w:rPr>
      </w:pPr>
      <w:r w:rsidRPr="004E77FE">
        <w:rPr>
          <w:lang w:val="en-CH"/>
        </w:rPr>
        <w:t>20.</w:t>
      </w:r>
      <w:r w:rsidR="0010487D">
        <w:rPr>
          <w:lang w:val="en-CH"/>
        </w:rPr>
        <w:t xml:space="preserve"> </w:t>
      </w:r>
      <w:r w:rsidRPr="004E77FE">
        <w:rPr>
          <w:lang w:val="en-CH"/>
        </w:rPr>
        <w:t>Durning SJ, Jung E, Kim DH, Lee YM. Teaching clinical reasoning: principles from the literature to help improve instruction from the classroom to the bedside. Korean J Med Educ. 2024 Jun 1;36(2):145–55. doi:</w:t>
      </w:r>
      <w:hyperlink r:id="rId26" w:history="1">
        <w:r w:rsidRPr="004E77FE">
          <w:rPr>
            <w:color w:val="0000FF"/>
            <w:u w:val="single"/>
            <w:lang w:val="en-CH"/>
          </w:rPr>
          <w:t>10.3946/kjme.2024.292</w:t>
        </w:r>
      </w:hyperlink>
    </w:p>
    <w:p w14:paraId="3AE061FF" w14:textId="5C064664" w:rsidR="004E77FE" w:rsidRPr="004E77FE" w:rsidRDefault="004E77FE" w:rsidP="004E77FE">
      <w:pPr>
        <w:spacing w:line="240" w:lineRule="auto"/>
        <w:rPr>
          <w:lang w:val="en-CH"/>
        </w:rPr>
      </w:pPr>
      <w:r w:rsidRPr="004E77FE">
        <w:rPr>
          <w:lang w:val="en-CH"/>
        </w:rPr>
        <w:t>21.</w:t>
      </w:r>
      <w:r w:rsidR="0010487D">
        <w:rPr>
          <w:lang w:val="en-CH"/>
        </w:rPr>
        <w:t xml:space="preserve"> </w:t>
      </w:r>
      <w:r w:rsidRPr="004E77FE">
        <w:rPr>
          <w:lang w:val="en-CH"/>
        </w:rPr>
        <w:t>Engeström Y, Pyörälä E. Using activity theory to transform medical work and learning. Medical Teacher. 2021 Jan 2;43(1):7–13. doi:</w:t>
      </w:r>
      <w:hyperlink r:id="rId27" w:history="1">
        <w:r w:rsidRPr="004E77FE">
          <w:rPr>
            <w:color w:val="0000FF"/>
            <w:u w:val="single"/>
            <w:lang w:val="en-CH"/>
          </w:rPr>
          <w:t>10.1080/0142159X.2020.1795105</w:t>
        </w:r>
      </w:hyperlink>
    </w:p>
    <w:p w14:paraId="50C9BF05" w14:textId="2CBE45F2" w:rsidR="004E77FE" w:rsidRPr="004E77FE" w:rsidRDefault="004E77FE" w:rsidP="004E77FE">
      <w:pPr>
        <w:spacing w:line="240" w:lineRule="auto"/>
        <w:rPr>
          <w:lang w:val="en-CH"/>
        </w:rPr>
      </w:pPr>
      <w:r w:rsidRPr="004E77FE">
        <w:rPr>
          <w:lang w:val="en-CH"/>
        </w:rPr>
        <w:t>22.</w:t>
      </w:r>
      <w:r w:rsidR="0010487D">
        <w:rPr>
          <w:lang w:val="en-CH"/>
        </w:rPr>
        <w:t xml:space="preserve"> </w:t>
      </w:r>
      <w:r w:rsidRPr="004E77FE">
        <w:rPr>
          <w:lang w:val="en-CH"/>
        </w:rPr>
        <w:t>Epstein RM. Defining and Assessing Professional Competence. JAMA. 2002 Jan 9;287(2):226. doi:</w:t>
      </w:r>
      <w:hyperlink r:id="rId28" w:history="1">
        <w:r w:rsidRPr="004E77FE">
          <w:rPr>
            <w:color w:val="0000FF"/>
            <w:u w:val="single"/>
            <w:lang w:val="en-CH"/>
          </w:rPr>
          <w:t>10.1001/jama.287.2.226</w:t>
        </w:r>
      </w:hyperlink>
    </w:p>
    <w:p w14:paraId="5516EC20" w14:textId="566881CC" w:rsidR="004E77FE" w:rsidRPr="004E77FE" w:rsidRDefault="004E77FE" w:rsidP="004E77FE">
      <w:pPr>
        <w:spacing w:line="240" w:lineRule="auto"/>
        <w:rPr>
          <w:lang w:val="en-CH"/>
        </w:rPr>
      </w:pPr>
      <w:r w:rsidRPr="004E77FE">
        <w:rPr>
          <w:lang w:val="en-CH"/>
        </w:rPr>
        <w:t>23.</w:t>
      </w:r>
      <w:r w:rsidR="0010487D">
        <w:rPr>
          <w:lang w:val="en-CH"/>
        </w:rPr>
        <w:t xml:space="preserve"> </w:t>
      </w:r>
      <w:r w:rsidRPr="004E77FE">
        <w:rPr>
          <w:lang w:val="en-CH"/>
        </w:rPr>
        <w:t>Ericsson KA. Acquisition and Maintenance of Medical Expertise: A Perspective From the Expert-Performance Approach With Deliberate Practice. Academic Medicine. 2015 Nov;90(11):1471–86. doi:</w:t>
      </w:r>
      <w:hyperlink r:id="rId29" w:history="1">
        <w:r w:rsidRPr="004E77FE">
          <w:rPr>
            <w:color w:val="0000FF"/>
            <w:u w:val="single"/>
            <w:lang w:val="en-CH"/>
          </w:rPr>
          <w:t>10.1097/ACM.0000000000000939</w:t>
        </w:r>
      </w:hyperlink>
    </w:p>
    <w:p w14:paraId="5F3AF8A6" w14:textId="5E2F2D49" w:rsidR="004E77FE" w:rsidRPr="004E77FE" w:rsidRDefault="004E77FE" w:rsidP="004E77FE">
      <w:pPr>
        <w:spacing w:line="240" w:lineRule="auto"/>
        <w:rPr>
          <w:lang w:val="en-CH"/>
        </w:rPr>
      </w:pPr>
      <w:r w:rsidRPr="004E77FE">
        <w:rPr>
          <w:lang w:val="en-CH"/>
        </w:rPr>
        <w:t>24.</w:t>
      </w:r>
      <w:r w:rsidR="0010487D">
        <w:rPr>
          <w:lang w:val="en-CH"/>
        </w:rPr>
        <w:t xml:space="preserve"> </w:t>
      </w:r>
      <w:r w:rsidRPr="004E77FE">
        <w:rPr>
          <w:lang w:val="en-CH"/>
        </w:rPr>
        <w:t>Feufel MA, Flach JM. Medical education should teach heuristics rather than train them away. Medical Education. 2019 Apr;53(4):334–44. doi:</w:t>
      </w:r>
      <w:hyperlink r:id="rId30" w:history="1">
        <w:r w:rsidRPr="004E77FE">
          <w:rPr>
            <w:color w:val="0000FF"/>
            <w:u w:val="single"/>
            <w:lang w:val="en-CH"/>
          </w:rPr>
          <w:t>10.1111/medu.13789</w:t>
        </w:r>
      </w:hyperlink>
    </w:p>
    <w:p w14:paraId="6B7C3C6F" w14:textId="2DA6E46A" w:rsidR="004E77FE" w:rsidRPr="004E77FE" w:rsidRDefault="004E77FE" w:rsidP="004E77FE">
      <w:pPr>
        <w:spacing w:line="240" w:lineRule="auto"/>
        <w:rPr>
          <w:lang w:val="en-CH"/>
        </w:rPr>
      </w:pPr>
      <w:r w:rsidRPr="004E77FE">
        <w:rPr>
          <w:lang w:val="en-CH"/>
        </w:rPr>
        <w:t>25.</w:t>
      </w:r>
      <w:r w:rsidR="0010487D">
        <w:rPr>
          <w:lang w:val="en-CH"/>
        </w:rPr>
        <w:t xml:space="preserve"> </w:t>
      </w:r>
      <w:r w:rsidRPr="004E77FE">
        <w:rPr>
          <w:lang w:val="en-CH"/>
        </w:rPr>
        <w:t>Guidry MM, Drennan RH, Weise J, Hamm LL, Hamm LL. Serum Sepsis, not Sickness. The American Journal of the Medical Sciences. 2011 Feb;341(2):88–91. doi:</w:t>
      </w:r>
      <w:hyperlink r:id="rId31" w:history="1">
        <w:r w:rsidRPr="004E77FE">
          <w:rPr>
            <w:color w:val="0000FF"/>
            <w:u w:val="single"/>
            <w:lang w:val="en-CH"/>
          </w:rPr>
          <w:t>10.1097/MAJ.0b013e3182083f14</w:t>
        </w:r>
      </w:hyperlink>
    </w:p>
    <w:p w14:paraId="3921A150" w14:textId="19319488" w:rsidR="004E77FE" w:rsidRPr="004E77FE" w:rsidRDefault="004E77FE" w:rsidP="004E77FE">
      <w:pPr>
        <w:spacing w:line="240" w:lineRule="auto"/>
        <w:rPr>
          <w:lang w:val="en-CH"/>
        </w:rPr>
      </w:pPr>
      <w:r w:rsidRPr="004E77FE">
        <w:rPr>
          <w:lang w:val="en-CH"/>
        </w:rPr>
        <w:t>26.</w:t>
      </w:r>
      <w:r w:rsidR="0010487D">
        <w:rPr>
          <w:lang w:val="en-CH"/>
        </w:rPr>
        <w:t xml:space="preserve"> </w:t>
      </w:r>
      <w:r w:rsidRPr="004E77FE">
        <w:rPr>
          <w:lang w:val="en-CH"/>
        </w:rPr>
        <w:t>Hall KH. Reviewing intuitive decision‐making and uncertainty: the implications for medical education. Medical Education. 2002 Mar;36(3):216–24. doi:</w:t>
      </w:r>
      <w:hyperlink r:id="rId32" w:history="1">
        <w:r w:rsidRPr="004E77FE">
          <w:rPr>
            <w:color w:val="0000FF"/>
            <w:u w:val="single"/>
            <w:lang w:val="en-CH"/>
          </w:rPr>
          <w:t>10.1046/j.1365-2923.2002.01140.x</w:t>
        </w:r>
      </w:hyperlink>
    </w:p>
    <w:p w14:paraId="6E7D5646" w14:textId="57FC0911" w:rsidR="004E77FE" w:rsidRPr="004E77FE" w:rsidRDefault="004E77FE" w:rsidP="004E77FE">
      <w:pPr>
        <w:spacing w:line="240" w:lineRule="auto"/>
        <w:rPr>
          <w:lang w:val="en-CH"/>
        </w:rPr>
      </w:pPr>
      <w:r w:rsidRPr="004E77FE">
        <w:rPr>
          <w:lang w:val="en-CH"/>
        </w:rPr>
        <w:t>27.</w:t>
      </w:r>
      <w:r w:rsidR="0010487D">
        <w:rPr>
          <w:lang w:val="en-CH"/>
        </w:rPr>
        <w:t xml:space="preserve"> </w:t>
      </w:r>
      <w:r w:rsidRPr="004E77FE">
        <w:rPr>
          <w:lang w:val="en-CH"/>
        </w:rPr>
        <w:t>Hege I, Kononowicz AA, Berman NB, Lenzer B, Kiesewetter J. Advancing clinical reasoning in virtual patients - development and application of a conceptual framework. GMS J Med Educ. 2018;35(1):Doc12. doi:</w:t>
      </w:r>
      <w:hyperlink r:id="rId33" w:history="1">
        <w:r w:rsidRPr="004E77FE">
          <w:rPr>
            <w:color w:val="0000FF"/>
            <w:u w:val="single"/>
            <w:lang w:val="en-CH"/>
          </w:rPr>
          <w:t>10.3205/zma001159</w:t>
        </w:r>
      </w:hyperlink>
      <w:r w:rsidRPr="004E77FE">
        <w:rPr>
          <w:lang w:val="en-CH"/>
        </w:rPr>
        <w:t xml:space="preserve"> PubMed PMID: 29497697; PubMed Central PMCID: PMC5827186.</w:t>
      </w:r>
    </w:p>
    <w:p w14:paraId="5E25956F" w14:textId="4C58CDE1" w:rsidR="004E77FE" w:rsidRPr="004E77FE" w:rsidRDefault="004E77FE" w:rsidP="004E77FE">
      <w:pPr>
        <w:spacing w:line="240" w:lineRule="auto"/>
        <w:rPr>
          <w:lang w:val="en-CH"/>
        </w:rPr>
      </w:pPr>
      <w:r w:rsidRPr="004E77FE">
        <w:rPr>
          <w:lang w:val="en-CH"/>
        </w:rPr>
        <w:t>28.</w:t>
      </w:r>
      <w:r w:rsidR="0010487D">
        <w:rPr>
          <w:lang w:val="en-CH"/>
        </w:rPr>
        <w:t xml:space="preserve"> </w:t>
      </w:r>
      <w:r w:rsidRPr="004E77FE">
        <w:rPr>
          <w:lang w:val="en-CH"/>
        </w:rPr>
        <w:t>Ju H, Choi I. The Role of Argumentation in Hypothetico-Deductive Reasoning During Problem-Based Learning in Medical Education: A Conceptual Framework. Interdisciplinary Journal of Problem-Based Learning. 2017 Nov 14;12(1). doi:</w:t>
      </w:r>
      <w:hyperlink r:id="rId34" w:history="1">
        <w:r w:rsidRPr="004E77FE">
          <w:rPr>
            <w:color w:val="0000FF"/>
            <w:u w:val="single"/>
            <w:lang w:val="en-CH"/>
          </w:rPr>
          <w:t>10.7771/1541-5015.1638</w:t>
        </w:r>
      </w:hyperlink>
    </w:p>
    <w:p w14:paraId="2B693DC9" w14:textId="76DEB1CF" w:rsidR="004E77FE" w:rsidRPr="004E77FE" w:rsidRDefault="004E77FE" w:rsidP="004E77FE">
      <w:pPr>
        <w:spacing w:line="240" w:lineRule="auto"/>
        <w:rPr>
          <w:lang w:val="en-CH"/>
        </w:rPr>
      </w:pPr>
      <w:r w:rsidRPr="004E77FE">
        <w:rPr>
          <w:lang w:val="en-CH"/>
        </w:rPr>
        <w:t>29.</w:t>
      </w:r>
      <w:r w:rsidR="0010487D">
        <w:rPr>
          <w:lang w:val="en-CH"/>
        </w:rPr>
        <w:t xml:space="preserve"> </w:t>
      </w:r>
      <w:r w:rsidRPr="004E77FE">
        <w:rPr>
          <w:lang w:val="en-CH"/>
        </w:rPr>
        <w:t>Khin-Htun S, Kushairi A. Twelve Tips for Developing Clinical Reasoning Skills in the Pre-Clinical and Clinical Stages of Medical School. Medical Teacher. 2019 Sep 2;41(9):1007–11. doi:</w:t>
      </w:r>
      <w:hyperlink r:id="rId35" w:history="1">
        <w:r w:rsidRPr="004E77FE">
          <w:rPr>
            <w:color w:val="0000FF"/>
            <w:u w:val="single"/>
            <w:lang w:val="en-CH"/>
          </w:rPr>
          <w:t>10.1080/0142159X.2018.1502418</w:t>
        </w:r>
      </w:hyperlink>
    </w:p>
    <w:p w14:paraId="20C8DA32" w14:textId="6BE3B6C8" w:rsidR="004E77FE" w:rsidRPr="004E77FE" w:rsidRDefault="004E77FE" w:rsidP="004E77FE">
      <w:pPr>
        <w:spacing w:line="240" w:lineRule="auto"/>
        <w:rPr>
          <w:lang w:val="en-CH"/>
        </w:rPr>
      </w:pPr>
      <w:r w:rsidRPr="004E77FE">
        <w:rPr>
          <w:lang w:val="en-CH"/>
        </w:rPr>
        <w:t>30.</w:t>
      </w:r>
      <w:r w:rsidR="0010487D">
        <w:rPr>
          <w:lang w:val="en-CH"/>
        </w:rPr>
        <w:t xml:space="preserve"> </w:t>
      </w:r>
      <w:r w:rsidRPr="004E77FE">
        <w:rPr>
          <w:lang w:val="en-CH"/>
        </w:rPr>
        <w:t>Koufidis C, Manninen K, Nieminen J, Wohlin M, Silén C. Unravelling the polyphony in clinical reasoning research in medical education. Evaluation Clinical Practice. 2021 Apr;27(2):438–50. doi:</w:t>
      </w:r>
      <w:hyperlink r:id="rId36" w:history="1">
        <w:r w:rsidRPr="004E77FE">
          <w:rPr>
            <w:color w:val="0000FF"/>
            <w:u w:val="single"/>
            <w:lang w:val="en-CH"/>
          </w:rPr>
          <w:t>10.1111/jep.13432</w:t>
        </w:r>
      </w:hyperlink>
    </w:p>
    <w:p w14:paraId="224BA3DE" w14:textId="06059A3C" w:rsidR="004E77FE" w:rsidRPr="004E77FE" w:rsidRDefault="004E77FE" w:rsidP="004E77FE">
      <w:pPr>
        <w:spacing w:line="240" w:lineRule="auto"/>
        <w:rPr>
          <w:lang w:val="en-CH"/>
        </w:rPr>
      </w:pPr>
      <w:r w:rsidRPr="004E77FE">
        <w:rPr>
          <w:lang w:val="en-CH"/>
        </w:rPr>
        <w:t>31.</w:t>
      </w:r>
      <w:r w:rsidR="0010487D">
        <w:rPr>
          <w:lang w:val="en-CH"/>
        </w:rPr>
        <w:t xml:space="preserve"> </w:t>
      </w:r>
      <w:r w:rsidRPr="004E77FE">
        <w:rPr>
          <w:lang w:val="en-CH"/>
        </w:rPr>
        <w:t>Kulasegaram KM, Grierson LEM, Norman GR. The roles of deliberate practice and innate ability in developing expertise: evidence and implications. Medical Education. 2013 Oct;47(10):979–89. doi:</w:t>
      </w:r>
      <w:hyperlink r:id="rId37" w:history="1">
        <w:r w:rsidRPr="004E77FE">
          <w:rPr>
            <w:color w:val="0000FF"/>
            <w:u w:val="single"/>
            <w:lang w:val="en-CH"/>
          </w:rPr>
          <w:t>10.1111/medu.12260</w:t>
        </w:r>
      </w:hyperlink>
    </w:p>
    <w:p w14:paraId="302EE636" w14:textId="11D99206" w:rsidR="004E77FE" w:rsidRPr="004E77FE" w:rsidRDefault="004E77FE" w:rsidP="004E77FE">
      <w:pPr>
        <w:spacing w:line="240" w:lineRule="auto"/>
        <w:rPr>
          <w:lang w:val="en-CH"/>
        </w:rPr>
      </w:pPr>
      <w:r w:rsidRPr="004E77FE">
        <w:rPr>
          <w:lang w:val="en-CH"/>
        </w:rPr>
        <w:t>32.</w:t>
      </w:r>
      <w:r w:rsidR="0010487D">
        <w:rPr>
          <w:lang w:val="en-CH"/>
        </w:rPr>
        <w:t xml:space="preserve"> </w:t>
      </w:r>
      <w:r w:rsidRPr="004E77FE">
        <w:rPr>
          <w:lang w:val="en-CH"/>
        </w:rPr>
        <w:t>Lane AS, Roberts C. Contextualised reflective competence: a new learning model promoting reflective practice for clinical training. BMC Med Educ. 2022 Dec;22(1):71. doi:</w:t>
      </w:r>
      <w:hyperlink r:id="rId38" w:history="1">
        <w:r w:rsidRPr="004E77FE">
          <w:rPr>
            <w:color w:val="0000FF"/>
            <w:u w:val="single"/>
            <w:lang w:val="en-CH"/>
          </w:rPr>
          <w:t>10.1186/s12909-022-03112-4</w:t>
        </w:r>
      </w:hyperlink>
    </w:p>
    <w:p w14:paraId="19E1970B" w14:textId="3689D9E9" w:rsidR="004E77FE" w:rsidRPr="004E77FE" w:rsidRDefault="004E77FE" w:rsidP="004E77FE">
      <w:pPr>
        <w:spacing w:line="240" w:lineRule="auto"/>
        <w:rPr>
          <w:lang w:val="en-CH"/>
        </w:rPr>
      </w:pPr>
      <w:r w:rsidRPr="004E77FE">
        <w:rPr>
          <w:lang w:val="en-CH"/>
        </w:rPr>
        <w:t>33.</w:t>
      </w:r>
      <w:r w:rsidR="0010487D">
        <w:rPr>
          <w:lang w:val="en-CH"/>
        </w:rPr>
        <w:t xml:space="preserve"> </w:t>
      </w:r>
      <w:r w:rsidRPr="004E77FE">
        <w:rPr>
          <w:lang w:val="en-CH"/>
        </w:rPr>
        <w:t>Magnani L. Basic Science Reasoning and Clinical Reasoning Intertwined: Epistemological Analysis and Consequences for Medical Education. Adv Health Sci Educ Theory Pract. 1997 May 1;2(2):115–30. doi:</w:t>
      </w:r>
      <w:hyperlink r:id="rId39" w:history="1">
        <w:r w:rsidRPr="004E77FE">
          <w:rPr>
            <w:color w:val="0000FF"/>
            <w:u w:val="single"/>
            <w:lang w:val="en-CH"/>
          </w:rPr>
          <w:t>10.1023/A:1009736414434</w:t>
        </w:r>
      </w:hyperlink>
    </w:p>
    <w:p w14:paraId="1ADD7856" w14:textId="009141D2" w:rsidR="004E77FE" w:rsidRPr="004E77FE" w:rsidRDefault="004E77FE" w:rsidP="004E77FE">
      <w:pPr>
        <w:spacing w:line="240" w:lineRule="auto"/>
        <w:rPr>
          <w:lang w:val="en-CH"/>
        </w:rPr>
      </w:pPr>
      <w:r w:rsidRPr="004E77FE">
        <w:rPr>
          <w:lang w:val="en-CH"/>
        </w:rPr>
        <w:lastRenderedPageBreak/>
        <w:t>34.</w:t>
      </w:r>
      <w:r w:rsidR="0010487D">
        <w:rPr>
          <w:lang w:val="en-CH"/>
        </w:rPr>
        <w:t xml:space="preserve"> </w:t>
      </w:r>
      <w:r w:rsidRPr="004E77FE">
        <w:rPr>
          <w:lang w:val="en-CH"/>
        </w:rPr>
        <w:t>Mamede S, Schmidt HG. Deliberate reflection and clinical reasoning: Founding ideas and empirical findings. Medical Education. 2023 Jan;57(1):76–85. doi:</w:t>
      </w:r>
      <w:hyperlink r:id="rId40" w:history="1">
        <w:r w:rsidRPr="004E77FE">
          <w:rPr>
            <w:color w:val="0000FF"/>
            <w:u w:val="single"/>
            <w:lang w:val="en-CH"/>
          </w:rPr>
          <w:t>10.1111/medu.14863</w:t>
        </w:r>
      </w:hyperlink>
    </w:p>
    <w:p w14:paraId="61279B08" w14:textId="62A3ECCD" w:rsidR="004E77FE" w:rsidRPr="004E77FE" w:rsidRDefault="004E77FE" w:rsidP="004E77FE">
      <w:pPr>
        <w:spacing w:line="240" w:lineRule="auto"/>
        <w:rPr>
          <w:lang w:val="en-CH"/>
        </w:rPr>
      </w:pPr>
      <w:r w:rsidRPr="004E77FE">
        <w:rPr>
          <w:lang w:val="en-CH"/>
        </w:rPr>
        <w:t>35.</w:t>
      </w:r>
      <w:r w:rsidR="0010487D">
        <w:rPr>
          <w:lang w:val="en-CH"/>
        </w:rPr>
        <w:t xml:space="preserve"> </w:t>
      </w:r>
      <w:r w:rsidRPr="004E77FE">
        <w:rPr>
          <w:lang w:val="en-CH"/>
        </w:rPr>
        <w:t>Mathur A. Teaching Clinical Reasoning Through Cause‐and‐Effect Thinking: A Framework for Modern Medical Education. The Clinical Teacher. 2025 Oct;22(5):e70201. doi:</w:t>
      </w:r>
      <w:hyperlink r:id="rId41" w:history="1">
        <w:r w:rsidRPr="004E77FE">
          <w:rPr>
            <w:color w:val="0000FF"/>
            <w:u w:val="single"/>
            <w:lang w:val="en-CH"/>
          </w:rPr>
          <w:t>10.1111/tct.70201</w:t>
        </w:r>
      </w:hyperlink>
    </w:p>
    <w:p w14:paraId="31FAA462" w14:textId="30CAAC50" w:rsidR="004E77FE" w:rsidRPr="004E77FE" w:rsidRDefault="004E77FE" w:rsidP="004E77FE">
      <w:pPr>
        <w:spacing w:line="240" w:lineRule="auto"/>
        <w:rPr>
          <w:lang w:val="en-CH"/>
        </w:rPr>
      </w:pPr>
      <w:r w:rsidRPr="004E77FE">
        <w:rPr>
          <w:lang w:val="en-CH"/>
        </w:rPr>
        <w:t>36.</w:t>
      </w:r>
      <w:r w:rsidR="0010487D">
        <w:rPr>
          <w:lang w:val="en-CH"/>
        </w:rPr>
        <w:t xml:space="preserve"> </w:t>
      </w:r>
      <w:r w:rsidRPr="004E77FE">
        <w:rPr>
          <w:lang w:val="en-CH"/>
        </w:rPr>
        <w:t>McColl GJ, Bilszta J, Harrap S. The requirement for bioscience knowledge in medical education. Medical Journal of Australia. 2012 Apr;196(6):409–409. doi:</w:t>
      </w:r>
      <w:hyperlink r:id="rId42" w:history="1">
        <w:r w:rsidRPr="004E77FE">
          <w:rPr>
            <w:color w:val="0000FF"/>
            <w:u w:val="single"/>
            <w:lang w:val="en-CH"/>
          </w:rPr>
          <w:t>10.5694/mja11.10474</w:t>
        </w:r>
      </w:hyperlink>
    </w:p>
    <w:p w14:paraId="2F5349B9" w14:textId="2EF7EFA1" w:rsidR="004E77FE" w:rsidRPr="004E77FE" w:rsidRDefault="004E77FE" w:rsidP="004E77FE">
      <w:pPr>
        <w:spacing w:line="240" w:lineRule="auto"/>
        <w:rPr>
          <w:lang w:val="en-CH"/>
        </w:rPr>
      </w:pPr>
      <w:r w:rsidRPr="004E77FE">
        <w:rPr>
          <w:lang w:val="en-CH"/>
        </w:rPr>
        <w:t>37.</w:t>
      </w:r>
      <w:r w:rsidR="0010487D">
        <w:rPr>
          <w:lang w:val="en-CH"/>
        </w:rPr>
        <w:t xml:space="preserve"> </w:t>
      </w:r>
      <w:r w:rsidRPr="004E77FE">
        <w:rPr>
          <w:lang w:val="en-CH"/>
        </w:rPr>
        <w:t>Modi JN, Anshu, Gupta P, Singh T. Teaching and assessing clinical reasoning skills. Indian Pediatr. 2015 Sep;52(9):787–94. doi:</w:t>
      </w:r>
      <w:hyperlink r:id="rId43" w:history="1">
        <w:r w:rsidRPr="004E77FE">
          <w:rPr>
            <w:color w:val="0000FF"/>
            <w:u w:val="single"/>
            <w:lang w:val="en-CH"/>
          </w:rPr>
          <w:t>10.1007/s13312-015-0718-7</w:t>
        </w:r>
      </w:hyperlink>
    </w:p>
    <w:p w14:paraId="1AD616CF" w14:textId="6232BA17" w:rsidR="004E77FE" w:rsidRPr="004E77FE" w:rsidRDefault="004E77FE" w:rsidP="004E77FE">
      <w:pPr>
        <w:spacing w:line="240" w:lineRule="auto"/>
        <w:rPr>
          <w:lang w:val="en-CH"/>
        </w:rPr>
      </w:pPr>
      <w:r w:rsidRPr="004E77FE">
        <w:rPr>
          <w:lang w:val="en-CH"/>
        </w:rPr>
        <w:t>38.</w:t>
      </w:r>
      <w:r w:rsidR="0010487D">
        <w:rPr>
          <w:lang w:val="en-CH"/>
        </w:rPr>
        <w:t xml:space="preserve"> </w:t>
      </w:r>
      <w:r w:rsidRPr="004E77FE">
        <w:rPr>
          <w:lang w:val="en-CH"/>
        </w:rPr>
        <w:t>Mohd Tambeh SN, Yaman MN. Clinical reasoning training sessions for health educators—A scoping review. Journal of Taibah University Medical Sciences. 2023 Dec;18(6):1480–92. doi:</w:t>
      </w:r>
      <w:hyperlink r:id="rId44" w:history="1">
        <w:r w:rsidRPr="004E77FE">
          <w:rPr>
            <w:color w:val="0000FF"/>
            <w:u w:val="single"/>
            <w:lang w:val="en-CH"/>
          </w:rPr>
          <w:t>10.1016/j.jtumed.2023.06.002</w:t>
        </w:r>
      </w:hyperlink>
    </w:p>
    <w:p w14:paraId="0551329F" w14:textId="59B93FC0" w:rsidR="004E77FE" w:rsidRPr="004E77FE" w:rsidRDefault="004E77FE" w:rsidP="004E77FE">
      <w:pPr>
        <w:spacing w:line="240" w:lineRule="auto"/>
        <w:rPr>
          <w:lang w:val="en-CH"/>
        </w:rPr>
      </w:pPr>
      <w:r w:rsidRPr="004E77FE">
        <w:rPr>
          <w:lang w:val="en-CH"/>
        </w:rPr>
        <w:t>39.</w:t>
      </w:r>
      <w:r w:rsidR="0010487D">
        <w:rPr>
          <w:lang w:val="en-CH"/>
        </w:rPr>
        <w:t xml:space="preserve"> </w:t>
      </w:r>
      <w:r w:rsidRPr="004E77FE">
        <w:rPr>
          <w:lang w:val="en-CH"/>
        </w:rPr>
        <w:t>Moosapour H, Raza M, Rambod M, Soltani A. Conceptualization of category-oriented likelihood ratio: a useful tool for clinical diagnostic reasoning. BMC Med Educ. 2011 Dec;11(1):94. doi:</w:t>
      </w:r>
      <w:hyperlink r:id="rId45" w:history="1">
        <w:r w:rsidRPr="004E77FE">
          <w:rPr>
            <w:color w:val="0000FF"/>
            <w:u w:val="single"/>
            <w:lang w:val="en-CH"/>
          </w:rPr>
          <w:t>10.1186/1472-6920-11-94</w:t>
        </w:r>
      </w:hyperlink>
    </w:p>
    <w:p w14:paraId="511D76AD" w14:textId="62AF3496" w:rsidR="004E77FE" w:rsidRPr="004E77FE" w:rsidRDefault="004E77FE" w:rsidP="004E77FE">
      <w:pPr>
        <w:spacing w:line="240" w:lineRule="auto"/>
        <w:rPr>
          <w:lang w:val="en-CH"/>
        </w:rPr>
      </w:pPr>
      <w:r w:rsidRPr="004E77FE">
        <w:rPr>
          <w:lang w:val="en-CH"/>
        </w:rPr>
        <w:t>40.</w:t>
      </w:r>
      <w:r w:rsidR="0010487D">
        <w:rPr>
          <w:lang w:val="en-CH"/>
        </w:rPr>
        <w:t xml:space="preserve"> </w:t>
      </w:r>
      <w:r w:rsidRPr="004E77FE">
        <w:rPr>
          <w:lang w:val="en-CH"/>
        </w:rPr>
        <w:t>Mylopoulos M, Kulasegaram K, Woods NN. Developing the experts we need: Fostering adaptive expertise through education. Evaluation Clinical Practice. 2018 Jun;24(3):674–7. doi:</w:t>
      </w:r>
      <w:hyperlink r:id="rId46" w:history="1">
        <w:r w:rsidRPr="004E77FE">
          <w:rPr>
            <w:color w:val="0000FF"/>
            <w:u w:val="single"/>
            <w:lang w:val="en-CH"/>
          </w:rPr>
          <w:t>10.1111/jep.12905</w:t>
        </w:r>
      </w:hyperlink>
    </w:p>
    <w:p w14:paraId="333FCCDA" w14:textId="68FDECB5" w:rsidR="004E77FE" w:rsidRPr="004E77FE" w:rsidRDefault="004E77FE" w:rsidP="004E77FE">
      <w:pPr>
        <w:spacing w:line="240" w:lineRule="auto"/>
        <w:rPr>
          <w:lang w:val="en-CH"/>
        </w:rPr>
      </w:pPr>
      <w:r w:rsidRPr="004E77FE">
        <w:rPr>
          <w:lang w:val="en-CH"/>
        </w:rPr>
        <w:t>41.</w:t>
      </w:r>
      <w:r w:rsidR="0010487D">
        <w:rPr>
          <w:lang w:val="en-CH"/>
        </w:rPr>
        <w:t xml:space="preserve"> </w:t>
      </w:r>
      <w:r w:rsidRPr="004E77FE">
        <w:rPr>
          <w:lang w:val="en-CH"/>
        </w:rPr>
        <w:t>Mylopoulos M, Regehr G. Cognitive metaphors of expertise and knowledge: prospects and limitations for medical education. Medical Education. 2007 Dec;41(12):1159–65. doi:</w:t>
      </w:r>
      <w:hyperlink r:id="rId47" w:history="1">
        <w:r w:rsidRPr="004E77FE">
          <w:rPr>
            <w:color w:val="0000FF"/>
            <w:u w:val="single"/>
            <w:lang w:val="en-CH"/>
          </w:rPr>
          <w:t>10.1111/j.1365-2923.2007.02912.x</w:t>
        </w:r>
      </w:hyperlink>
    </w:p>
    <w:p w14:paraId="470E67AF" w14:textId="2DC0F633" w:rsidR="004E77FE" w:rsidRPr="004E77FE" w:rsidRDefault="004E77FE" w:rsidP="004E77FE">
      <w:pPr>
        <w:spacing w:line="240" w:lineRule="auto"/>
        <w:rPr>
          <w:lang w:val="en-CH"/>
        </w:rPr>
      </w:pPr>
      <w:r w:rsidRPr="004E77FE">
        <w:rPr>
          <w:lang w:val="en-CH"/>
        </w:rPr>
        <w:t>42.</w:t>
      </w:r>
      <w:r w:rsidR="0010487D">
        <w:rPr>
          <w:lang w:val="en-CH"/>
        </w:rPr>
        <w:t xml:space="preserve"> </w:t>
      </w:r>
      <w:r w:rsidRPr="004E77FE">
        <w:rPr>
          <w:lang w:val="en-CH"/>
        </w:rPr>
        <w:t>Mylopoulos M, Regehr G. Putting the expert together again. Medical Education. 2011 Sep;45(9):920–6. doi:</w:t>
      </w:r>
      <w:hyperlink r:id="rId48" w:history="1">
        <w:r w:rsidRPr="004E77FE">
          <w:rPr>
            <w:color w:val="0000FF"/>
            <w:u w:val="single"/>
            <w:lang w:val="en-CH"/>
          </w:rPr>
          <w:t>10.1111/j.1365-2923.2011.04032.x</w:t>
        </w:r>
      </w:hyperlink>
    </w:p>
    <w:p w14:paraId="092D092F" w14:textId="38EE5739" w:rsidR="004E77FE" w:rsidRPr="004E77FE" w:rsidRDefault="004E77FE" w:rsidP="004E77FE">
      <w:pPr>
        <w:spacing w:line="240" w:lineRule="auto"/>
        <w:rPr>
          <w:lang w:val="en-CH"/>
        </w:rPr>
      </w:pPr>
      <w:r w:rsidRPr="004E77FE">
        <w:rPr>
          <w:lang w:val="en-CH"/>
        </w:rPr>
        <w:t>43.</w:t>
      </w:r>
      <w:r w:rsidR="0010487D">
        <w:rPr>
          <w:lang w:val="en-CH"/>
        </w:rPr>
        <w:t xml:space="preserve"> </w:t>
      </w:r>
      <w:r w:rsidRPr="004E77FE">
        <w:rPr>
          <w:lang w:val="en-CH"/>
        </w:rPr>
        <w:t>Mylopoulos M, Woods NN. Having our cake and eating it too: seeking the best of both worlds in expertise research. Medical Education. 2009 May;43(5):406–13. doi:</w:t>
      </w:r>
      <w:hyperlink r:id="rId49" w:history="1">
        <w:r w:rsidRPr="004E77FE">
          <w:rPr>
            <w:color w:val="0000FF"/>
            <w:u w:val="single"/>
            <w:lang w:val="en-CH"/>
          </w:rPr>
          <w:t>10.1111/j.1365-2923.2009.03307.x</w:t>
        </w:r>
      </w:hyperlink>
    </w:p>
    <w:p w14:paraId="0D182C27" w14:textId="7E9B2C9F" w:rsidR="004E77FE" w:rsidRPr="004E77FE" w:rsidRDefault="004E77FE" w:rsidP="004E77FE">
      <w:pPr>
        <w:spacing w:line="240" w:lineRule="auto"/>
        <w:rPr>
          <w:lang w:val="en-CH"/>
        </w:rPr>
      </w:pPr>
      <w:r w:rsidRPr="004E77FE">
        <w:rPr>
          <w:lang w:val="en-CH"/>
        </w:rPr>
        <w:t>44.</w:t>
      </w:r>
      <w:r w:rsidR="0010487D">
        <w:rPr>
          <w:lang w:val="en-CH"/>
        </w:rPr>
        <w:t xml:space="preserve"> </w:t>
      </w:r>
      <w:r w:rsidRPr="004E77FE">
        <w:rPr>
          <w:lang w:val="en-CH"/>
        </w:rPr>
        <w:t>Nandi PL. Ethical aspects of clinical practice. Arch Surg. 2000 Jan;135(1):22–5. doi:</w:t>
      </w:r>
      <w:hyperlink r:id="rId50" w:history="1">
        <w:r w:rsidRPr="004E77FE">
          <w:rPr>
            <w:color w:val="0000FF"/>
            <w:u w:val="single"/>
            <w:lang w:val="en-CH"/>
          </w:rPr>
          <w:t>10.1001/archsurg.135.1.22</w:t>
        </w:r>
      </w:hyperlink>
      <w:r w:rsidRPr="004E77FE">
        <w:rPr>
          <w:lang w:val="en-CH"/>
        </w:rPr>
        <w:t xml:space="preserve"> PubMed PMID: 10636342.</w:t>
      </w:r>
    </w:p>
    <w:p w14:paraId="279883FE" w14:textId="429829B0" w:rsidR="004E77FE" w:rsidRPr="004E77FE" w:rsidRDefault="004E77FE" w:rsidP="004E77FE">
      <w:pPr>
        <w:spacing w:line="240" w:lineRule="auto"/>
        <w:rPr>
          <w:lang w:val="en-CH"/>
        </w:rPr>
      </w:pPr>
      <w:r w:rsidRPr="004E77FE">
        <w:rPr>
          <w:lang w:val="en-CH"/>
        </w:rPr>
        <w:t>45.</w:t>
      </w:r>
      <w:r w:rsidR="0010487D">
        <w:rPr>
          <w:lang w:val="en-CH"/>
        </w:rPr>
        <w:t xml:space="preserve"> </w:t>
      </w:r>
      <w:r w:rsidRPr="004E77FE">
        <w:rPr>
          <w:lang w:val="en-CH"/>
        </w:rPr>
        <w:t>Newble DI. Assessing clinical competence at the undergraduate level. Medical Education. 1992 Nov;26(6):503–11. doi:</w:t>
      </w:r>
      <w:hyperlink r:id="rId51" w:history="1">
        <w:r w:rsidRPr="004E77FE">
          <w:rPr>
            <w:color w:val="0000FF"/>
            <w:u w:val="single"/>
            <w:lang w:val="en-CH"/>
          </w:rPr>
          <w:t>10.1111/j.1365-2923.1992.tb00213.x</w:t>
        </w:r>
      </w:hyperlink>
    </w:p>
    <w:p w14:paraId="74FEE705" w14:textId="16336D20" w:rsidR="004E77FE" w:rsidRPr="004E77FE" w:rsidRDefault="004E77FE" w:rsidP="004E77FE">
      <w:pPr>
        <w:spacing w:line="240" w:lineRule="auto"/>
        <w:rPr>
          <w:lang w:val="en-CH"/>
        </w:rPr>
      </w:pPr>
      <w:r w:rsidRPr="004E77FE">
        <w:rPr>
          <w:lang w:val="en-CH"/>
        </w:rPr>
        <w:t>46.</w:t>
      </w:r>
      <w:r w:rsidR="0010487D">
        <w:rPr>
          <w:lang w:val="en-CH"/>
        </w:rPr>
        <w:t xml:space="preserve"> </w:t>
      </w:r>
      <w:r w:rsidRPr="004E77FE">
        <w:rPr>
          <w:lang w:val="en-CH"/>
        </w:rPr>
        <w:t>Newble DI. THE EVALUATION OF CLINICAL COMPETENCEM. Medical Journal of Australia. 1976 Jul;2(5):180–3. doi:</w:t>
      </w:r>
      <w:hyperlink r:id="rId52" w:history="1">
        <w:r w:rsidRPr="004E77FE">
          <w:rPr>
            <w:color w:val="0000FF"/>
            <w:u w:val="single"/>
            <w:lang w:val="en-CH"/>
          </w:rPr>
          <w:t>10.5694/j.1326-5377.1976.tb134455.x</w:t>
        </w:r>
      </w:hyperlink>
    </w:p>
    <w:p w14:paraId="5BDC575C" w14:textId="6793EDC3" w:rsidR="004E77FE" w:rsidRPr="004E77FE" w:rsidRDefault="004E77FE" w:rsidP="004E77FE">
      <w:pPr>
        <w:spacing w:line="240" w:lineRule="auto"/>
        <w:rPr>
          <w:lang w:val="en-CH"/>
        </w:rPr>
      </w:pPr>
      <w:r w:rsidRPr="004E77FE">
        <w:rPr>
          <w:lang w:val="en-CH"/>
        </w:rPr>
        <w:t>47.</w:t>
      </w:r>
      <w:r w:rsidR="0010487D">
        <w:rPr>
          <w:lang w:val="en-CH"/>
        </w:rPr>
        <w:t xml:space="preserve"> </w:t>
      </w:r>
      <w:r w:rsidRPr="004E77FE">
        <w:rPr>
          <w:lang w:val="en-CH"/>
        </w:rPr>
        <w:t>Ng IKS, Goh WGW, Teo DB, Chong KM, Tan LF, Teoh CM. Clinical reasoning in real-world practice: a primer for medical trainees and practitioners. Postgraduate Medical Journal. 2024 Dec 23;101(1191):68–75. doi:</w:t>
      </w:r>
      <w:hyperlink r:id="rId53" w:history="1">
        <w:r w:rsidRPr="004E77FE">
          <w:rPr>
            <w:color w:val="0000FF"/>
            <w:u w:val="single"/>
            <w:lang w:val="en-CH"/>
          </w:rPr>
          <w:t>10.1093/postmj/qgae079</w:t>
        </w:r>
      </w:hyperlink>
    </w:p>
    <w:p w14:paraId="082BB447" w14:textId="00EE14A4" w:rsidR="004E77FE" w:rsidRPr="004E77FE" w:rsidRDefault="004E77FE" w:rsidP="004E77FE">
      <w:pPr>
        <w:spacing w:line="240" w:lineRule="auto"/>
        <w:rPr>
          <w:lang w:val="en-CH"/>
        </w:rPr>
      </w:pPr>
      <w:r w:rsidRPr="004E77FE">
        <w:rPr>
          <w:lang w:val="en-CH"/>
        </w:rPr>
        <w:t>4</w:t>
      </w:r>
      <w:r w:rsidR="00F72969">
        <w:rPr>
          <w:lang w:val="en-CH"/>
        </w:rPr>
        <w:t>8</w:t>
      </w:r>
      <w:r w:rsidRPr="004E77FE">
        <w:rPr>
          <w:lang w:val="en-CH"/>
        </w:rPr>
        <w:t>.</w:t>
      </w:r>
      <w:r w:rsidR="0010487D">
        <w:rPr>
          <w:lang w:val="en-CH"/>
        </w:rPr>
        <w:t xml:space="preserve"> </w:t>
      </w:r>
      <w:r w:rsidRPr="004E77FE">
        <w:rPr>
          <w:lang w:val="en-CH"/>
        </w:rPr>
        <w:t>Patel VL, Kaufman DR, Kannampallil TG. Diagnostic Reasoning and Decision Making in the Context of Health Information Technology. Reviews of Human Factors and Ergonomics. 2013 Oct;8(1):149–90. doi:</w:t>
      </w:r>
      <w:hyperlink r:id="rId54" w:history="1">
        <w:r w:rsidRPr="004E77FE">
          <w:rPr>
            <w:color w:val="0000FF"/>
            <w:u w:val="single"/>
            <w:lang w:val="en-CH"/>
          </w:rPr>
          <w:t>10.1177/1557234X13492978</w:t>
        </w:r>
      </w:hyperlink>
    </w:p>
    <w:p w14:paraId="6DB8B74F" w14:textId="625D3E45" w:rsidR="00F72969" w:rsidRPr="004E77FE" w:rsidRDefault="00F72969" w:rsidP="004E77FE">
      <w:pPr>
        <w:spacing w:line="240" w:lineRule="auto"/>
        <w:rPr>
          <w:lang w:val="en-CH"/>
        </w:rPr>
      </w:pPr>
      <w:r>
        <w:rPr>
          <w:lang w:val="en-CH"/>
        </w:rPr>
        <w:t>49</w:t>
      </w:r>
      <w:r w:rsidR="004E77FE" w:rsidRPr="004E77FE">
        <w:rPr>
          <w:lang w:val="en-CH"/>
        </w:rPr>
        <w:t>.</w:t>
      </w:r>
      <w:r w:rsidR="0010487D">
        <w:rPr>
          <w:lang w:val="en-CH"/>
        </w:rPr>
        <w:t xml:space="preserve"> </w:t>
      </w:r>
      <w:r w:rsidR="004E77FE" w:rsidRPr="004E77FE">
        <w:rPr>
          <w:lang w:val="en-CH"/>
        </w:rPr>
        <w:t>Pelaccia T, Tardif J, Triby E, Charlin B. An analysis of clinical reasoning through a recent and comprehensive approach: the dual-process theory. Medical Education Online. 2011 Jan;16(1):5890. doi:</w:t>
      </w:r>
      <w:hyperlink r:id="rId55" w:history="1">
        <w:r w:rsidR="004E77FE" w:rsidRPr="004E77FE">
          <w:rPr>
            <w:color w:val="0000FF"/>
            <w:u w:val="single"/>
            <w:lang w:val="en-CH"/>
          </w:rPr>
          <w:t>10.3402/meo.v16i0.5890</w:t>
        </w:r>
      </w:hyperlink>
      <w:r>
        <w:rPr>
          <w:lang w:val="en-CH"/>
        </w:rPr>
        <w:t xml:space="preserve"> </w:t>
      </w:r>
    </w:p>
    <w:p w14:paraId="6679C237" w14:textId="38DCE6C3" w:rsidR="004E77FE" w:rsidRPr="004E77FE" w:rsidRDefault="004E77FE" w:rsidP="004E77FE">
      <w:pPr>
        <w:spacing w:line="240" w:lineRule="auto"/>
        <w:rPr>
          <w:lang w:val="en-CH"/>
        </w:rPr>
      </w:pPr>
      <w:r w:rsidRPr="004E77FE">
        <w:rPr>
          <w:lang w:val="en-CH"/>
        </w:rPr>
        <w:t>5</w:t>
      </w:r>
      <w:r w:rsidR="00F72969">
        <w:rPr>
          <w:lang w:val="en-CH"/>
        </w:rPr>
        <w:t>0</w:t>
      </w:r>
      <w:r w:rsidRPr="004E77FE">
        <w:rPr>
          <w:lang w:val="en-CH"/>
        </w:rPr>
        <w:t>.</w:t>
      </w:r>
      <w:r w:rsidR="0010487D">
        <w:rPr>
          <w:lang w:val="en-CH"/>
        </w:rPr>
        <w:t xml:space="preserve"> </w:t>
      </w:r>
      <w:r w:rsidRPr="004E77FE">
        <w:rPr>
          <w:lang w:val="en-CH"/>
        </w:rPr>
        <w:t>Roex A, Degryse J. Viewpoint: Introducing the Concept of Epistemological Beliefs into Medical Education: The Hot-Air-Balloon Metaphor: Academic Medicine. 2007 Jun;82(6):616–20. doi:</w:t>
      </w:r>
      <w:hyperlink r:id="rId56" w:history="1">
        <w:r w:rsidRPr="004E77FE">
          <w:rPr>
            <w:color w:val="0000FF"/>
            <w:u w:val="single"/>
            <w:lang w:val="en-CH"/>
          </w:rPr>
          <w:t>10.1097/ACM.0b013e3180556abd</w:t>
        </w:r>
      </w:hyperlink>
    </w:p>
    <w:p w14:paraId="2B4C7460" w14:textId="0D8802D1" w:rsidR="004E77FE" w:rsidRPr="004E77FE" w:rsidRDefault="004E77FE" w:rsidP="004E77FE">
      <w:pPr>
        <w:spacing w:line="240" w:lineRule="auto"/>
        <w:rPr>
          <w:lang w:val="en-CH"/>
        </w:rPr>
      </w:pPr>
      <w:r w:rsidRPr="004E77FE">
        <w:rPr>
          <w:lang w:val="en-CH"/>
        </w:rPr>
        <w:lastRenderedPageBreak/>
        <w:t>5</w:t>
      </w:r>
      <w:r w:rsidR="00F72969">
        <w:rPr>
          <w:lang w:val="en-CH"/>
        </w:rPr>
        <w:t>1</w:t>
      </w:r>
      <w:r w:rsidRPr="004E77FE">
        <w:rPr>
          <w:lang w:val="en-CH"/>
        </w:rPr>
        <w:t>.</w:t>
      </w:r>
      <w:r w:rsidR="0010487D">
        <w:rPr>
          <w:lang w:val="en-CH"/>
        </w:rPr>
        <w:t xml:space="preserve"> </w:t>
      </w:r>
      <w:r w:rsidRPr="004E77FE">
        <w:rPr>
          <w:lang w:val="en-CH"/>
        </w:rPr>
        <w:t>Sackett DL, Rosenberg WM. The need for evidence-based medicine. J R Soc Med. 1995 Nov;88(11):620–4. doi:</w:t>
      </w:r>
      <w:hyperlink r:id="rId57" w:history="1">
        <w:r w:rsidRPr="004E77FE">
          <w:rPr>
            <w:color w:val="0000FF"/>
            <w:u w:val="single"/>
            <w:lang w:val="en-CH"/>
          </w:rPr>
          <w:t>10.1177/014107689508801105</w:t>
        </w:r>
      </w:hyperlink>
      <w:r w:rsidRPr="004E77FE">
        <w:rPr>
          <w:lang w:val="en-CH"/>
        </w:rPr>
        <w:t xml:space="preserve"> PubMed PMID: 8544145; PubMed Central PMCID: PMC1295384.</w:t>
      </w:r>
    </w:p>
    <w:p w14:paraId="7AB468C1" w14:textId="0BA8523F" w:rsidR="004E77FE" w:rsidRPr="004E77FE" w:rsidRDefault="004E77FE" w:rsidP="004E77FE">
      <w:pPr>
        <w:spacing w:line="240" w:lineRule="auto"/>
        <w:rPr>
          <w:lang w:val="en-CH"/>
        </w:rPr>
      </w:pPr>
      <w:r w:rsidRPr="004E77FE">
        <w:rPr>
          <w:lang w:val="en-CH"/>
        </w:rPr>
        <w:t>5</w:t>
      </w:r>
      <w:r w:rsidR="00F72969">
        <w:rPr>
          <w:lang w:val="en-CH"/>
        </w:rPr>
        <w:t>2</w:t>
      </w:r>
      <w:r w:rsidRPr="004E77FE">
        <w:rPr>
          <w:lang w:val="en-CH"/>
        </w:rPr>
        <w:t>.</w:t>
      </w:r>
      <w:r w:rsidR="0010487D">
        <w:rPr>
          <w:lang w:val="en-CH"/>
        </w:rPr>
        <w:t xml:space="preserve"> </w:t>
      </w:r>
      <w:r w:rsidRPr="004E77FE">
        <w:rPr>
          <w:lang w:val="en-CH"/>
        </w:rPr>
        <w:t>Schmidt HG, Norman GR, Boshuizen HP. A cognitive perspective on medical expertise: theory and implication. Acad Med. 1990 Oct;65(10):611–21. doi:</w:t>
      </w:r>
      <w:hyperlink r:id="rId58" w:history="1">
        <w:r w:rsidRPr="004E77FE">
          <w:rPr>
            <w:color w:val="0000FF"/>
            <w:u w:val="single"/>
            <w:lang w:val="en-CH"/>
          </w:rPr>
          <w:t>10.1097/00001888-199010000-00001</w:t>
        </w:r>
      </w:hyperlink>
      <w:r w:rsidRPr="004E77FE">
        <w:rPr>
          <w:lang w:val="en-CH"/>
        </w:rPr>
        <w:t xml:space="preserve"> PubMed PMID: 2261032.</w:t>
      </w:r>
    </w:p>
    <w:p w14:paraId="519E669F" w14:textId="5621AC98" w:rsidR="004E77FE" w:rsidRPr="004E77FE" w:rsidRDefault="004E77FE" w:rsidP="004E77FE">
      <w:pPr>
        <w:spacing w:line="240" w:lineRule="auto"/>
        <w:rPr>
          <w:lang w:val="en-CH"/>
        </w:rPr>
      </w:pPr>
      <w:r w:rsidRPr="004E77FE">
        <w:rPr>
          <w:lang w:val="en-CH"/>
        </w:rPr>
        <w:t>5</w:t>
      </w:r>
      <w:r w:rsidR="00F72969">
        <w:rPr>
          <w:lang w:val="en-CH"/>
        </w:rPr>
        <w:t>3</w:t>
      </w:r>
      <w:r w:rsidRPr="004E77FE">
        <w:rPr>
          <w:lang w:val="en-CH"/>
        </w:rPr>
        <w:t>.</w:t>
      </w:r>
      <w:r w:rsidR="0010487D">
        <w:rPr>
          <w:lang w:val="en-CH"/>
        </w:rPr>
        <w:t xml:space="preserve"> </w:t>
      </w:r>
      <w:r w:rsidRPr="004E77FE">
        <w:rPr>
          <w:lang w:val="en-CH"/>
        </w:rPr>
        <w:t>Schmidt HG, Mamede S. How to improve the teaching of clinical reasoning: a narrative review and a proposal. Medical Education. 2015 Oct;49(10):961–73. doi:</w:t>
      </w:r>
      <w:hyperlink r:id="rId59" w:history="1">
        <w:r w:rsidRPr="004E77FE">
          <w:rPr>
            <w:color w:val="0000FF"/>
            <w:u w:val="single"/>
            <w:lang w:val="en-CH"/>
          </w:rPr>
          <w:t>10.1111/medu.12775</w:t>
        </w:r>
      </w:hyperlink>
    </w:p>
    <w:p w14:paraId="0BCABDDC" w14:textId="111EDC74" w:rsidR="004E77FE" w:rsidRPr="004E77FE" w:rsidRDefault="004E77FE" w:rsidP="004E77FE">
      <w:pPr>
        <w:spacing w:line="240" w:lineRule="auto"/>
        <w:rPr>
          <w:lang w:val="en-CH"/>
        </w:rPr>
      </w:pPr>
      <w:r w:rsidRPr="004E77FE">
        <w:rPr>
          <w:lang w:val="en-CH"/>
        </w:rPr>
        <w:t>5</w:t>
      </w:r>
      <w:r w:rsidR="00F72969">
        <w:rPr>
          <w:lang w:val="en-CH"/>
        </w:rPr>
        <w:t>4</w:t>
      </w:r>
      <w:r w:rsidRPr="004E77FE">
        <w:rPr>
          <w:lang w:val="en-CH"/>
        </w:rPr>
        <w:t>.</w:t>
      </w:r>
      <w:r w:rsidR="0010487D">
        <w:rPr>
          <w:lang w:val="en-CH"/>
        </w:rPr>
        <w:t xml:space="preserve"> </w:t>
      </w:r>
      <w:r w:rsidRPr="004E77FE">
        <w:rPr>
          <w:lang w:val="en-CH"/>
        </w:rPr>
        <w:t>Schmidt HG, Rikers RMJP. How expertise develops in medicine: knowledge encapsulation and illness script formation. Medical Education. 2007 Dec;41(12):1133–9. doi:</w:t>
      </w:r>
      <w:hyperlink r:id="rId60" w:history="1">
        <w:r w:rsidRPr="004E77FE">
          <w:rPr>
            <w:color w:val="0000FF"/>
            <w:u w:val="single"/>
            <w:lang w:val="en-CH"/>
          </w:rPr>
          <w:t>10.1111/j.1365-2923.2007.02915.x</w:t>
        </w:r>
      </w:hyperlink>
    </w:p>
    <w:p w14:paraId="3545594C" w14:textId="4963E13E" w:rsidR="004E77FE" w:rsidRPr="004E77FE" w:rsidRDefault="004E77FE" w:rsidP="004E77FE">
      <w:pPr>
        <w:spacing w:line="240" w:lineRule="auto"/>
        <w:rPr>
          <w:lang w:val="en-CH"/>
        </w:rPr>
      </w:pPr>
      <w:r w:rsidRPr="004E77FE">
        <w:rPr>
          <w:lang w:val="en-CH"/>
        </w:rPr>
        <w:t>5</w:t>
      </w:r>
      <w:r w:rsidR="00F72969">
        <w:rPr>
          <w:lang w:val="en-CH"/>
        </w:rPr>
        <w:t>5</w:t>
      </w:r>
      <w:r w:rsidRPr="004E77FE">
        <w:rPr>
          <w:lang w:val="en-CH"/>
        </w:rPr>
        <w:t>.</w:t>
      </w:r>
      <w:r>
        <w:rPr>
          <w:lang w:val="en-CH"/>
        </w:rPr>
        <w:t xml:space="preserve"> </w:t>
      </w:r>
      <w:r w:rsidRPr="004E77FE">
        <w:rPr>
          <w:lang w:val="en-CH"/>
        </w:rPr>
        <w:t>Schmidt HG, Mamede S. How cognitive psychology changed the face of medical education research. Adv in Health Sci Educ. 2020 Dec;25(5):1025–43. doi:</w:t>
      </w:r>
      <w:hyperlink r:id="rId61" w:history="1">
        <w:r w:rsidRPr="004E77FE">
          <w:rPr>
            <w:color w:val="0000FF"/>
            <w:u w:val="single"/>
            <w:lang w:val="en-CH"/>
          </w:rPr>
          <w:t>10.1007/s10459-020-10011-0</w:t>
        </w:r>
      </w:hyperlink>
    </w:p>
    <w:p w14:paraId="761FBA1B" w14:textId="78AA2B93" w:rsidR="004E77FE" w:rsidRPr="004E77FE" w:rsidRDefault="004E77FE" w:rsidP="004E77FE">
      <w:pPr>
        <w:spacing w:line="240" w:lineRule="auto"/>
        <w:rPr>
          <w:lang w:val="en-CH"/>
        </w:rPr>
      </w:pPr>
      <w:r w:rsidRPr="004E77FE">
        <w:rPr>
          <w:lang w:val="en-CH"/>
        </w:rPr>
        <w:t>5</w:t>
      </w:r>
      <w:r w:rsidR="00F72969">
        <w:rPr>
          <w:lang w:val="en-CH"/>
        </w:rPr>
        <w:t>6</w:t>
      </w:r>
      <w:r w:rsidRPr="004E77FE">
        <w:rPr>
          <w:lang w:val="en-CH"/>
        </w:rPr>
        <w:t>.</w:t>
      </w:r>
      <w:r>
        <w:rPr>
          <w:lang w:val="en-CH"/>
        </w:rPr>
        <w:t xml:space="preserve"> </w:t>
      </w:r>
      <w:r w:rsidRPr="004E77FE">
        <w:rPr>
          <w:lang w:val="en-CH"/>
        </w:rPr>
        <w:t>Schuwirth LWT, Durning SJ, King SM. Assessment of clinical reasoning: three evolutions of thought. Diagnosis. 2020 Aug 27;7(3):191–6. doi:</w:t>
      </w:r>
      <w:hyperlink r:id="rId62" w:history="1">
        <w:r w:rsidRPr="004E77FE">
          <w:rPr>
            <w:color w:val="0000FF"/>
            <w:u w:val="single"/>
            <w:lang w:val="en-CH"/>
          </w:rPr>
          <w:t>10.1515/dx-2019-0096</w:t>
        </w:r>
      </w:hyperlink>
    </w:p>
    <w:p w14:paraId="67F9F994" w14:textId="1A430819" w:rsidR="004E77FE" w:rsidRPr="004E77FE" w:rsidRDefault="004E77FE" w:rsidP="004E77FE">
      <w:pPr>
        <w:spacing w:line="240" w:lineRule="auto"/>
        <w:rPr>
          <w:lang w:val="en-CH"/>
        </w:rPr>
      </w:pPr>
      <w:r w:rsidRPr="004E77FE">
        <w:rPr>
          <w:lang w:val="en-CH"/>
        </w:rPr>
        <w:t>5</w:t>
      </w:r>
      <w:r w:rsidR="00F72969">
        <w:rPr>
          <w:lang w:val="en-CH"/>
        </w:rPr>
        <w:t>7</w:t>
      </w:r>
      <w:r w:rsidRPr="004E77FE">
        <w:rPr>
          <w:lang w:val="en-CH"/>
        </w:rPr>
        <w:t>.</w:t>
      </w:r>
      <w:r>
        <w:rPr>
          <w:lang w:val="en-CH"/>
        </w:rPr>
        <w:t xml:space="preserve"> </w:t>
      </w:r>
      <w:r w:rsidRPr="004E77FE">
        <w:rPr>
          <w:lang w:val="en-CH"/>
        </w:rPr>
        <w:t>Shea GKH, Chan PC. Clinical Reasoning in Medical Education: A Primer for Medical Students. Teaching and Learning in Medicine. 2024 Aug 7;36(4):547–55. doi:</w:t>
      </w:r>
      <w:hyperlink r:id="rId63" w:history="1">
        <w:r w:rsidRPr="004E77FE">
          <w:rPr>
            <w:color w:val="0000FF"/>
            <w:u w:val="single"/>
            <w:lang w:val="en-CH"/>
          </w:rPr>
          <w:t>10.1080/10401334.2023.2230201</w:t>
        </w:r>
      </w:hyperlink>
    </w:p>
    <w:p w14:paraId="23655C70" w14:textId="76EF7655" w:rsidR="004E77FE" w:rsidRPr="004E77FE" w:rsidRDefault="004E77FE" w:rsidP="004E77FE">
      <w:pPr>
        <w:spacing w:line="240" w:lineRule="auto"/>
        <w:rPr>
          <w:lang w:val="en-CH"/>
        </w:rPr>
      </w:pPr>
      <w:r w:rsidRPr="004E77FE">
        <w:rPr>
          <w:lang w:val="en-CH"/>
        </w:rPr>
        <w:t>5</w:t>
      </w:r>
      <w:r w:rsidR="00F72969">
        <w:rPr>
          <w:lang w:val="en-CH"/>
        </w:rPr>
        <w:t>8</w:t>
      </w:r>
      <w:r w:rsidRPr="004E77FE">
        <w:rPr>
          <w:lang w:val="en-CH"/>
        </w:rPr>
        <w:t>.</w:t>
      </w:r>
      <w:r>
        <w:rPr>
          <w:lang w:val="en-CH"/>
        </w:rPr>
        <w:t xml:space="preserve"> </w:t>
      </w:r>
      <w:r w:rsidRPr="004E77FE">
        <w:rPr>
          <w:lang w:val="en-CH"/>
        </w:rPr>
        <w:t>Shimizu T. DECLARE: A Comprehensive, Multifaceted Cognitive Forcing Strategy to Confront Complex Cases. IJGM. 2023 Apr;Volume 16:1505–11. doi:</w:t>
      </w:r>
      <w:hyperlink r:id="rId64" w:history="1">
        <w:r w:rsidRPr="004E77FE">
          <w:rPr>
            <w:color w:val="0000FF"/>
            <w:u w:val="single"/>
            <w:lang w:val="en-CH"/>
          </w:rPr>
          <w:t>10.2147/IJGM.S406165</w:t>
        </w:r>
      </w:hyperlink>
    </w:p>
    <w:p w14:paraId="19535DB1" w14:textId="073DF4A7" w:rsidR="004E77FE" w:rsidRPr="004E77FE" w:rsidRDefault="00F72969" w:rsidP="004E77FE">
      <w:pPr>
        <w:spacing w:line="240" w:lineRule="auto"/>
        <w:rPr>
          <w:lang w:val="en-CH"/>
        </w:rPr>
      </w:pPr>
      <w:r>
        <w:rPr>
          <w:lang w:val="en-CH"/>
        </w:rPr>
        <w:t>59</w:t>
      </w:r>
      <w:r w:rsidR="004E77FE" w:rsidRPr="004E77FE">
        <w:rPr>
          <w:lang w:val="en-CH"/>
        </w:rPr>
        <w:t>.</w:t>
      </w:r>
      <w:r w:rsidR="004E77FE">
        <w:rPr>
          <w:lang w:val="en-CH"/>
        </w:rPr>
        <w:t xml:space="preserve"> </w:t>
      </w:r>
      <w:r w:rsidR="004E77FE" w:rsidRPr="004E77FE">
        <w:rPr>
          <w:lang w:val="en-CH"/>
        </w:rPr>
        <w:t>Shin HS. Reasoning processes in clinical reasoning: from the perspective of cognitive psychology. Korean J Med Educ. 2019 Dec 1;31(4):299–308. doi:</w:t>
      </w:r>
      <w:hyperlink r:id="rId65" w:history="1">
        <w:r w:rsidR="004E77FE" w:rsidRPr="004E77FE">
          <w:rPr>
            <w:color w:val="0000FF"/>
            <w:u w:val="single"/>
            <w:lang w:val="en-CH"/>
          </w:rPr>
          <w:t>10.3946/kjme.2019.140</w:t>
        </w:r>
      </w:hyperlink>
    </w:p>
    <w:p w14:paraId="1BD536C8" w14:textId="0CF742EA" w:rsidR="004E77FE" w:rsidRPr="004E77FE" w:rsidRDefault="004E77FE" w:rsidP="004E77FE">
      <w:pPr>
        <w:spacing w:line="240" w:lineRule="auto"/>
        <w:rPr>
          <w:lang w:val="en-CH"/>
        </w:rPr>
      </w:pPr>
      <w:r w:rsidRPr="004E77FE">
        <w:rPr>
          <w:lang w:val="en-CH"/>
        </w:rPr>
        <w:t>6</w:t>
      </w:r>
      <w:r w:rsidR="00F72969">
        <w:rPr>
          <w:lang w:val="en-CH"/>
        </w:rPr>
        <w:t>0</w:t>
      </w:r>
      <w:r w:rsidRPr="004E77FE">
        <w:rPr>
          <w:lang w:val="en-CH"/>
        </w:rPr>
        <w:t>.</w:t>
      </w:r>
      <w:r>
        <w:rPr>
          <w:lang w:val="en-CH"/>
        </w:rPr>
        <w:t xml:space="preserve"> </w:t>
      </w:r>
      <w:r w:rsidRPr="004E77FE">
        <w:rPr>
          <w:lang w:val="en-CH"/>
        </w:rPr>
        <w:t>Si J. Strategies for developing pre-clinical medical students’ clinical reasoning based on illness script formation: a systematic review. Korean J Med Educ. 2022 Mar 1;34(1):49–61. doi:</w:t>
      </w:r>
      <w:hyperlink r:id="rId66" w:history="1">
        <w:r w:rsidRPr="004E77FE">
          <w:rPr>
            <w:color w:val="0000FF"/>
            <w:u w:val="single"/>
            <w:lang w:val="en-CH"/>
          </w:rPr>
          <w:t>10.3946/kjme.2022.219</w:t>
        </w:r>
      </w:hyperlink>
    </w:p>
    <w:p w14:paraId="5DD85B15" w14:textId="0BD2DCB0" w:rsidR="004E77FE" w:rsidRPr="004E77FE" w:rsidRDefault="004E77FE" w:rsidP="004E77FE">
      <w:pPr>
        <w:spacing w:line="240" w:lineRule="auto"/>
        <w:rPr>
          <w:lang w:val="en-CH"/>
        </w:rPr>
      </w:pPr>
      <w:r w:rsidRPr="004E77FE">
        <w:rPr>
          <w:lang w:val="en-CH"/>
        </w:rPr>
        <w:t>6</w:t>
      </w:r>
      <w:r w:rsidR="00F72969">
        <w:rPr>
          <w:lang w:val="en-CH"/>
        </w:rPr>
        <w:t>1</w:t>
      </w:r>
      <w:r w:rsidRPr="004E77FE">
        <w:rPr>
          <w:lang w:val="en-CH"/>
        </w:rPr>
        <w:t>.</w:t>
      </w:r>
      <w:r>
        <w:rPr>
          <w:lang w:val="en-CH"/>
        </w:rPr>
        <w:t xml:space="preserve"> </w:t>
      </w:r>
      <w:r w:rsidRPr="004E77FE">
        <w:rPr>
          <w:lang w:val="en-CH"/>
        </w:rPr>
        <w:t xml:space="preserve">Taha MH, Mukhtar WNO, Preston R. The Evolving Role of the Medical Profession and Medical Graduates. In: Abdalla ME, Taha MH, Boelen C, editors. Social Accountability of Medical Schools [Internet]. Cham: Springer Nature Switzerland; 2025 [cited 2026 Jan 22]. p. 17–29. Available from: </w:t>
      </w:r>
      <w:hyperlink r:id="rId67" w:history="1">
        <w:r w:rsidRPr="004E77FE">
          <w:rPr>
            <w:color w:val="0000FF"/>
            <w:u w:val="single"/>
            <w:lang w:val="en-CH"/>
          </w:rPr>
          <w:t>https://link.springer.com/10.1007/978-3-031-94435-2_2</w:t>
        </w:r>
      </w:hyperlink>
      <w:r w:rsidRPr="004E77FE">
        <w:rPr>
          <w:lang w:val="en-CH"/>
        </w:rPr>
        <w:t xml:space="preserve"> doi:</w:t>
      </w:r>
      <w:hyperlink r:id="rId68" w:history="1">
        <w:r w:rsidRPr="004E77FE">
          <w:rPr>
            <w:color w:val="0000FF"/>
            <w:u w:val="single"/>
            <w:lang w:val="en-CH"/>
          </w:rPr>
          <w:t>10.1007/978-3-031-94435-2_2</w:t>
        </w:r>
      </w:hyperlink>
    </w:p>
    <w:p w14:paraId="1E5B48D4" w14:textId="5C32AD2A" w:rsidR="004E77FE" w:rsidRPr="004E77FE" w:rsidRDefault="004E77FE" w:rsidP="004E77FE">
      <w:pPr>
        <w:spacing w:line="240" w:lineRule="auto"/>
        <w:rPr>
          <w:lang w:val="en-CH"/>
        </w:rPr>
      </w:pPr>
      <w:r w:rsidRPr="004E77FE">
        <w:rPr>
          <w:lang w:val="en-CH"/>
        </w:rPr>
        <w:t>6</w:t>
      </w:r>
      <w:r w:rsidR="00F72969">
        <w:rPr>
          <w:lang w:val="en-CH"/>
        </w:rPr>
        <w:t>2</w:t>
      </w:r>
      <w:r w:rsidRPr="004E77FE">
        <w:rPr>
          <w:lang w:val="en-CH"/>
        </w:rPr>
        <w:t>.</w:t>
      </w:r>
      <w:r>
        <w:rPr>
          <w:lang w:val="en-CH"/>
        </w:rPr>
        <w:t xml:space="preserve"> </w:t>
      </w:r>
      <w:r w:rsidRPr="004E77FE">
        <w:rPr>
          <w:lang w:val="en-CH"/>
        </w:rPr>
        <w:t>Thampy H, Willert E, Ramani S. Assessing Clinical Reasoning: Targeting the Higher Levels of thePyramid. J GEN INTERN MED. 2019 Aug;34(8):1631–6. doi:</w:t>
      </w:r>
      <w:hyperlink r:id="rId69" w:history="1">
        <w:r w:rsidRPr="004E77FE">
          <w:rPr>
            <w:color w:val="0000FF"/>
            <w:u w:val="single"/>
            <w:lang w:val="en-CH"/>
          </w:rPr>
          <w:t>10.1007/s11606-019-04953-4</w:t>
        </w:r>
      </w:hyperlink>
    </w:p>
    <w:p w14:paraId="0968CB3B" w14:textId="2A75C634" w:rsidR="004E77FE" w:rsidRPr="004E77FE" w:rsidRDefault="004E77FE" w:rsidP="004E77FE">
      <w:pPr>
        <w:spacing w:line="240" w:lineRule="auto"/>
        <w:rPr>
          <w:lang w:val="en-CH"/>
        </w:rPr>
      </w:pPr>
      <w:r w:rsidRPr="004E77FE">
        <w:rPr>
          <w:lang w:val="en-CH"/>
        </w:rPr>
        <w:t>6</w:t>
      </w:r>
      <w:r w:rsidR="00F72969">
        <w:rPr>
          <w:lang w:val="en-CH"/>
        </w:rPr>
        <w:t>3</w:t>
      </w:r>
      <w:r w:rsidRPr="004E77FE">
        <w:rPr>
          <w:lang w:val="en-CH"/>
        </w:rPr>
        <w:t>.</w:t>
      </w:r>
      <w:r>
        <w:rPr>
          <w:lang w:val="en-CH"/>
        </w:rPr>
        <w:t xml:space="preserve"> </w:t>
      </w:r>
      <w:r w:rsidRPr="004E77FE">
        <w:rPr>
          <w:lang w:val="en-CH"/>
        </w:rPr>
        <w:t>Tonelli MR, Bluhm R. Teaching Medical Epistemology within an Evidence-Based Medicine Curriculum. Teaching and Learning in Medicine. 2021 Jan 1;33(1):98–105. doi:</w:t>
      </w:r>
      <w:hyperlink r:id="rId70" w:history="1">
        <w:r w:rsidRPr="004E77FE">
          <w:rPr>
            <w:color w:val="0000FF"/>
            <w:u w:val="single"/>
            <w:lang w:val="en-CH"/>
          </w:rPr>
          <w:t>10.1080/10401334.2020.1835666</w:t>
        </w:r>
      </w:hyperlink>
    </w:p>
    <w:p w14:paraId="583B3D1F" w14:textId="0145D40C" w:rsidR="004E77FE" w:rsidRPr="004E77FE" w:rsidRDefault="004E77FE" w:rsidP="004E77FE">
      <w:pPr>
        <w:spacing w:line="240" w:lineRule="auto"/>
        <w:rPr>
          <w:lang w:val="en-CH"/>
        </w:rPr>
      </w:pPr>
      <w:r w:rsidRPr="004E77FE">
        <w:rPr>
          <w:lang w:val="en-CH"/>
        </w:rPr>
        <w:t>6</w:t>
      </w:r>
      <w:r w:rsidR="00F72969">
        <w:rPr>
          <w:lang w:val="en-CH"/>
        </w:rPr>
        <w:t>4</w:t>
      </w:r>
      <w:r w:rsidRPr="004E77FE">
        <w:rPr>
          <w:lang w:val="en-CH"/>
        </w:rPr>
        <w:t>.</w:t>
      </w:r>
      <w:r>
        <w:rPr>
          <w:lang w:val="en-CH"/>
        </w:rPr>
        <w:t xml:space="preserve"> </w:t>
      </w:r>
      <w:r w:rsidRPr="004E77FE">
        <w:rPr>
          <w:lang w:val="en-CH"/>
        </w:rPr>
        <w:t>Torre D, Chamberland M, Mamede S. Implementation of three knowledge-oriented instructional strategies to teach clinical reasoning: Self-explanation, a concept mapping exercise, and deliberate reflection: AMEE Guide No. 150. Medical Teacher. 2023 Jul 3;45(7):676–84. doi:</w:t>
      </w:r>
      <w:hyperlink r:id="rId71" w:history="1">
        <w:r w:rsidRPr="004E77FE">
          <w:rPr>
            <w:color w:val="0000FF"/>
            <w:u w:val="single"/>
            <w:lang w:val="en-CH"/>
          </w:rPr>
          <w:t>10.1080/0142159X.2022.2105200</w:t>
        </w:r>
      </w:hyperlink>
    </w:p>
    <w:p w14:paraId="0F4D598F" w14:textId="4EF6192C" w:rsidR="004E77FE" w:rsidRPr="004E77FE" w:rsidRDefault="004E77FE" w:rsidP="004E77FE">
      <w:pPr>
        <w:spacing w:line="240" w:lineRule="auto"/>
        <w:rPr>
          <w:lang w:val="en-CH"/>
        </w:rPr>
      </w:pPr>
      <w:r w:rsidRPr="004E77FE">
        <w:rPr>
          <w:lang w:val="en-CH"/>
        </w:rPr>
        <w:t>6</w:t>
      </w:r>
      <w:r w:rsidR="00F72969">
        <w:rPr>
          <w:lang w:val="en-CH"/>
        </w:rPr>
        <w:t>5</w:t>
      </w:r>
      <w:r w:rsidRPr="004E77FE">
        <w:rPr>
          <w:lang w:val="en-CH"/>
        </w:rPr>
        <w:t>.</w:t>
      </w:r>
      <w:r>
        <w:rPr>
          <w:lang w:val="en-CH"/>
        </w:rPr>
        <w:t xml:space="preserve"> </w:t>
      </w:r>
      <w:r w:rsidRPr="004E77FE">
        <w:rPr>
          <w:lang w:val="en-CH"/>
        </w:rPr>
        <w:t>Westen D, Weinberger J. In praise of clinical judgment: Meehl’s forgotten legacy. J Clin Psychol. 2005 Oct;61(10):1257–76. doi:</w:t>
      </w:r>
      <w:hyperlink r:id="rId72" w:history="1">
        <w:r w:rsidRPr="004E77FE">
          <w:rPr>
            <w:color w:val="0000FF"/>
            <w:u w:val="single"/>
            <w:lang w:val="en-CH"/>
          </w:rPr>
          <w:t>10.1002/jclp.20181</w:t>
        </w:r>
      </w:hyperlink>
    </w:p>
    <w:p w14:paraId="0EFB2CB3" w14:textId="28F6723E" w:rsidR="004E77FE" w:rsidRPr="004E77FE" w:rsidRDefault="004E77FE" w:rsidP="004E77FE">
      <w:pPr>
        <w:spacing w:line="240" w:lineRule="auto"/>
        <w:rPr>
          <w:lang w:val="en-CH"/>
        </w:rPr>
      </w:pPr>
      <w:r w:rsidRPr="004E77FE">
        <w:rPr>
          <w:lang w:val="en-CH"/>
        </w:rPr>
        <w:t>6</w:t>
      </w:r>
      <w:r w:rsidR="00F72969">
        <w:rPr>
          <w:lang w:val="en-CH"/>
        </w:rPr>
        <w:t>6</w:t>
      </w:r>
      <w:r w:rsidRPr="004E77FE">
        <w:rPr>
          <w:lang w:val="en-CH"/>
        </w:rPr>
        <w:t>.</w:t>
      </w:r>
      <w:r>
        <w:rPr>
          <w:lang w:val="en-CH"/>
        </w:rPr>
        <w:t xml:space="preserve"> </w:t>
      </w:r>
      <w:r w:rsidRPr="004E77FE">
        <w:rPr>
          <w:lang w:val="en-CH"/>
        </w:rPr>
        <w:t>Woods NN. Science is fundamental: the role of biomedical knowledge in clinical reasoning. Medical Education. 2007 Dec;41(12):1173–7. doi:</w:t>
      </w:r>
      <w:hyperlink r:id="rId73" w:history="1">
        <w:r w:rsidRPr="004E77FE">
          <w:rPr>
            <w:color w:val="0000FF"/>
            <w:u w:val="single"/>
            <w:lang w:val="en-CH"/>
          </w:rPr>
          <w:t>10.1111/j.1365-2923.2007.02911.x</w:t>
        </w:r>
      </w:hyperlink>
    </w:p>
    <w:p w14:paraId="60643A41" w14:textId="6275767E" w:rsidR="004E77FE" w:rsidRPr="004E77FE" w:rsidRDefault="004E77FE" w:rsidP="004E77FE">
      <w:pPr>
        <w:spacing w:line="240" w:lineRule="auto"/>
        <w:rPr>
          <w:lang w:val="en-CH"/>
        </w:rPr>
      </w:pPr>
      <w:r w:rsidRPr="004E77FE">
        <w:rPr>
          <w:lang w:val="en-CH"/>
        </w:rPr>
        <w:lastRenderedPageBreak/>
        <w:t>6</w:t>
      </w:r>
      <w:r w:rsidR="00F72969">
        <w:rPr>
          <w:lang w:val="en-CH"/>
        </w:rPr>
        <w:t>7</w:t>
      </w:r>
      <w:r w:rsidRPr="004E77FE">
        <w:rPr>
          <w:lang w:val="en-CH"/>
        </w:rPr>
        <w:t>.</w:t>
      </w:r>
      <w:r>
        <w:rPr>
          <w:lang w:val="en-CH"/>
        </w:rPr>
        <w:t xml:space="preserve"> </w:t>
      </w:r>
      <w:r w:rsidRPr="004E77FE">
        <w:rPr>
          <w:lang w:val="en-CH"/>
        </w:rPr>
        <w:t>Xu H, Ang BWG, Soh JY, Ponnamperuma GG. Methods to Improve Diagnostic Reasoning in Undergraduate Medical Education in the Clinical Setting: a Systematic Review. J GEN INTERN MED. 2021 Sep;36(9):2745–54. doi:</w:t>
      </w:r>
      <w:hyperlink r:id="rId74" w:history="1">
        <w:r w:rsidRPr="004E77FE">
          <w:rPr>
            <w:color w:val="0000FF"/>
            <w:u w:val="single"/>
            <w:lang w:val="en-CH"/>
          </w:rPr>
          <w:t>10.1007/s11606-021-06916-0</w:t>
        </w:r>
      </w:hyperlink>
    </w:p>
    <w:p w14:paraId="415A4C24" w14:textId="40317AC1" w:rsidR="004E77FE" w:rsidRPr="004E77FE" w:rsidRDefault="004E77FE" w:rsidP="004E77FE">
      <w:pPr>
        <w:spacing w:line="240" w:lineRule="auto"/>
        <w:rPr>
          <w:lang w:val="en-CH"/>
        </w:rPr>
      </w:pPr>
      <w:r w:rsidRPr="004E77FE">
        <w:rPr>
          <w:lang w:val="en-CH"/>
        </w:rPr>
        <w:t>6</w:t>
      </w:r>
      <w:r w:rsidR="00F72969">
        <w:rPr>
          <w:lang w:val="en-CH"/>
        </w:rPr>
        <w:t>8</w:t>
      </w:r>
      <w:r w:rsidRPr="004E77FE">
        <w:rPr>
          <w:lang w:val="en-CH"/>
        </w:rPr>
        <w:t>.</w:t>
      </w:r>
      <w:r>
        <w:rPr>
          <w:lang w:val="en-CH"/>
        </w:rPr>
        <w:t xml:space="preserve"> </w:t>
      </w:r>
      <w:r w:rsidRPr="004E77FE">
        <w:rPr>
          <w:lang w:val="en-CH"/>
        </w:rPr>
        <w:t>Yazdani S, Hoseini Abardeh M. Five decades of research and theorization on clinical reasoning: a critical review. AMEP. 2019 Aug;Volume 10:703–16. doi:</w:t>
      </w:r>
      <w:hyperlink r:id="rId75" w:history="1">
        <w:r w:rsidRPr="004E77FE">
          <w:rPr>
            <w:color w:val="0000FF"/>
            <w:u w:val="single"/>
            <w:lang w:val="en-CH"/>
          </w:rPr>
          <w:t>10.2147/AMEP.S213492</w:t>
        </w:r>
      </w:hyperlink>
    </w:p>
    <w:p w14:paraId="50ECED1F" w14:textId="71F5707D" w:rsidR="004E77FE" w:rsidRPr="004E77FE" w:rsidRDefault="00F72969" w:rsidP="004E77FE">
      <w:pPr>
        <w:spacing w:line="240" w:lineRule="auto"/>
        <w:rPr>
          <w:lang w:val="en-CH"/>
        </w:rPr>
      </w:pPr>
      <w:r>
        <w:rPr>
          <w:lang w:val="en-CH"/>
        </w:rPr>
        <w:t>69</w:t>
      </w:r>
      <w:r w:rsidR="004E77FE" w:rsidRPr="004E77FE">
        <w:rPr>
          <w:lang w:val="en-CH"/>
        </w:rPr>
        <w:t>.</w:t>
      </w:r>
      <w:r w:rsidR="004E77FE">
        <w:rPr>
          <w:lang w:val="en-CH"/>
        </w:rPr>
        <w:t xml:space="preserve"> </w:t>
      </w:r>
      <w:r w:rsidR="004E77FE" w:rsidRPr="004E77FE">
        <w:rPr>
          <w:lang w:val="en-CH"/>
        </w:rPr>
        <w:t>Young M, Thomas A, Gordon D, Gruppen L, Lubarsky S, Rencic J, et al. The terminology of clinical reasoning in health professions education: Implications and considerations. Medical Teacher. 2019 Nov 2;41(11):1277–84. doi:</w:t>
      </w:r>
      <w:hyperlink r:id="rId76" w:history="1">
        <w:r w:rsidR="004E77FE" w:rsidRPr="004E77FE">
          <w:rPr>
            <w:color w:val="0000FF"/>
            <w:u w:val="single"/>
            <w:lang w:val="en-CH"/>
          </w:rPr>
          <w:t>10.1080/0142159X.2019.1635686</w:t>
        </w:r>
      </w:hyperlink>
    </w:p>
    <w:p w14:paraId="3C899383" w14:textId="77777777" w:rsidR="00D33FB2" w:rsidRPr="00D33FB2" w:rsidRDefault="00D33FB2" w:rsidP="00D33FB2"/>
    <w:sectPr w:rsidR="00D33FB2" w:rsidRPr="00D33FB2" w:rsidSect="00A50329">
      <w:headerReference w:type="default" r:id="rId77"/>
      <w:footerReference w:type="even" r:id="rId78"/>
      <w:footerReference w:type="default" r:id="rId7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A044" w14:textId="77777777" w:rsidR="00882FAF" w:rsidRDefault="00882FAF" w:rsidP="0055102F">
      <w:pPr>
        <w:spacing w:line="240" w:lineRule="auto"/>
      </w:pPr>
      <w:r>
        <w:separator/>
      </w:r>
    </w:p>
  </w:endnote>
  <w:endnote w:type="continuationSeparator" w:id="0">
    <w:p w14:paraId="31239C96" w14:textId="77777777" w:rsidR="00882FAF" w:rsidRDefault="00882FAF" w:rsidP="00551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117782"/>
      <w:docPartObj>
        <w:docPartGallery w:val="Page Numbers (Bottom of Page)"/>
        <w:docPartUnique/>
      </w:docPartObj>
    </w:sdtPr>
    <w:sdtContent>
      <w:p w14:paraId="57F060EF" w14:textId="77777777" w:rsidR="00A50329" w:rsidRDefault="00A50329" w:rsidP="002846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C395C1" w14:textId="77777777" w:rsidR="00A50329" w:rsidRDefault="00A50329" w:rsidP="00125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031068"/>
      <w:docPartObj>
        <w:docPartGallery w:val="Page Numbers (Bottom of Page)"/>
        <w:docPartUnique/>
      </w:docPartObj>
    </w:sdtPr>
    <w:sdtContent>
      <w:p w14:paraId="2AB99E78" w14:textId="77777777" w:rsidR="00A50329" w:rsidRDefault="00A50329" w:rsidP="002846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E011B5D" w14:textId="77777777" w:rsidR="00A50329" w:rsidRDefault="00A50329" w:rsidP="00125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DF87" w14:textId="77777777" w:rsidR="00882FAF" w:rsidRDefault="00882FAF" w:rsidP="0055102F">
      <w:pPr>
        <w:spacing w:line="240" w:lineRule="auto"/>
      </w:pPr>
      <w:r>
        <w:separator/>
      </w:r>
    </w:p>
  </w:footnote>
  <w:footnote w:type="continuationSeparator" w:id="0">
    <w:p w14:paraId="52223980" w14:textId="77777777" w:rsidR="00882FAF" w:rsidRDefault="00882FAF" w:rsidP="00551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C778" w14:textId="55F89763" w:rsidR="00312989" w:rsidRDefault="0055102F">
    <w:pPr>
      <w:rPr>
        <w:color w:val="666666"/>
      </w:rPr>
    </w:pPr>
    <w:r>
      <w:rPr>
        <w:color w:val="666666"/>
      </w:rPr>
      <w:t>Appendi</w:t>
    </w:r>
    <w:r w:rsidR="00312989">
      <w:rPr>
        <w:color w:val="666666"/>
      </w:rPr>
      <w:t>ces A &amp;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16"/>
    <w:rsid w:val="00011276"/>
    <w:rsid w:val="000960EE"/>
    <w:rsid w:val="0010487D"/>
    <w:rsid w:val="00246980"/>
    <w:rsid w:val="00287F5A"/>
    <w:rsid w:val="002B178F"/>
    <w:rsid w:val="002D66C7"/>
    <w:rsid w:val="002F6198"/>
    <w:rsid w:val="00312989"/>
    <w:rsid w:val="003D4292"/>
    <w:rsid w:val="00400B16"/>
    <w:rsid w:val="0040241E"/>
    <w:rsid w:val="00470CFF"/>
    <w:rsid w:val="004763F5"/>
    <w:rsid w:val="004E77FE"/>
    <w:rsid w:val="005443F1"/>
    <w:rsid w:val="0055102F"/>
    <w:rsid w:val="00637A60"/>
    <w:rsid w:val="00656162"/>
    <w:rsid w:val="006907DA"/>
    <w:rsid w:val="006A2FC2"/>
    <w:rsid w:val="00751076"/>
    <w:rsid w:val="00757A8B"/>
    <w:rsid w:val="00800158"/>
    <w:rsid w:val="008809A8"/>
    <w:rsid w:val="00882FAF"/>
    <w:rsid w:val="008D3095"/>
    <w:rsid w:val="008F5330"/>
    <w:rsid w:val="00A01B10"/>
    <w:rsid w:val="00A50329"/>
    <w:rsid w:val="00A77D25"/>
    <w:rsid w:val="00AF5A92"/>
    <w:rsid w:val="00B452BA"/>
    <w:rsid w:val="00B83547"/>
    <w:rsid w:val="00BB248F"/>
    <w:rsid w:val="00BB7851"/>
    <w:rsid w:val="00C41DA1"/>
    <w:rsid w:val="00C61AD9"/>
    <w:rsid w:val="00CF1165"/>
    <w:rsid w:val="00D26682"/>
    <w:rsid w:val="00D33FB2"/>
    <w:rsid w:val="00D56F4C"/>
    <w:rsid w:val="00F72969"/>
    <w:rsid w:val="00FE214A"/>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8721"/>
  <w15:chartTrackingRefBased/>
  <w15:docId w15:val="{16B87B10-C40C-4E4A-B6CD-D4DDBCEC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329"/>
    <w:pPr>
      <w:spacing w:after="0" w:line="360" w:lineRule="auto"/>
    </w:pPr>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400B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400B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400B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400B1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400B16"/>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400B16"/>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400B16"/>
    <w:pPr>
      <w:keepNext/>
      <w:keepLines/>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400B16"/>
    <w:pPr>
      <w:keepNext/>
      <w:keepLines/>
      <w:spacing w:line="278"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400B16"/>
    <w:pPr>
      <w:keepNext/>
      <w:keepLines/>
      <w:spacing w:line="278"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B1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400B1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00B1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00B1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00B1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00B1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00B1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00B1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00B1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00B16"/>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400B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00B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400B1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00B16"/>
    <w:pPr>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400B16"/>
    <w:rPr>
      <w:i/>
      <w:iCs/>
      <w:color w:val="404040" w:themeColor="text1" w:themeTint="BF"/>
      <w:lang w:val="en-GB"/>
    </w:rPr>
  </w:style>
  <w:style w:type="paragraph" w:styleId="ListParagraph">
    <w:name w:val="List Paragraph"/>
    <w:basedOn w:val="Normal"/>
    <w:uiPriority w:val="34"/>
    <w:qFormat/>
    <w:rsid w:val="00400B16"/>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400B16"/>
    <w:rPr>
      <w:i/>
      <w:iCs/>
      <w:color w:val="0F4761" w:themeColor="accent1" w:themeShade="BF"/>
    </w:rPr>
  </w:style>
  <w:style w:type="paragraph" w:styleId="IntenseQuote">
    <w:name w:val="Intense Quote"/>
    <w:basedOn w:val="Normal"/>
    <w:next w:val="Normal"/>
    <w:link w:val="IntenseQuoteChar"/>
    <w:uiPriority w:val="30"/>
    <w:qFormat/>
    <w:rsid w:val="00400B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400B16"/>
    <w:rPr>
      <w:i/>
      <w:iCs/>
      <w:color w:val="0F4761" w:themeColor="accent1" w:themeShade="BF"/>
      <w:lang w:val="en-GB"/>
    </w:rPr>
  </w:style>
  <w:style w:type="character" w:styleId="IntenseReference">
    <w:name w:val="Intense Reference"/>
    <w:basedOn w:val="DefaultParagraphFont"/>
    <w:uiPriority w:val="32"/>
    <w:qFormat/>
    <w:rsid w:val="00400B16"/>
    <w:rPr>
      <w:b/>
      <w:bCs/>
      <w:smallCaps/>
      <w:color w:val="0F4761" w:themeColor="accent1" w:themeShade="BF"/>
      <w:spacing w:val="5"/>
    </w:rPr>
  </w:style>
  <w:style w:type="paragraph" w:styleId="Footer">
    <w:name w:val="footer"/>
    <w:basedOn w:val="Normal"/>
    <w:link w:val="FooterChar"/>
    <w:uiPriority w:val="99"/>
    <w:unhideWhenUsed/>
    <w:rsid w:val="00A50329"/>
    <w:pPr>
      <w:tabs>
        <w:tab w:val="center" w:pos="4513"/>
        <w:tab w:val="right" w:pos="9026"/>
      </w:tabs>
      <w:spacing w:line="240" w:lineRule="auto"/>
    </w:pPr>
  </w:style>
  <w:style w:type="character" w:customStyle="1" w:styleId="FooterChar">
    <w:name w:val="Footer Char"/>
    <w:basedOn w:val="DefaultParagraphFont"/>
    <w:link w:val="Footer"/>
    <w:uiPriority w:val="99"/>
    <w:rsid w:val="00A50329"/>
    <w:rPr>
      <w:rFonts w:ascii="Times New Roman" w:eastAsia="Times New Roman" w:hAnsi="Times New Roman" w:cs="Times New Roman"/>
      <w:kern w:val="0"/>
      <w:lang w:val="en-US" w:eastAsia="en-GB"/>
      <w14:ligatures w14:val="none"/>
    </w:rPr>
  </w:style>
  <w:style w:type="table" w:styleId="TableGrid">
    <w:name w:val="Table Grid"/>
    <w:basedOn w:val="TableNormal"/>
    <w:uiPriority w:val="39"/>
    <w:rsid w:val="00A50329"/>
    <w:pPr>
      <w:spacing w:after="0" w:line="240" w:lineRule="auto"/>
    </w:pPr>
    <w:rPr>
      <w:rFonts w:ascii="Times New Roman" w:eastAsia="Times New Roman" w:hAnsi="Times New Roman" w:cs="Times New Roman"/>
      <w:kern w:val="0"/>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50329"/>
  </w:style>
  <w:style w:type="paragraph" w:styleId="Caption">
    <w:name w:val="caption"/>
    <w:basedOn w:val="Normal"/>
    <w:next w:val="Normal"/>
    <w:uiPriority w:val="35"/>
    <w:unhideWhenUsed/>
    <w:qFormat/>
    <w:rsid w:val="00A50329"/>
    <w:pPr>
      <w:spacing w:after="200" w:line="240" w:lineRule="auto"/>
    </w:pPr>
    <w:rPr>
      <w:i/>
      <w:iCs/>
      <w:color w:val="0E2841" w:themeColor="text2"/>
      <w:sz w:val="18"/>
      <w:szCs w:val="18"/>
    </w:rPr>
  </w:style>
  <w:style w:type="table" w:styleId="PlainTable1">
    <w:name w:val="Plain Table 1"/>
    <w:basedOn w:val="TableNormal"/>
    <w:uiPriority w:val="41"/>
    <w:rsid w:val="00A50329"/>
    <w:pPr>
      <w:spacing w:after="0" w:line="240" w:lineRule="auto"/>
    </w:pPr>
    <w:rPr>
      <w:rFonts w:ascii="Times New Roman" w:eastAsia="Times New Roman" w:hAnsi="Times New Roman" w:cs="Times New Roman"/>
      <w:kern w:val="0"/>
      <w:lang w:val="en"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5102F"/>
    <w:pPr>
      <w:tabs>
        <w:tab w:val="center" w:pos="4513"/>
        <w:tab w:val="right" w:pos="9026"/>
      </w:tabs>
      <w:spacing w:line="240" w:lineRule="auto"/>
    </w:pPr>
  </w:style>
  <w:style w:type="character" w:customStyle="1" w:styleId="HeaderChar">
    <w:name w:val="Header Char"/>
    <w:basedOn w:val="DefaultParagraphFont"/>
    <w:link w:val="Header"/>
    <w:uiPriority w:val="99"/>
    <w:rsid w:val="0055102F"/>
    <w:rPr>
      <w:rFonts w:ascii="Times New Roman" w:eastAsia="Times New Roman" w:hAnsi="Times New Roman" w:cs="Times New Roman"/>
      <w:kern w:val="0"/>
      <w:lang w:val="en-US" w:eastAsia="en-GB"/>
      <w14:ligatures w14:val="none"/>
    </w:rPr>
  </w:style>
  <w:style w:type="character" w:styleId="Hyperlink">
    <w:name w:val="Hyperlink"/>
    <w:basedOn w:val="DefaultParagraphFont"/>
    <w:uiPriority w:val="99"/>
    <w:semiHidden/>
    <w:unhideWhenUsed/>
    <w:rsid w:val="004E77FE"/>
    <w:rPr>
      <w:color w:val="0000FF"/>
      <w:u w:val="single"/>
    </w:rPr>
  </w:style>
  <w:style w:type="character" w:styleId="CommentReference">
    <w:name w:val="annotation reference"/>
    <w:basedOn w:val="DefaultParagraphFont"/>
    <w:uiPriority w:val="99"/>
    <w:semiHidden/>
    <w:unhideWhenUsed/>
    <w:rsid w:val="00AF5A92"/>
    <w:rPr>
      <w:sz w:val="16"/>
      <w:szCs w:val="16"/>
    </w:rPr>
  </w:style>
  <w:style w:type="paragraph" w:styleId="CommentText">
    <w:name w:val="annotation text"/>
    <w:basedOn w:val="Normal"/>
    <w:link w:val="CommentTextChar"/>
    <w:uiPriority w:val="99"/>
    <w:semiHidden/>
    <w:unhideWhenUsed/>
    <w:rsid w:val="00AF5A92"/>
    <w:pPr>
      <w:spacing w:line="240" w:lineRule="auto"/>
    </w:pPr>
    <w:rPr>
      <w:sz w:val="20"/>
      <w:szCs w:val="20"/>
    </w:rPr>
  </w:style>
  <w:style w:type="character" w:customStyle="1" w:styleId="CommentTextChar">
    <w:name w:val="Comment Text Char"/>
    <w:basedOn w:val="DefaultParagraphFont"/>
    <w:link w:val="CommentText"/>
    <w:uiPriority w:val="99"/>
    <w:semiHidden/>
    <w:rsid w:val="00AF5A92"/>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AF5A92"/>
    <w:rPr>
      <w:b/>
      <w:bCs/>
    </w:rPr>
  </w:style>
  <w:style w:type="character" w:customStyle="1" w:styleId="CommentSubjectChar">
    <w:name w:val="Comment Subject Char"/>
    <w:basedOn w:val="CommentTextChar"/>
    <w:link w:val="CommentSubject"/>
    <w:uiPriority w:val="99"/>
    <w:semiHidden/>
    <w:rsid w:val="00AF5A92"/>
    <w:rPr>
      <w:rFonts w:ascii="Times New Roman" w:eastAsia="Times New Roman" w:hAnsi="Times New Roman" w:cs="Times New Roman"/>
      <w:b/>
      <w:bCs/>
      <w:kern w:val="0"/>
      <w:sz w:val="20"/>
      <w:szCs w:val="20"/>
      <w:lang w:val="en-US" w:eastAsia="en-GB"/>
      <w14:ligatures w14:val="none"/>
    </w:rPr>
  </w:style>
  <w:style w:type="table" w:styleId="GridTable3">
    <w:name w:val="Grid Table 3"/>
    <w:basedOn w:val="TableNormal"/>
    <w:uiPriority w:val="48"/>
    <w:rsid w:val="00AF5A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AF5A9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7510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946/kjme.2024.292" TargetMode="External"/><Relationship Id="rId21" Type="http://schemas.openxmlformats.org/officeDocument/2006/relationships/hyperlink" Target="https://doi.org/10.1016/j.cppeds.2013.07.005" TargetMode="External"/><Relationship Id="rId42" Type="http://schemas.openxmlformats.org/officeDocument/2006/relationships/hyperlink" Target="https://doi.org/10.5694/mja11.10474" TargetMode="External"/><Relationship Id="rId47" Type="http://schemas.openxmlformats.org/officeDocument/2006/relationships/hyperlink" Target="https://doi.org/10.1111/j.1365-2923.2007.02912.x" TargetMode="External"/><Relationship Id="rId63" Type="http://schemas.openxmlformats.org/officeDocument/2006/relationships/hyperlink" Target="https://doi.org/10.1080/10401334.2023.2230201" TargetMode="External"/><Relationship Id="rId68" Type="http://schemas.openxmlformats.org/officeDocument/2006/relationships/hyperlink" Target="https://doi.org/10.1007/978-3-031-94435-2_2" TargetMode="External"/><Relationship Id="rId16" Type="http://schemas.openxmlformats.org/officeDocument/2006/relationships/hyperlink" Target="https://doi.org/10.1097/ACM.0b013e3181ace703" TargetMode="External"/><Relationship Id="rId11" Type="http://schemas.openxmlformats.org/officeDocument/2006/relationships/hyperlink" Target="https://doi.org/10.1046/j.1365-2923.2003.01542.x" TargetMode="External"/><Relationship Id="rId32" Type="http://schemas.openxmlformats.org/officeDocument/2006/relationships/hyperlink" Target="https://doi.org/10.1046/j.1365-2923.2002.01140.x" TargetMode="External"/><Relationship Id="rId37" Type="http://schemas.openxmlformats.org/officeDocument/2006/relationships/hyperlink" Target="https://doi.org/10.1111/medu.12260" TargetMode="External"/><Relationship Id="rId53" Type="http://schemas.openxmlformats.org/officeDocument/2006/relationships/hyperlink" Target="https://doi.org/10.1093/postmj/qgae079" TargetMode="External"/><Relationship Id="rId58" Type="http://schemas.openxmlformats.org/officeDocument/2006/relationships/hyperlink" Target="https://doi.org/10.1097/00001888-199010000-00001" TargetMode="External"/><Relationship Id="rId74" Type="http://schemas.openxmlformats.org/officeDocument/2006/relationships/hyperlink" Target="https://doi.org/10.1007/s11606-021-06916-0" TargetMode="External"/><Relationship Id="rId79"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doi.org/10.1007/s10459-020-10011-0" TargetMode="External"/><Relationship Id="rId19" Type="http://schemas.openxmlformats.org/officeDocument/2006/relationships/hyperlink" Target="https://doi.org/10.3109/0142159X.2014.956052" TargetMode="External"/><Relationship Id="rId14" Type="http://schemas.openxmlformats.org/officeDocument/2006/relationships/hyperlink" Target="https://doi.org/10.5694/mja10.11473" TargetMode="External"/><Relationship Id="rId22" Type="http://schemas.openxmlformats.org/officeDocument/2006/relationships/hyperlink" Target="https://doi.org/10.5334/pme.947" TargetMode="External"/><Relationship Id="rId27" Type="http://schemas.openxmlformats.org/officeDocument/2006/relationships/hyperlink" Target="https://doi.org/10.1080/0142159X.2020.1795105" TargetMode="External"/><Relationship Id="rId30" Type="http://schemas.openxmlformats.org/officeDocument/2006/relationships/hyperlink" Target="https://doi.org/10.1111/medu.13789" TargetMode="External"/><Relationship Id="rId35" Type="http://schemas.openxmlformats.org/officeDocument/2006/relationships/hyperlink" Target="https://doi.org/10.1080/0142159X.2018.1502418" TargetMode="External"/><Relationship Id="rId43" Type="http://schemas.openxmlformats.org/officeDocument/2006/relationships/hyperlink" Target="https://doi.org/10.1007/s13312-015-0718-7" TargetMode="External"/><Relationship Id="rId48" Type="http://schemas.openxmlformats.org/officeDocument/2006/relationships/hyperlink" Target="https://doi.org/10.1111/j.1365-2923.2011.04032.x" TargetMode="External"/><Relationship Id="rId56" Type="http://schemas.openxmlformats.org/officeDocument/2006/relationships/hyperlink" Target="https://doi.org/10.1097/ACM.0b013e3180556abd" TargetMode="External"/><Relationship Id="rId64" Type="http://schemas.openxmlformats.org/officeDocument/2006/relationships/hyperlink" Target="https://doi.org/10.2147/IJGM.S406165" TargetMode="External"/><Relationship Id="rId69" Type="http://schemas.openxmlformats.org/officeDocument/2006/relationships/hyperlink" Target="https://doi.org/10.1007/s11606-019-04953-4" TargetMode="External"/><Relationship Id="rId77" Type="http://schemas.openxmlformats.org/officeDocument/2006/relationships/header" Target="header1.xml"/><Relationship Id="rId8" Type="http://schemas.openxmlformats.org/officeDocument/2006/relationships/hyperlink" Target="https://doi.org/10.1111/j.1365-2923.1987.tb00671.x" TargetMode="External"/><Relationship Id="rId51" Type="http://schemas.openxmlformats.org/officeDocument/2006/relationships/hyperlink" Target="https://doi.org/10.1111/j.1365-2923.1992.tb00213.x" TargetMode="External"/><Relationship Id="rId72" Type="http://schemas.openxmlformats.org/officeDocument/2006/relationships/hyperlink" Target="https://doi.org/10.1002/jclp.20181"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doi.org/10.1007/S40037-020-00603-2" TargetMode="External"/><Relationship Id="rId17" Type="http://schemas.openxmlformats.org/officeDocument/2006/relationships/hyperlink" Target="https://doi.org/10.1515/dx-2025-0106" TargetMode="External"/><Relationship Id="rId25" Type="http://schemas.openxmlformats.org/officeDocument/2006/relationships/hyperlink" Target="https://doi.org/10.1002/chp.21215" TargetMode="External"/><Relationship Id="rId33" Type="http://schemas.openxmlformats.org/officeDocument/2006/relationships/hyperlink" Target="https://doi.org/10.3205/zma001159" TargetMode="External"/><Relationship Id="rId38" Type="http://schemas.openxmlformats.org/officeDocument/2006/relationships/hyperlink" Target="https://doi.org/10.1186/s12909-022-03112-4" TargetMode="External"/><Relationship Id="rId46" Type="http://schemas.openxmlformats.org/officeDocument/2006/relationships/hyperlink" Target="https://doi.org/10.1111/jep.12905" TargetMode="External"/><Relationship Id="rId59" Type="http://schemas.openxmlformats.org/officeDocument/2006/relationships/hyperlink" Target="https://doi.org/10.1111/medu.12775" TargetMode="External"/><Relationship Id="rId67" Type="http://schemas.openxmlformats.org/officeDocument/2006/relationships/hyperlink" Target="https://link.springer.com/10.1007/978-3-031-94435-2_2" TargetMode="External"/><Relationship Id="rId20" Type="http://schemas.openxmlformats.org/officeDocument/2006/relationships/hyperlink" Target="https://doi.org/10.1097/ACM.0b013e31829a3b10" TargetMode="External"/><Relationship Id="rId41" Type="http://schemas.openxmlformats.org/officeDocument/2006/relationships/hyperlink" Target="https://doi.org/10.1111/tct.70201" TargetMode="External"/><Relationship Id="rId54" Type="http://schemas.openxmlformats.org/officeDocument/2006/relationships/hyperlink" Target="https://doi.org/10.1177/1557234X13492978" TargetMode="External"/><Relationship Id="rId62" Type="http://schemas.openxmlformats.org/officeDocument/2006/relationships/hyperlink" Target="https://doi.org/10.1515/dx-2019-0096" TargetMode="External"/><Relationship Id="rId70" Type="http://schemas.openxmlformats.org/officeDocument/2006/relationships/hyperlink" Target="https://doi.org/10.1080/10401334.2020.1835666" TargetMode="External"/><Relationship Id="rId75" Type="http://schemas.openxmlformats.org/officeDocument/2006/relationships/hyperlink" Target="https://doi.org/10.2147/AMEP.S213492"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1080/0142159X.2020.1842343" TargetMode="External"/><Relationship Id="rId23" Type="http://schemas.openxmlformats.org/officeDocument/2006/relationships/hyperlink" Target="https://doi.org/10.1097/ACM.0000000000002114" TargetMode="External"/><Relationship Id="rId28" Type="http://schemas.openxmlformats.org/officeDocument/2006/relationships/hyperlink" Target="https://doi.org/10.1001/jama.287.2.226" TargetMode="External"/><Relationship Id="rId36" Type="http://schemas.openxmlformats.org/officeDocument/2006/relationships/hyperlink" Target="https://doi.org/10.1111/jep.13432" TargetMode="External"/><Relationship Id="rId49" Type="http://schemas.openxmlformats.org/officeDocument/2006/relationships/hyperlink" Target="https://doi.org/10.1111/j.1365-2923.2009.03307.x" TargetMode="External"/><Relationship Id="rId57" Type="http://schemas.openxmlformats.org/officeDocument/2006/relationships/hyperlink" Target="https://doi.org/10.1177/014107689508801105" TargetMode="External"/><Relationship Id="rId10" Type="http://schemas.openxmlformats.org/officeDocument/2006/relationships/hyperlink" Target="https://doi.org/10.1111/j.1365-2753.2009.01136.x" TargetMode="External"/><Relationship Id="rId31" Type="http://schemas.openxmlformats.org/officeDocument/2006/relationships/hyperlink" Target="https://doi.org/10.1097/MAJ.0b013e3182083f14" TargetMode="External"/><Relationship Id="rId44" Type="http://schemas.openxmlformats.org/officeDocument/2006/relationships/hyperlink" Target="https://doi.org/10.1016/j.jtumed.2023.06.002" TargetMode="External"/><Relationship Id="rId52" Type="http://schemas.openxmlformats.org/officeDocument/2006/relationships/hyperlink" Target="https://doi.org/10.5694/j.1326-5377.1976.tb134455.x" TargetMode="External"/><Relationship Id="rId60" Type="http://schemas.openxmlformats.org/officeDocument/2006/relationships/hyperlink" Target="https://doi.org/10.1111/j.1365-2923.2007.02915.x" TargetMode="External"/><Relationship Id="rId65" Type="http://schemas.openxmlformats.org/officeDocument/2006/relationships/hyperlink" Target="https://doi.org/10.3946/kjme.2019.140" TargetMode="External"/><Relationship Id="rId73" Type="http://schemas.openxmlformats.org/officeDocument/2006/relationships/hyperlink" Target="https://doi.org/10.1111/j.1365-2923.2007.02911.x"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111/nyas.13849" TargetMode="External"/><Relationship Id="rId13" Type="http://schemas.openxmlformats.org/officeDocument/2006/relationships/hyperlink" Target="https://doi.org/10.1186/s12909-024-05448-5" TargetMode="External"/><Relationship Id="rId18" Type="http://schemas.openxmlformats.org/officeDocument/2006/relationships/hyperlink" Target="https://doi.org/10.1186/s13010-025-00194-y" TargetMode="External"/><Relationship Id="rId39" Type="http://schemas.openxmlformats.org/officeDocument/2006/relationships/hyperlink" Target="https://doi.org/10.1023/A:1009736414434" TargetMode="External"/><Relationship Id="rId34" Type="http://schemas.openxmlformats.org/officeDocument/2006/relationships/hyperlink" Target="https://doi.org/10.7771/1541-5015.1638" TargetMode="External"/><Relationship Id="rId50" Type="http://schemas.openxmlformats.org/officeDocument/2006/relationships/hyperlink" Target="https://doi.org/10.1001/archsurg.135.1.22" TargetMode="External"/><Relationship Id="rId55" Type="http://schemas.openxmlformats.org/officeDocument/2006/relationships/hyperlink" Target="https://doi.org/10.3402/meo.v16i0.5890" TargetMode="External"/><Relationship Id="rId76" Type="http://schemas.openxmlformats.org/officeDocument/2006/relationships/hyperlink" Target="https://doi.org/10.1080/0142159X.2019.1635686" TargetMode="External"/><Relationship Id="rId7" Type="http://schemas.openxmlformats.org/officeDocument/2006/relationships/chart" Target="charts/chart1.xml"/><Relationship Id="rId71" Type="http://schemas.openxmlformats.org/officeDocument/2006/relationships/hyperlink" Target="https://doi.org/10.1080/0142159X.2022.2105200" TargetMode="External"/><Relationship Id="rId2" Type="http://schemas.openxmlformats.org/officeDocument/2006/relationships/settings" Target="settings.xml"/><Relationship Id="rId29" Type="http://schemas.openxmlformats.org/officeDocument/2006/relationships/hyperlink" Target="https://doi.org/10.1097/ACM.0000000000000939" TargetMode="External"/><Relationship Id="rId24" Type="http://schemas.openxmlformats.org/officeDocument/2006/relationships/hyperlink" Target="https://doi.org/10.1097/ACM.0b013e3182851b5b" TargetMode="External"/><Relationship Id="rId40" Type="http://schemas.openxmlformats.org/officeDocument/2006/relationships/hyperlink" Target="https://doi.org/10.1111/medu.14863" TargetMode="External"/><Relationship Id="rId45" Type="http://schemas.openxmlformats.org/officeDocument/2006/relationships/hyperlink" Target="https://doi.org/10.1186/1472-6920-11-94" TargetMode="External"/><Relationship Id="rId66" Type="http://schemas.openxmlformats.org/officeDocument/2006/relationships/hyperlink" Target="https://doi.org/10.3946/kjme.2022.21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eowens\Desktop\Projects\Conceptual%20Analysis%20CE\Coding\Final%2069%20Artic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[Final 69 Articles.xlsx]Descriptive Statistics - Basic!PivotTable7</c:name>
    <c:fmtId val="-1"/>
  </c:pivotSource>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Publications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CH"/>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CH"/>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CH"/>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CH"/>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6616472490762222E-2"/>
          <c:y val="3.5494964637431625E-2"/>
          <c:w val="0.91338352750923779"/>
          <c:h val="0.64415118703941465"/>
        </c:manualLayout>
      </c:layout>
      <c:barChart>
        <c:barDir val="col"/>
        <c:grouping val="clustered"/>
        <c:varyColors val="0"/>
        <c:ser>
          <c:idx val="0"/>
          <c:order val="0"/>
          <c:tx>
            <c:strRef>
              <c:f>'Descriptive Statistics - Basic'!$B$3</c:f>
              <c:strCache>
                <c:ptCount val="1"/>
                <c:pt idx="0">
                  <c:v>Total</c:v>
                </c:pt>
              </c:strCache>
            </c:strRef>
          </c:tx>
          <c:spPr>
            <a:solidFill>
              <a:schemeClr val="accent1"/>
            </a:solidFill>
            <a:ln>
              <a:noFill/>
            </a:ln>
            <a:effectLst/>
          </c:spPr>
          <c:invertIfNegative val="0"/>
          <c:cat>
            <c:strRef>
              <c:f>'Descriptive Statistics - Basic'!$A$4:$A$14</c:f>
              <c:strCache>
                <c:ptCount val="10"/>
                <c:pt idx="0">
                  <c:v>1975-1979</c:v>
                </c:pt>
                <c:pt idx="1">
                  <c:v>1985-1989</c:v>
                </c:pt>
                <c:pt idx="2">
                  <c:v>1990-1994</c:v>
                </c:pt>
                <c:pt idx="3">
                  <c:v>1995-1999</c:v>
                </c:pt>
                <c:pt idx="4">
                  <c:v>2000-2004</c:v>
                </c:pt>
                <c:pt idx="5">
                  <c:v>2005-2009</c:v>
                </c:pt>
                <c:pt idx="6">
                  <c:v>2010-2014</c:v>
                </c:pt>
                <c:pt idx="7">
                  <c:v>2015-2019</c:v>
                </c:pt>
                <c:pt idx="8">
                  <c:v>2020-2024</c:v>
                </c:pt>
                <c:pt idx="9">
                  <c:v>2025</c:v>
                </c:pt>
              </c:strCache>
            </c:strRef>
          </c:cat>
          <c:val>
            <c:numRef>
              <c:f>'Descriptive Statistics - Basic'!$B$4:$B$14</c:f>
              <c:numCache>
                <c:formatCode>General</c:formatCode>
                <c:ptCount val="10"/>
                <c:pt idx="0">
                  <c:v>1</c:v>
                </c:pt>
                <c:pt idx="1">
                  <c:v>1</c:v>
                </c:pt>
                <c:pt idx="2">
                  <c:v>2</c:v>
                </c:pt>
                <c:pt idx="3">
                  <c:v>2</c:v>
                </c:pt>
                <c:pt idx="4">
                  <c:v>4</c:v>
                </c:pt>
                <c:pt idx="5">
                  <c:v>8</c:v>
                </c:pt>
                <c:pt idx="6">
                  <c:v>12</c:v>
                </c:pt>
                <c:pt idx="7">
                  <c:v>16</c:v>
                </c:pt>
                <c:pt idx="8">
                  <c:v>19</c:v>
                </c:pt>
                <c:pt idx="9">
                  <c:v>4</c:v>
                </c:pt>
              </c:numCache>
            </c:numRef>
          </c:val>
          <c:extLst>
            <c:ext xmlns:c16="http://schemas.microsoft.com/office/drawing/2014/chart" uri="{C3380CC4-5D6E-409C-BE32-E72D297353CC}">
              <c16:uniqueId val="{00000000-CAD3-8B49-AAB6-AF11A0E9D529}"/>
            </c:ext>
          </c:extLst>
        </c:ser>
        <c:dLbls>
          <c:showLegendKey val="0"/>
          <c:showVal val="0"/>
          <c:showCatName val="0"/>
          <c:showSerName val="0"/>
          <c:showPercent val="0"/>
          <c:showBubbleSize val="0"/>
        </c:dLbls>
        <c:gapWidth val="75"/>
        <c:overlap val="-25"/>
        <c:axId val="1340416512"/>
        <c:axId val="131751616"/>
      </c:barChart>
      <c:catAx>
        <c:axId val="134041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CH"/>
          </a:p>
        </c:txPr>
        <c:crossAx val="131751616"/>
        <c:crosses val="autoZero"/>
        <c:auto val="1"/>
        <c:lblAlgn val="ctr"/>
        <c:lblOffset val="100"/>
        <c:noMultiLvlLbl val="0"/>
      </c:catAx>
      <c:valAx>
        <c:axId val="13175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1340416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CH"/>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Eric</dc:creator>
  <cp:keywords/>
  <dc:description/>
  <cp:lastModifiedBy>Owens  Eric</cp:lastModifiedBy>
  <cp:revision>26</cp:revision>
  <dcterms:created xsi:type="dcterms:W3CDTF">2026-03-18T08:16:00Z</dcterms:created>
  <dcterms:modified xsi:type="dcterms:W3CDTF">2026-04-13T11:11:00Z</dcterms:modified>
</cp:coreProperties>
</file>