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279B" w14:textId="77777777" w:rsidR="001F0B6D" w:rsidRPr="001F0B6D" w:rsidRDefault="001F0B6D" w:rsidP="001D34D7">
      <w:pPr>
        <w:spacing w:after="80"/>
        <w:jc w:val="center"/>
      </w:pPr>
      <w:r w:rsidRPr="001F0B6D">
        <w:rPr>
          <w:rFonts w:ascii="Times New Roman" w:eastAsia="Times New Roman" w:hAnsi="Times New Roman" w:cs="Times New Roman"/>
          <w:b/>
          <w:bCs/>
          <w:color w:val="000000"/>
        </w:rPr>
        <w:t>Supplementary Materials</w:t>
      </w:r>
    </w:p>
    <w:p w14:paraId="191D51F5" w14:textId="77777777" w:rsidR="001F0B6D" w:rsidRPr="001F0B6D" w:rsidRDefault="001F0B6D" w:rsidP="001D34D7">
      <w:pPr>
        <w:spacing w:after="40"/>
        <w:jc w:val="center"/>
      </w:pP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Cost-Effectiveness of Virtual Patient Integration in Dermatology Education:</w:t>
      </w:r>
    </w:p>
    <w:p w14:paraId="14DDE62B" w14:textId="77777777" w:rsidR="001F0B6D" w:rsidRPr="001F0B6D" w:rsidRDefault="001F0B6D" w:rsidP="001D34D7">
      <w:pPr>
        <w:spacing w:after="240"/>
        <w:jc w:val="center"/>
      </w:pP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Evidence for Precision Education by Learner Expertise</w:t>
      </w:r>
    </w:p>
    <w:p w14:paraId="1FD3C203" w14:textId="77777777" w:rsidR="001F0B6D" w:rsidRPr="001F0B6D" w:rsidRDefault="001F0B6D" w:rsidP="001D34D7">
      <w:pPr>
        <w:spacing w:after="80"/>
      </w:pPr>
      <w:r w:rsidRPr="001F0B6D">
        <w:rPr>
          <w:rFonts w:ascii="Times New Roman" w:eastAsia="Times New Roman" w:hAnsi="Times New Roman" w:cs="Times New Roman"/>
          <w:b/>
          <w:bCs/>
          <w:color w:val="000000"/>
        </w:rPr>
        <w:t>Contents</w:t>
      </w:r>
    </w:p>
    <w:p w14:paraId="19C69E05" w14:textId="77777777" w:rsidR="001F0B6D" w:rsidRPr="001F0B6D" w:rsidRDefault="001F0B6D" w:rsidP="001D34D7">
      <w:pPr>
        <w:spacing w:after="40"/>
      </w:pPr>
      <w:r w:rsidRPr="001F0B6D">
        <w:rPr>
          <w:rFonts w:ascii="Times New Roman" w:eastAsia="Times New Roman" w:hAnsi="Times New Roman" w:cs="Times New Roman"/>
          <w:color w:val="000000"/>
        </w:rPr>
        <w:t>Supplementary Table S1.  Learning Outcomes Stratified by Baseline Knowledge Level</w:t>
      </w:r>
    </w:p>
    <w:p w14:paraId="73A8F0BE" w14:textId="77777777" w:rsidR="001F0B6D" w:rsidRPr="001F0B6D" w:rsidRDefault="001F0B6D" w:rsidP="001D34D7">
      <w:pPr>
        <w:spacing w:after="40"/>
      </w:pPr>
      <w:r w:rsidRPr="001F0B6D">
        <w:rPr>
          <w:rFonts w:ascii="Times New Roman" w:eastAsia="Times New Roman" w:hAnsi="Times New Roman" w:cs="Times New Roman"/>
          <w:color w:val="000000"/>
        </w:rPr>
        <w:t>Supplementary Table S2.  Process Measures: Cognitive Load and Critical Thinking (FC+VP Period, N = 161)</w:t>
      </w:r>
    </w:p>
    <w:p w14:paraId="33289B71" w14:textId="77777777" w:rsidR="001F0B6D" w:rsidRPr="001F0B6D" w:rsidRDefault="001F0B6D" w:rsidP="001D34D7">
      <w:pPr>
        <w:spacing w:after="40"/>
      </w:pPr>
      <w:r w:rsidRPr="001F0B6D">
        <w:rPr>
          <w:rFonts w:ascii="Times New Roman" w:eastAsia="Times New Roman" w:hAnsi="Times New Roman" w:cs="Times New Roman"/>
          <w:color w:val="000000"/>
        </w:rPr>
        <w:t>Supplementary Figure S1.  Participant Flow Diagram</w:t>
      </w:r>
    </w:p>
    <w:p w14:paraId="37DFFF9D" w14:textId="77777777" w:rsidR="001F0B6D" w:rsidRPr="001F0B6D" w:rsidRDefault="001F0B6D" w:rsidP="001D34D7">
      <w:pPr>
        <w:spacing w:after="300"/>
      </w:pPr>
      <w:r w:rsidRPr="001F0B6D">
        <w:rPr>
          <w:rFonts w:ascii="Times New Roman" w:eastAsia="Times New Roman" w:hAnsi="Times New Roman" w:cs="Times New Roman"/>
          <w:color w:val="000000"/>
        </w:rPr>
        <w:t>Supplementary Figure S2.  Incremental Cost-Effectiveness Ratio (ICER) by Training Level</w:t>
      </w:r>
    </w:p>
    <w:p w14:paraId="275E0167" w14:textId="77777777" w:rsidR="001F0B6D" w:rsidRDefault="001F0B6D" w:rsidP="001F0B6D">
      <w:pPr>
        <w:spacing w:after="120"/>
        <w:rPr>
          <w:rFonts w:ascii="Times New Roman" w:eastAsia="Times New Roman" w:hAnsi="Times New Roman" w:cs="Times New Roman"/>
          <w:b/>
          <w:bCs/>
          <w:color w:val="000000"/>
        </w:rPr>
        <w:sectPr w:rsidR="001F0B6D" w:rsidSect="001F0B6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C689E50" w14:textId="77777777" w:rsidR="001F0B6D" w:rsidRPr="001F0B6D" w:rsidRDefault="001F0B6D" w:rsidP="001F0B6D">
      <w:pPr>
        <w:spacing w:after="120"/>
      </w:pPr>
      <w:r w:rsidRPr="001F0B6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Table S1. </w:t>
      </w:r>
      <w:r w:rsidRPr="001F0B6D">
        <w:rPr>
          <w:rFonts w:ascii="Times New Roman" w:eastAsia="Times New Roman" w:hAnsi="Times New Roman" w:cs="Times New Roman"/>
          <w:color w:val="000000"/>
        </w:rPr>
        <w:t>Learning Outcomes Stratified by Baseline Knowledge Level</w:t>
      </w:r>
    </w:p>
    <w:tbl>
      <w:tblPr>
        <w:tblW w:w="81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3"/>
        <w:gridCol w:w="2479"/>
        <w:gridCol w:w="679"/>
        <w:gridCol w:w="950"/>
        <w:gridCol w:w="930"/>
      </w:tblGrid>
      <w:tr w:rsidR="001F0B6D" w:rsidRPr="00DF3869" w14:paraId="3AD35452" w14:textId="77777777" w:rsidTr="001D34D7">
        <w:trPr>
          <w:trHeight w:val="47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8E515C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Baseline Knowledge Level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D3F84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E8D566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4F6B79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FC+VP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DAA40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F3869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1F0B6D" w:rsidRPr="00DF3869" w14:paraId="2DA64D5A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585694F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Low (≤ 40%)</w:t>
            </w:r>
          </w:p>
        </w:tc>
        <w:tc>
          <w:tcPr>
            <w:tcW w:w="0" w:type="auto"/>
            <w:vAlign w:val="center"/>
            <w:hideMark/>
          </w:tcPr>
          <w:p w14:paraId="0C9DDD5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1F42088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434D474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6B3754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04F46C68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5FF2508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076AC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 xml:space="preserve">Cohen's </w:t>
            </w:r>
            <w:r w:rsidRPr="00DF3869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D97850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0" w:type="auto"/>
            <w:vAlign w:val="center"/>
            <w:hideMark/>
          </w:tcPr>
          <w:p w14:paraId="28D6E410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6.93</w:t>
            </w:r>
          </w:p>
        </w:tc>
        <w:tc>
          <w:tcPr>
            <w:tcW w:w="0" w:type="auto"/>
            <w:vAlign w:val="center"/>
            <w:hideMark/>
          </w:tcPr>
          <w:p w14:paraId="56F80C1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7FAB19DE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2FEF7F0A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E9716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Incremental Δ</w:t>
            </w:r>
            <w:r w:rsidRPr="00DF3869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3AF92C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9E650F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−0.14</w:t>
            </w:r>
          </w:p>
        </w:tc>
        <w:tc>
          <w:tcPr>
            <w:tcW w:w="0" w:type="auto"/>
            <w:vAlign w:val="center"/>
            <w:hideMark/>
          </w:tcPr>
          <w:p w14:paraId="7497D3F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62BDD8D5" w14:textId="77777777" w:rsidTr="001D34D7">
        <w:trPr>
          <w:trHeight w:val="485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0C5EF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FA3492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Achievement rate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3A0B7A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95.9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BD70489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2D5E4F9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.466</w:t>
            </w:r>
          </w:p>
        </w:tc>
      </w:tr>
      <w:tr w:rsidR="001F0B6D" w:rsidRPr="00DF3869" w14:paraId="591EE07B" w14:textId="77777777" w:rsidTr="001D34D7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28343BF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Medium (40–60%)</w:t>
            </w:r>
          </w:p>
        </w:tc>
        <w:tc>
          <w:tcPr>
            <w:tcW w:w="0" w:type="auto"/>
            <w:vAlign w:val="center"/>
            <w:hideMark/>
          </w:tcPr>
          <w:p w14:paraId="76EC983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6D9865FF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0A8DD6C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7E749256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1A802FA2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1096B69D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E8560B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 xml:space="preserve">Cohen's </w:t>
            </w:r>
            <w:r w:rsidRPr="00DF3869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C398F8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0.00ᵃ</w:t>
            </w:r>
          </w:p>
        </w:tc>
        <w:tc>
          <w:tcPr>
            <w:tcW w:w="0" w:type="auto"/>
            <w:vAlign w:val="center"/>
            <w:hideMark/>
          </w:tcPr>
          <w:p w14:paraId="77441C56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0.00ᵃ</w:t>
            </w:r>
          </w:p>
        </w:tc>
        <w:tc>
          <w:tcPr>
            <w:tcW w:w="0" w:type="auto"/>
            <w:vAlign w:val="center"/>
            <w:hideMark/>
          </w:tcPr>
          <w:p w14:paraId="0B00030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6C2D1275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42B00D6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6FF010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Incremental Δ</w:t>
            </w:r>
            <w:r w:rsidRPr="00DF3869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FD871B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8F6E99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2292936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7D141967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1829F60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CF8CF6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Achievement rate (%)</w:t>
            </w:r>
          </w:p>
        </w:tc>
        <w:tc>
          <w:tcPr>
            <w:tcW w:w="0" w:type="auto"/>
            <w:vAlign w:val="center"/>
            <w:hideMark/>
          </w:tcPr>
          <w:p w14:paraId="615F71DD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14:paraId="25A0037A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97.6</w:t>
            </w:r>
          </w:p>
        </w:tc>
        <w:tc>
          <w:tcPr>
            <w:tcW w:w="0" w:type="auto"/>
            <w:vAlign w:val="center"/>
            <w:hideMark/>
          </w:tcPr>
          <w:p w14:paraId="06B2312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.692</w:t>
            </w:r>
          </w:p>
        </w:tc>
      </w:tr>
      <w:tr w:rsidR="001F0B6D" w:rsidRPr="00DF3869" w14:paraId="3966ECBC" w14:textId="77777777" w:rsidTr="001D34D7">
        <w:trPr>
          <w:trHeight w:val="485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71F70C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High (&gt; 60%)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C35DBDA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940336F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F01D8C1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4E53D2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23302046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3C94C8A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E29F2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 xml:space="preserve">Cohen's </w:t>
            </w:r>
            <w:r w:rsidRPr="00DF3869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AFFCDD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0.00ᵃ</w:t>
            </w:r>
          </w:p>
        </w:tc>
        <w:tc>
          <w:tcPr>
            <w:tcW w:w="0" w:type="auto"/>
            <w:vAlign w:val="center"/>
            <w:hideMark/>
          </w:tcPr>
          <w:p w14:paraId="02889FE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0.00ᵃ</w:t>
            </w:r>
          </w:p>
        </w:tc>
        <w:tc>
          <w:tcPr>
            <w:tcW w:w="0" w:type="auto"/>
            <w:vAlign w:val="center"/>
            <w:hideMark/>
          </w:tcPr>
          <w:p w14:paraId="4E6C1360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3DCC542E" w14:textId="77777777" w:rsidTr="001D34D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0852D21C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5323E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Incremental Δ</w:t>
            </w:r>
            <w:r w:rsidRPr="00DF3869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C94794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FD937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790E89E0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0B6D" w:rsidRPr="00DF3869" w14:paraId="7A1B447F" w14:textId="77777777" w:rsidTr="001D34D7">
        <w:trPr>
          <w:trHeight w:val="474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C641A6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AD16E7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Achievement rate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F86EFE4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6ADEDF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990265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031FB021" w14:textId="77777777" w:rsidR="001F0B6D" w:rsidRPr="00DF3869" w:rsidRDefault="001F0B6D" w:rsidP="001F0B6D">
      <w:pPr>
        <w:rPr>
          <w:rFonts w:ascii="Times New Roman" w:hAnsi="Times New Roman" w:cs="Times New Roman"/>
        </w:rPr>
      </w:pPr>
      <w:r w:rsidRPr="00DF3869">
        <w:rPr>
          <w:rFonts w:ascii="Times New Roman" w:hAnsi="Times New Roman" w:cs="Times New Roman"/>
          <w:i/>
          <w:iCs/>
        </w:rPr>
        <w:t>Note.</w:t>
      </w:r>
      <w:r w:rsidRPr="00DF3869">
        <w:rPr>
          <w:rFonts w:ascii="Times New Roman" w:hAnsi="Times New Roman" w:cs="Times New Roman"/>
        </w:rPr>
        <w:t xml:space="preserve"> FC = Flipped Classroom; FC+VP = Flipped Classroom with Virtual Patients; Δ</w:t>
      </w:r>
      <w:r w:rsidRPr="00DF3869">
        <w:rPr>
          <w:rFonts w:ascii="Times New Roman" w:hAnsi="Times New Roman" w:cs="Times New Roman"/>
          <w:i/>
          <w:iCs/>
        </w:rPr>
        <w:t>d</w:t>
      </w:r>
      <w:r w:rsidRPr="00DF3869">
        <w:rPr>
          <w:rFonts w:ascii="Times New Roman" w:hAnsi="Times New Roman" w:cs="Times New Roman"/>
        </w:rPr>
        <w:t xml:space="preserve"> = incremental effect size (FC+VP minus FC). ᵃCohen's </w:t>
      </w:r>
      <w:r w:rsidRPr="00DF3869">
        <w:rPr>
          <w:rFonts w:ascii="Times New Roman" w:hAnsi="Times New Roman" w:cs="Times New Roman"/>
          <w:i/>
          <w:iCs/>
        </w:rPr>
        <w:t>d</w:t>
      </w:r>
      <w:r w:rsidRPr="00DF3869">
        <w:rPr>
          <w:rFonts w:ascii="Times New Roman" w:hAnsi="Times New Roman" w:cs="Times New Roman"/>
        </w:rPr>
        <w:t xml:space="preserve"> = 0.00 due to ceiling effects—in medium and high baseline strata, all or nearly all students achieved maximum or near-maximum post-test scores, limiting score variability needed to calculate meaningful effect sizes.</w:t>
      </w:r>
    </w:p>
    <w:p w14:paraId="71B49C5B" w14:textId="77777777" w:rsidR="001F0B6D" w:rsidRPr="00DF3869" w:rsidRDefault="00000000" w:rsidP="001F0B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5507D24">
          <v:rect id="_x0000_i1025" style="width:0;height:1.5pt" o:hralign="center" o:hrstd="t" o:hr="t" fillcolor="#a0a0a0" stroked="f"/>
        </w:pict>
      </w:r>
    </w:p>
    <w:p w14:paraId="38DF3C02" w14:textId="77777777" w:rsidR="001F0B6D" w:rsidRPr="00DF3869" w:rsidRDefault="001F0B6D" w:rsidP="001F0B6D">
      <w:pPr>
        <w:rPr>
          <w:rFonts w:ascii="Times New Roman" w:hAnsi="Times New Roman" w:cs="Times New Roman"/>
          <w:b/>
          <w:bCs/>
        </w:rPr>
        <w:sectPr w:rsidR="001F0B6D" w:rsidRPr="00DF3869" w:rsidSect="001F0B6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70DE753" w14:textId="77777777" w:rsidR="001F0B6D" w:rsidRPr="001F0B6D" w:rsidRDefault="001F0B6D" w:rsidP="001F0B6D">
      <w:pPr>
        <w:rPr>
          <w:rFonts w:ascii="Times New Roman" w:hAnsi="Times New Roman" w:cs="Times New Roman"/>
          <w:b/>
          <w:bCs/>
        </w:rPr>
      </w:pPr>
      <w:r w:rsidRPr="001F0B6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Supplementary Table S2</w:t>
      </w:r>
      <w:r w:rsidRPr="001F0B6D">
        <w:rPr>
          <w:rFonts w:ascii="Times New Roman" w:hAnsi="Times New Roman" w:cs="Times New Roman"/>
          <w:b/>
          <w:bCs/>
        </w:rPr>
        <w:t xml:space="preserve">. </w:t>
      </w:r>
      <w:r w:rsidRPr="001F0B6D">
        <w:rPr>
          <w:rFonts w:ascii="Times New Roman" w:hAnsi="Times New Roman" w:cs="Times New Roman"/>
        </w:rPr>
        <w:t xml:space="preserve">Process Measures: Cognitive Load and Critical Thinking (FC+VP Period, </w:t>
      </w:r>
      <w:r w:rsidRPr="001F0B6D">
        <w:rPr>
          <w:rFonts w:ascii="Times New Roman" w:hAnsi="Times New Roman" w:cs="Times New Roman"/>
          <w:i/>
          <w:iCs/>
        </w:rPr>
        <w:t>N</w:t>
      </w:r>
      <w:r w:rsidRPr="001F0B6D">
        <w:rPr>
          <w:rFonts w:ascii="Times New Roman" w:hAnsi="Times New Roman" w:cs="Times New Roman"/>
        </w:rPr>
        <w:t xml:space="preserve"> = 161)</w:t>
      </w:r>
    </w:p>
    <w:tbl>
      <w:tblPr>
        <w:tblW w:w="82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634"/>
        <w:gridCol w:w="880"/>
        <w:gridCol w:w="1169"/>
        <w:gridCol w:w="1240"/>
        <w:gridCol w:w="1484"/>
        <w:gridCol w:w="710"/>
      </w:tblGrid>
      <w:tr w:rsidR="001F0B6D" w:rsidRPr="00DF3869" w14:paraId="1F7503F2" w14:textId="77777777" w:rsidTr="001D34D7">
        <w:trPr>
          <w:trHeight w:val="691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B7049C0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DCA021F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9C0420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FB17CBB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>Cronbach α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70ACD4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 w:rsidRPr="00DF3869">
              <w:rPr>
                <w:rFonts w:ascii="Times New Roman" w:hAnsi="Times New Roman" w:cs="Times New Roman"/>
                <w:b/>
                <w:bCs/>
              </w:rPr>
              <w:t xml:space="preserve"> with Progress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471F13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</w:rPr>
              <w:t xml:space="preserve">Regression </w:t>
            </w:r>
            <w:r w:rsidRPr="00DF3869">
              <w:rPr>
                <w:rFonts w:ascii="Times New Roman" w:hAnsi="Times New Roman" w:cs="Times New Roman"/>
                <w:b/>
                <w:bCs/>
                <w:i/>
                <w:iCs/>
              </w:rPr>
              <w:t>β</w:t>
            </w:r>
            <w:r w:rsidRPr="00DF386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DF3869">
              <w:rPr>
                <w:rFonts w:ascii="Times New Roman" w:hAnsi="Times New Roman" w:cs="Times New Roman"/>
                <w:b/>
                <w:bCs/>
                <w:i/>
                <w:iCs/>
              </w:rPr>
              <w:t>SE</w:t>
            </w:r>
            <w:r w:rsidRPr="00DF38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2407FD6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386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F3869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1F0B6D" w:rsidRPr="00DF3869" w14:paraId="143C30D8" w14:textId="77777777" w:rsidTr="001D34D7">
        <w:trPr>
          <w:trHeight w:val="715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7250E2A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Critical Thinking Disposition (CT)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39D4464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3556FB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5.12 (0.89)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FABB2F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.933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8FCC43C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.342**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400EEDD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0.98 (1.15)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2D86F8D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.421</w:t>
            </w:r>
          </w:p>
        </w:tc>
      </w:tr>
      <w:tr w:rsidR="001F0B6D" w:rsidRPr="00DF3869" w14:paraId="7FDF477B" w14:textId="77777777" w:rsidTr="001D34D7">
        <w:trPr>
          <w:trHeight w:val="702"/>
          <w:tblCellSpacing w:w="15" w:type="dxa"/>
        </w:trPr>
        <w:tc>
          <w:tcPr>
            <w:tcW w:w="0" w:type="auto"/>
            <w:vAlign w:val="center"/>
            <w:hideMark/>
          </w:tcPr>
          <w:p w14:paraId="642A7FEB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Intrinsic Cognitive Load (ICL)</w:t>
            </w:r>
          </w:p>
        </w:tc>
        <w:tc>
          <w:tcPr>
            <w:tcW w:w="0" w:type="auto"/>
            <w:vAlign w:val="center"/>
            <w:hideMark/>
          </w:tcPr>
          <w:p w14:paraId="4D7A5614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4512D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4.23 (1.05)</w:t>
            </w:r>
          </w:p>
        </w:tc>
        <w:tc>
          <w:tcPr>
            <w:tcW w:w="0" w:type="auto"/>
            <w:vAlign w:val="center"/>
            <w:hideMark/>
          </w:tcPr>
          <w:p w14:paraId="19F05FDB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.700</w:t>
            </w:r>
          </w:p>
        </w:tc>
        <w:tc>
          <w:tcPr>
            <w:tcW w:w="0" w:type="auto"/>
            <w:vAlign w:val="center"/>
            <w:hideMark/>
          </w:tcPr>
          <w:p w14:paraId="359A0C4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.089</w:t>
            </w:r>
          </w:p>
        </w:tc>
        <w:tc>
          <w:tcPr>
            <w:tcW w:w="0" w:type="auto"/>
            <w:vAlign w:val="center"/>
            <w:hideMark/>
          </w:tcPr>
          <w:p w14:paraId="71D6EB91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−0.42 (1.04)</w:t>
            </w:r>
          </w:p>
        </w:tc>
        <w:tc>
          <w:tcPr>
            <w:tcW w:w="0" w:type="auto"/>
            <w:vAlign w:val="center"/>
            <w:hideMark/>
          </w:tcPr>
          <w:p w14:paraId="5D1814B5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.687</w:t>
            </w:r>
          </w:p>
        </w:tc>
      </w:tr>
      <w:tr w:rsidR="001F0B6D" w:rsidRPr="00DF3869" w14:paraId="0D50CA25" w14:textId="77777777" w:rsidTr="001D34D7">
        <w:trPr>
          <w:trHeight w:val="702"/>
          <w:tblCellSpacing w:w="15" w:type="dxa"/>
        </w:trPr>
        <w:tc>
          <w:tcPr>
            <w:tcW w:w="0" w:type="auto"/>
            <w:vAlign w:val="center"/>
            <w:hideMark/>
          </w:tcPr>
          <w:p w14:paraId="33C630D2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Extraneous Cognitive Load (ECL)</w:t>
            </w:r>
          </w:p>
        </w:tc>
        <w:tc>
          <w:tcPr>
            <w:tcW w:w="0" w:type="auto"/>
            <w:vAlign w:val="center"/>
            <w:hideMark/>
          </w:tcPr>
          <w:p w14:paraId="554BBAEF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54F4A1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3.18 (1.23)</w:t>
            </w:r>
          </w:p>
        </w:tc>
        <w:tc>
          <w:tcPr>
            <w:tcW w:w="0" w:type="auto"/>
            <w:vAlign w:val="center"/>
            <w:hideMark/>
          </w:tcPr>
          <w:p w14:paraId="5DD9A047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.867</w:t>
            </w:r>
          </w:p>
        </w:tc>
        <w:tc>
          <w:tcPr>
            <w:tcW w:w="0" w:type="auto"/>
            <w:vAlign w:val="center"/>
            <w:hideMark/>
          </w:tcPr>
          <w:p w14:paraId="00E6BAC9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−.156*</w:t>
            </w:r>
          </w:p>
        </w:tc>
        <w:tc>
          <w:tcPr>
            <w:tcW w:w="0" w:type="auto"/>
            <w:vAlign w:val="center"/>
            <w:hideMark/>
          </w:tcPr>
          <w:p w14:paraId="2E984F38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−0.35 (0.57)</w:t>
            </w:r>
          </w:p>
        </w:tc>
        <w:tc>
          <w:tcPr>
            <w:tcW w:w="0" w:type="auto"/>
            <w:vAlign w:val="center"/>
            <w:hideMark/>
          </w:tcPr>
          <w:p w14:paraId="2423D28A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.542</w:t>
            </w:r>
          </w:p>
        </w:tc>
      </w:tr>
      <w:tr w:rsidR="001F0B6D" w:rsidRPr="00DF3869" w14:paraId="26E857E1" w14:textId="77777777" w:rsidTr="001D34D7">
        <w:trPr>
          <w:trHeight w:val="702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F67ACA4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Germane Cognitive Load (GCL)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75704CD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60206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5.48 (0.76)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C74FCD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.839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34D6383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.521***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AEF4B9E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3.96 (1.62)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934BA9F" w14:textId="77777777" w:rsidR="001F0B6D" w:rsidRPr="00DF3869" w:rsidRDefault="001F0B6D" w:rsidP="001D3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869">
              <w:rPr>
                <w:rFonts w:ascii="Times New Roman" w:hAnsi="Times New Roman" w:cs="Times New Roman"/>
              </w:rPr>
              <w:t>.015</w:t>
            </w:r>
          </w:p>
        </w:tc>
      </w:tr>
    </w:tbl>
    <w:p w14:paraId="3A801EB7" w14:textId="77777777" w:rsidR="001F0B6D" w:rsidRPr="00DF3869" w:rsidRDefault="001F0B6D" w:rsidP="001F0B6D">
      <w:pPr>
        <w:rPr>
          <w:rFonts w:ascii="Times New Roman" w:hAnsi="Times New Roman" w:cs="Times New Roman"/>
        </w:rPr>
      </w:pPr>
      <w:r w:rsidRPr="00DF3869">
        <w:rPr>
          <w:rFonts w:ascii="Times New Roman" w:hAnsi="Times New Roman" w:cs="Times New Roman"/>
          <w:i/>
          <w:iCs/>
        </w:rPr>
        <w:t>Note.</w:t>
      </w:r>
      <w:r w:rsidRPr="00DF3869">
        <w:rPr>
          <w:rFonts w:ascii="Times New Roman" w:hAnsi="Times New Roman" w:cs="Times New Roman"/>
        </w:rPr>
        <w:t xml:space="preserve"> All measures assessed in FC+VP period only (</w:t>
      </w:r>
      <w:r w:rsidRPr="00DF3869">
        <w:rPr>
          <w:rFonts w:ascii="Times New Roman" w:hAnsi="Times New Roman" w:cs="Times New Roman"/>
          <w:i/>
          <w:iCs/>
        </w:rPr>
        <w:t>N</w:t>
      </w:r>
      <w:r w:rsidRPr="00DF3869">
        <w:rPr>
          <w:rFonts w:ascii="Times New Roman" w:hAnsi="Times New Roman" w:cs="Times New Roman"/>
        </w:rPr>
        <w:t xml:space="preserve"> = 161) using 7-point Likert scales (1 = </w:t>
      </w:r>
      <w:r w:rsidRPr="00DF3869">
        <w:rPr>
          <w:rFonts w:ascii="Times New Roman" w:hAnsi="Times New Roman" w:cs="Times New Roman"/>
          <w:i/>
          <w:iCs/>
        </w:rPr>
        <w:t>strongly disagree</w:t>
      </w:r>
      <w:r w:rsidRPr="00DF3869">
        <w:rPr>
          <w:rFonts w:ascii="Times New Roman" w:hAnsi="Times New Roman" w:cs="Times New Roman"/>
        </w:rPr>
        <w:t xml:space="preserve">, 7 = </w:t>
      </w:r>
      <w:r w:rsidRPr="00DF3869">
        <w:rPr>
          <w:rFonts w:ascii="Times New Roman" w:hAnsi="Times New Roman" w:cs="Times New Roman"/>
          <w:i/>
          <w:iCs/>
        </w:rPr>
        <w:t>strongly agree</w:t>
      </w:r>
      <w:r w:rsidRPr="00DF3869">
        <w:rPr>
          <w:rFonts w:ascii="Times New Roman" w:hAnsi="Times New Roman" w:cs="Times New Roman"/>
        </w:rPr>
        <w:t>). Cronbach's α indicates internal consistency reliability (α ≥ .70 considered acceptable). Correlation coefficients (</w:t>
      </w:r>
      <w:r w:rsidRPr="00DF3869">
        <w:rPr>
          <w:rFonts w:ascii="Times New Roman" w:hAnsi="Times New Roman" w:cs="Times New Roman"/>
          <w:i/>
          <w:iCs/>
        </w:rPr>
        <w:t>r</w:t>
      </w:r>
      <w:r w:rsidRPr="00DF3869">
        <w:rPr>
          <w:rFonts w:ascii="Times New Roman" w:hAnsi="Times New Roman" w:cs="Times New Roman"/>
        </w:rPr>
        <w:t>) from Pearson correlation analysis with learning progress (post-test minus pre-test score). Regression coefficients (</w:t>
      </w:r>
      <w:r w:rsidRPr="00DF3869">
        <w:rPr>
          <w:rFonts w:ascii="Times New Roman" w:hAnsi="Times New Roman" w:cs="Times New Roman"/>
          <w:i/>
          <w:iCs/>
        </w:rPr>
        <w:t>β</w:t>
      </w:r>
      <w:r w:rsidRPr="00DF3869">
        <w:rPr>
          <w:rFonts w:ascii="Times New Roman" w:hAnsi="Times New Roman" w:cs="Times New Roman"/>
        </w:rPr>
        <w:t>) and standard errors (</w:t>
      </w:r>
      <w:r w:rsidRPr="00DF3869">
        <w:rPr>
          <w:rFonts w:ascii="Times New Roman" w:hAnsi="Times New Roman" w:cs="Times New Roman"/>
          <w:i/>
          <w:iCs/>
        </w:rPr>
        <w:t>SE</w:t>
      </w:r>
      <w:r w:rsidRPr="00DF3869">
        <w:rPr>
          <w:rFonts w:ascii="Times New Roman" w:hAnsi="Times New Roman" w:cs="Times New Roman"/>
        </w:rPr>
        <w:t>) from multiple linear regression controlling for all four cognitive process measures simultaneously (</w:t>
      </w:r>
      <w:r w:rsidRPr="00DF3869">
        <w:rPr>
          <w:rFonts w:ascii="Times New Roman" w:hAnsi="Times New Roman" w:cs="Times New Roman"/>
          <w:i/>
          <w:iCs/>
        </w:rPr>
        <w:t>R</w:t>
      </w:r>
      <w:r w:rsidRPr="00DF3869">
        <w:rPr>
          <w:rFonts w:ascii="Times New Roman" w:hAnsi="Times New Roman" w:cs="Times New Roman"/>
        </w:rPr>
        <w:t>² = .271). *</w:t>
      </w:r>
      <w:r w:rsidRPr="00DF3869">
        <w:rPr>
          <w:rFonts w:ascii="Times New Roman" w:hAnsi="Times New Roman" w:cs="Times New Roman"/>
          <w:i/>
          <w:iCs/>
        </w:rPr>
        <w:t>p</w:t>
      </w:r>
      <w:r w:rsidRPr="00DF3869">
        <w:rPr>
          <w:rFonts w:ascii="Times New Roman" w:hAnsi="Times New Roman" w:cs="Times New Roman"/>
        </w:rPr>
        <w:t xml:space="preserve"> &lt; .05, **</w:t>
      </w:r>
      <w:r w:rsidRPr="00DF3869">
        <w:rPr>
          <w:rFonts w:ascii="Times New Roman" w:hAnsi="Times New Roman" w:cs="Times New Roman"/>
          <w:i/>
          <w:iCs/>
        </w:rPr>
        <w:t>p</w:t>
      </w:r>
      <w:r w:rsidRPr="00DF3869">
        <w:rPr>
          <w:rFonts w:ascii="Times New Roman" w:hAnsi="Times New Roman" w:cs="Times New Roman"/>
        </w:rPr>
        <w:t xml:space="preserve"> &lt; .01, ***</w:t>
      </w:r>
      <w:r w:rsidRPr="00DF3869">
        <w:rPr>
          <w:rFonts w:ascii="Times New Roman" w:hAnsi="Times New Roman" w:cs="Times New Roman"/>
          <w:i/>
          <w:iCs/>
        </w:rPr>
        <w:t>p</w:t>
      </w:r>
      <w:r w:rsidRPr="00DF3869">
        <w:rPr>
          <w:rFonts w:ascii="Times New Roman" w:hAnsi="Times New Roman" w:cs="Times New Roman"/>
        </w:rPr>
        <w:t xml:space="preserve"> &lt; .001.</w:t>
      </w:r>
    </w:p>
    <w:p w14:paraId="6027335C" w14:textId="77777777" w:rsidR="001F0B6D" w:rsidRPr="00DF3869" w:rsidRDefault="00000000" w:rsidP="001F0B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BDDD0D4">
          <v:rect id="_x0000_i1026" style="width:0;height:1.5pt" o:hralign="center" o:hrstd="t" o:hr="t" fillcolor="#a0a0a0" stroked="f"/>
        </w:pict>
      </w:r>
    </w:p>
    <w:p w14:paraId="5AEA4B4E" w14:textId="77777777" w:rsidR="001F0B6D" w:rsidRDefault="001F0B6D"/>
    <w:p w14:paraId="6957C4FA" w14:textId="77777777" w:rsidR="001F0B6D" w:rsidRDefault="001F0B6D"/>
    <w:p w14:paraId="672C9C42" w14:textId="77777777" w:rsidR="001F0B6D" w:rsidRDefault="001F0B6D" w:rsidP="001F0B6D">
      <w:pPr>
        <w:spacing w:after="120"/>
        <w:rPr>
          <w:rFonts w:ascii="Times New Roman" w:eastAsia="Times New Roman" w:hAnsi="Times New Roman" w:cs="Times New Roman"/>
          <w:b/>
          <w:bCs/>
          <w:color w:val="000000"/>
        </w:rPr>
        <w:sectPr w:rsidR="001F0B6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5739054" w14:textId="77777777" w:rsidR="001F0B6D" w:rsidRPr="001F0B6D" w:rsidRDefault="001F0B6D" w:rsidP="001F0B6D">
      <w:pPr>
        <w:spacing w:after="120"/>
      </w:pPr>
      <w:r w:rsidRPr="001F0B6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Figure S1. </w:t>
      </w:r>
      <w:r w:rsidRPr="001F0B6D">
        <w:rPr>
          <w:rFonts w:ascii="Times New Roman" w:eastAsia="Times New Roman" w:hAnsi="Times New Roman" w:cs="Times New Roman"/>
          <w:color w:val="000000"/>
        </w:rPr>
        <w:t>Participant Flow Diagram.</w:t>
      </w:r>
    </w:p>
    <w:p w14:paraId="18116F42" w14:textId="222C9176" w:rsidR="001E3E5C" w:rsidRDefault="001E3E5C" w:rsidP="001F0B6D">
      <w:pPr>
        <w:spacing w:after="2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AD075FB" wp14:editId="59DA2E3C">
            <wp:extent cx="5267325" cy="7048500"/>
            <wp:effectExtent l="0" t="0" r="9525" b="0"/>
            <wp:docPr id="3321240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C620" w14:textId="5874E8BD" w:rsidR="001F0B6D" w:rsidRPr="001F0B6D" w:rsidRDefault="001F0B6D" w:rsidP="001F0B6D">
      <w:pPr>
        <w:spacing w:after="280"/>
      </w:pPr>
      <w:r w:rsidRPr="001F0B6D">
        <w:rPr>
          <w:rFonts w:ascii="Times New Roman" w:eastAsia="Times New Roman" w:hAnsi="Times New Roman" w:cs="Times New Roman"/>
          <w:color w:val="000000"/>
        </w:rPr>
        <w:t xml:space="preserve">Sequential implementation study comparing flipped classroom (FC, 2022–2023) versus FC with virtual patients (FC+VP, 2024–2025). FC period: 145 enrolled, 131 completed (90.3% completion rate;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14 incomplete [UGY = 8, PGY = 6]). FC+VP period: 170 enrolled, 161 completed (94.7% completion rate;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9 incomplete [UGY </w:t>
      </w:r>
      <w:r w:rsidRPr="001F0B6D">
        <w:rPr>
          <w:rFonts w:ascii="Times New Roman" w:eastAsia="Times New Roman" w:hAnsi="Times New Roman" w:cs="Times New Roman"/>
          <w:color w:val="000000"/>
        </w:rPr>
        <w:lastRenderedPageBreak/>
        <w:t xml:space="preserve">= 5, PGY = 4]). Overall: 292/315 (92.7%) completed all assessments. Completion rates did not differ across training levels (UGY: 92.7%; PGY: 92.8%; χ²(1) = 0.001,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.975). Incomplete records defined as failure to complete both pre-test and post-test assessments, or missing questionnaire data; these were excluded from analysis. UGY = undergraduate medical students (fifth-year clinical clerkship, 2-week rotations); PGY = postgraduate year 1–2 residents (4-week rotations).</w:t>
      </w:r>
    </w:p>
    <w:p w14:paraId="63053147" w14:textId="77777777" w:rsidR="001E3E5C" w:rsidRDefault="001E3E5C">
      <w:pPr>
        <w:widowControl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br w:type="page"/>
      </w:r>
    </w:p>
    <w:p w14:paraId="73E18AC5" w14:textId="22D5114B" w:rsidR="001F0B6D" w:rsidRDefault="001F0B6D" w:rsidP="001F0B6D">
      <w:pPr>
        <w:spacing w:after="120"/>
        <w:rPr>
          <w:rFonts w:ascii="Times New Roman" w:hAnsi="Times New Roman" w:cs="Times New Roman"/>
          <w:color w:val="000000"/>
        </w:rPr>
      </w:pPr>
      <w:r w:rsidRPr="001F0B6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Figure S2. </w:t>
      </w:r>
      <w:r w:rsidRPr="001F0B6D">
        <w:rPr>
          <w:rFonts w:ascii="Times New Roman" w:eastAsia="Times New Roman" w:hAnsi="Times New Roman" w:cs="Times New Roman"/>
          <w:color w:val="000000"/>
        </w:rPr>
        <w:t>Incremental Cost-Effectiveness Ratio (ICER) by Training Level.</w:t>
      </w:r>
    </w:p>
    <w:p w14:paraId="139B6D98" w14:textId="42840C86" w:rsidR="001E3E5C" w:rsidRPr="001E3E5C" w:rsidRDefault="001E3E5C" w:rsidP="001F0B6D">
      <w:pPr>
        <w:spacing w:after="120"/>
        <w:rPr>
          <w:rFonts w:hint="eastAsia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3124D552" wp14:editId="3105B1D5">
            <wp:extent cx="5276850" cy="3867150"/>
            <wp:effectExtent l="0" t="0" r="0" b="0"/>
            <wp:docPr id="78525773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59CE8" w14:textId="77777777" w:rsidR="001F0B6D" w:rsidRPr="001F0B6D" w:rsidRDefault="001F0B6D" w:rsidP="001F0B6D">
      <w:pPr>
        <w:spacing w:after="100"/>
      </w:pPr>
      <w:r w:rsidRPr="001F0B6D">
        <w:rPr>
          <w:rFonts w:ascii="Times New Roman" w:eastAsia="Times New Roman" w:hAnsi="Times New Roman" w:cs="Times New Roman"/>
          <w:color w:val="000000"/>
        </w:rPr>
        <w:t xml:space="preserve">Bar chart displaying ICER (USD per unit increase in Cohen's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d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effect size) for virtual patient integration across three comparison groups: overall (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292), undergraduate students (UGY;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164), and postgraduate residents (PGY;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n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128). FC+VP required $163 per student versus $53 for FC (3.08-fold higher investment; incremental cost = $110 per student). ICER = [FC+VP cost per student − FC cost per student] ÷ [Cohen's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d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(FC+VP) − Cohen's 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d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(FC)]. Overall ICER = $703 (Δ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d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+0.16); UGY ICER = $383 (Δ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d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+0.29, universal achievement); PGY ICER = $4,670 (Δ</w:t>
      </w:r>
      <w:r w:rsidRPr="001F0B6D">
        <w:rPr>
          <w:rFonts w:ascii="Times New Roman" w:eastAsia="Times New Roman" w:hAnsi="Times New Roman" w:cs="Times New Roman"/>
          <w:i/>
          <w:iCs/>
          <w:color w:val="000000"/>
        </w:rPr>
        <w:t>d</w:t>
      </w:r>
      <w:r w:rsidRPr="001F0B6D">
        <w:rPr>
          <w:rFonts w:ascii="Times New Roman" w:eastAsia="Times New Roman" w:hAnsi="Times New Roman" w:cs="Times New Roman"/>
          <w:color w:val="000000"/>
        </w:rPr>
        <w:t xml:space="preserve"> = +0.02, no change in achievement rates). The 12.2-fold ICER differential indicates virtual patient integration provides substantially more cost-effective incremental benefit for novice undergraduate learners than for advanced postgraduate residents who achieve comparable educational outcomes through the simpler flipped classroom approach.</w:t>
      </w:r>
    </w:p>
    <w:p w14:paraId="3CB13524" w14:textId="77777777" w:rsidR="001F0B6D" w:rsidRPr="001F0B6D" w:rsidRDefault="001F0B6D"/>
    <w:sectPr w:rsidR="001F0B6D" w:rsidRPr="001F0B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54D1" w14:textId="77777777" w:rsidR="000317A9" w:rsidRDefault="000317A9" w:rsidP="001E3E5C">
      <w:pPr>
        <w:spacing w:after="0" w:line="240" w:lineRule="auto"/>
      </w:pPr>
      <w:r>
        <w:separator/>
      </w:r>
    </w:p>
  </w:endnote>
  <w:endnote w:type="continuationSeparator" w:id="0">
    <w:p w14:paraId="356B0D6B" w14:textId="77777777" w:rsidR="000317A9" w:rsidRDefault="000317A9" w:rsidP="001E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9D41" w14:textId="77777777" w:rsidR="000317A9" w:rsidRDefault="000317A9" w:rsidP="001E3E5C">
      <w:pPr>
        <w:spacing w:after="0" w:line="240" w:lineRule="auto"/>
      </w:pPr>
      <w:r>
        <w:separator/>
      </w:r>
    </w:p>
  </w:footnote>
  <w:footnote w:type="continuationSeparator" w:id="0">
    <w:p w14:paraId="0D05B97D" w14:textId="77777777" w:rsidR="000317A9" w:rsidRDefault="000317A9" w:rsidP="001E3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6D"/>
    <w:rsid w:val="000317A9"/>
    <w:rsid w:val="001E3E5C"/>
    <w:rsid w:val="001F0B6D"/>
    <w:rsid w:val="003074EE"/>
    <w:rsid w:val="003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DDABD"/>
  <w15:chartTrackingRefBased/>
  <w15:docId w15:val="{70502DF2-3456-449C-81D6-377928EE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B6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0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B6D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B6D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F0B6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F0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F0B6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F0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F0B6D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F0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F0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F0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F0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0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F0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F0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F0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0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0B6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0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F0B6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0B6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3E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E3E5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E3E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E3E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Barrypug72</dc:creator>
  <cp:keywords/>
  <dc:description/>
  <cp:lastModifiedBy>Barrypug72</cp:lastModifiedBy>
  <cp:revision>2</cp:revision>
  <dcterms:created xsi:type="dcterms:W3CDTF">2026-03-20T02:37:00Z</dcterms:created>
  <dcterms:modified xsi:type="dcterms:W3CDTF">2026-04-20T04:51:00Z</dcterms:modified>
</cp:coreProperties>
</file>