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64AB" w14:textId="77777777" w:rsidR="005978F4" w:rsidRDefault="00000000">
      <w:pPr>
        <w:widowControl/>
        <w:spacing w:line="480" w:lineRule="auto"/>
        <w:jc w:val="center"/>
        <w:rPr>
          <w:rFonts w:ascii="Times New Roman" w:eastAsia="MS Mincho" w:hAnsi="Times New Roman" w:cs="Times New Roman"/>
          <w:b/>
          <w:kern w:val="0"/>
          <w:sz w:val="32"/>
          <w:szCs w:val="32"/>
          <w:lang w:eastAsia="en-US"/>
        </w:rPr>
      </w:pPr>
      <w:r>
        <w:rPr>
          <w:rFonts w:ascii="Times New Roman" w:eastAsia="MS Mincho" w:hAnsi="Times New Roman" w:cs="Times New Roman"/>
          <w:b/>
          <w:kern w:val="0"/>
          <w:sz w:val="32"/>
          <w:szCs w:val="32"/>
          <w:lang w:eastAsia="en-US"/>
        </w:rPr>
        <w:t>Supporting information for</w:t>
      </w:r>
    </w:p>
    <w:p w14:paraId="76593711" w14:textId="77777777" w:rsidR="005978F4" w:rsidRDefault="00000000">
      <w:pPr>
        <w:widowControl/>
        <w:spacing w:line="480" w:lineRule="auto"/>
        <w:jc w:val="center"/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 xml:space="preserve">Integrated biological and chemical strategies for sustainable management of </w:t>
      </w:r>
      <w:proofErr w:type="spellStart"/>
      <w:r>
        <w:rPr>
          <w:rFonts w:ascii="Times New Roman" w:eastAsia="宋体" w:hAnsi="Times New Roman" w:cs="Times New Roman" w:hint="eastAsia"/>
          <w:b/>
          <w:i/>
          <w:iCs/>
          <w:sz w:val="32"/>
          <w:szCs w:val="32"/>
        </w:rPr>
        <w:t>Nigrospora</w:t>
      </w:r>
      <w:proofErr w:type="spellEnd"/>
      <w:r>
        <w:rPr>
          <w:rFonts w:ascii="Times New Roman" w:eastAsia="宋体" w:hAnsi="Times New Roman" w:cs="Times New Roman" w:hint="eastAsia"/>
          <w:b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eastAsia="宋体" w:hAnsi="Times New Roman" w:cs="Times New Roman" w:hint="eastAsia"/>
          <w:b/>
          <w:i/>
          <w:iCs/>
          <w:sz w:val="32"/>
          <w:szCs w:val="32"/>
        </w:rPr>
        <w:t>coryli</w:t>
      </w:r>
      <w:proofErr w:type="spellEnd"/>
      <w:r>
        <w:rPr>
          <w:rFonts w:ascii="Times New Roman" w:eastAsia="宋体" w:hAnsi="Times New Roman" w:cs="Times New Roman" w:hint="eastAsia"/>
          <w:b/>
          <w:sz w:val="32"/>
          <w:szCs w:val="32"/>
        </w:rPr>
        <w:t>-induced tobacco leaf spot</w:t>
      </w:r>
    </w:p>
    <w:p w14:paraId="244DC75C" w14:textId="77777777" w:rsidR="00F72DC9" w:rsidRPr="00F72DC9" w:rsidRDefault="00F72DC9" w:rsidP="00F72DC9">
      <w:pPr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</w:pPr>
      <w:proofErr w:type="spellStart"/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>Jingpei</w:t>
      </w:r>
      <w:proofErr w:type="spellEnd"/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 xml:space="preserve"> Zou</w:t>
      </w: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vertAlign w:val="superscript"/>
          <w:lang w:eastAsia="en-US"/>
        </w:rPr>
        <w:t>1</w:t>
      </w:r>
      <w:r w:rsidRPr="00F72DC9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:lang w:eastAsia="en-US"/>
        </w:rPr>
        <w:t>,</w:t>
      </w: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vertAlign w:val="superscript"/>
          <w:lang w:eastAsia="en-US"/>
        </w:rPr>
        <w:t xml:space="preserve"> 2</w:t>
      </w:r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>, Liuti Cai</w:t>
      </w: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vertAlign w:val="superscript"/>
          <w:lang w:eastAsia="en-US"/>
        </w:rPr>
        <w:t>1</w:t>
      </w:r>
      <w:r w:rsidRPr="00F72DC9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:lang w:eastAsia="en-US"/>
        </w:rPr>
        <w:t>,</w:t>
      </w: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vertAlign w:val="superscript"/>
          <w:lang w:eastAsia="en-US"/>
        </w:rPr>
        <w:t xml:space="preserve"> 2</w:t>
      </w:r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>, Yiming Geng</w:t>
      </w: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vertAlign w:val="superscript"/>
          <w:lang w:eastAsia="en-US"/>
        </w:rPr>
        <w:t>1</w:t>
      </w:r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>Mengyu</w:t>
      </w:r>
      <w:proofErr w:type="spellEnd"/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 xml:space="preserve"> Yin</w:t>
      </w: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vertAlign w:val="superscript"/>
          <w:lang w:eastAsia="en-US"/>
        </w:rPr>
        <w:t>1</w:t>
      </w:r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>Yuguang</w:t>
      </w:r>
      <w:proofErr w:type="spellEnd"/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 xml:space="preserve"> Mu</w:t>
      </w: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vertAlign w:val="superscript"/>
          <w:lang w:eastAsia="en-US"/>
        </w:rPr>
        <w:t>4</w:t>
      </w:r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>, Jingjing Guo</w:t>
      </w: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vertAlign w:val="superscript"/>
          <w:lang w:eastAsia="en-US"/>
        </w:rPr>
        <w:t>5</w:t>
      </w:r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>Hancheng</w:t>
      </w:r>
      <w:proofErr w:type="spellEnd"/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 xml:space="preserve"> Wang</w:t>
      </w: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vertAlign w:val="superscript"/>
          <w:lang w:eastAsia="en-US"/>
        </w:rPr>
        <w:t xml:space="preserve">2, </w:t>
      </w:r>
      <w:r w:rsidRPr="00F72DC9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:lang w:eastAsia="en-US"/>
        </w:rPr>
        <w:t>*</w:t>
      </w:r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>, Feng Zhang</w:t>
      </w: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vertAlign w:val="superscript"/>
          <w:lang w:eastAsia="en-US"/>
        </w:rPr>
        <w:t>1</w:t>
      </w:r>
      <w:r w:rsidRPr="00F72DC9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:lang w:eastAsia="en-US"/>
        </w:rPr>
        <w:t>,</w:t>
      </w: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vertAlign w:val="superscript"/>
          <w:lang w:eastAsia="en-US"/>
        </w:rPr>
        <w:t xml:space="preserve"> 3, </w:t>
      </w:r>
      <w:r w:rsidRPr="00F72DC9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:lang w:eastAsia="en-US"/>
        </w:rPr>
        <w:t>*</w:t>
      </w:r>
    </w:p>
    <w:p w14:paraId="56E5D695" w14:textId="77777777" w:rsidR="00F72DC9" w:rsidRPr="00F72DC9" w:rsidRDefault="00F72DC9" w:rsidP="00F72DC9">
      <w:pPr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</w:pP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vertAlign w:val="superscript"/>
          <w:lang w:eastAsia="en-US"/>
        </w:rPr>
        <w:t xml:space="preserve">1 </w:t>
      </w:r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>State Key Laboratory of Agricultural and Forestry Biosecurity, College of Plant Protection, Nanjing Agricultural University, Nanjing, 210095, China.</w:t>
      </w:r>
    </w:p>
    <w:p w14:paraId="4A65FAE1" w14:textId="77777777" w:rsidR="00F72DC9" w:rsidRPr="00F72DC9" w:rsidRDefault="00F72DC9" w:rsidP="00F72DC9">
      <w:pPr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</w:pP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vertAlign w:val="superscript"/>
          <w:lang w:eastAsia="en-US"/>
        </w:rPr>
        <w:t xml:space="preserve">2 </w:t>
      </w:r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>Guizhou Provincial Academician Workstation of Microbiology and Health, Guizhou Academy of Tobacco Science, Guiyang 550081, China.</w:t>
      </w:r>
    </w:p>
    <w:p w14:paraId="45566108" w14:textId="77777777" w:rsidR="00F72DC9" w:rsidRPr="00F72DC9" w:rsidRDefault="00F72DC9" w:rsidP="00F72DC9">
      <w:pPr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</w:pP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vertAlign w:val="superscript"/>
          <w:lang w:eastAsia="en-US"/>
        </w:rPr>
        <w:t xml:space="preserve">3 </w:t>
      </w:r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>Sanya Institute, Nanjing Agricultural University, Sanya 572025, China.</w:t>
      </w:r>
    </w:p>
    <w:p w14:paraId="1DD53AD6" w14:textId="77777777" w:rsidR="00F72DC9" w:rsidRPr="00F72DC9" w:rsidRDefault="00F72DC9" w:rsidP="00F72DC9">
      <w:pPr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</w:pP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vertAlign w:val="superscript"/>
          <w:lang w:eastAsia="en-US"/>
        </w:rPr>
        <w:t xml:space="preserve">4 </w:t>
      </w:r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>School of Biological Sciences, Nanyang Technological University, Singapore, Singapore.</w:t>
      </w:r>
    </w:p>
    <w:p w14:paraId="183EEFCC" w14:textId="77777777" w:rsidR="00F72DC9" w:rsidRPr="00F72DC9" w:rsidRDefault="00F72DC9" w:rsidP="00F72DC9">
      <w:pPr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</w:pP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vertAlign w:val="superscript"/>
          <w:lang w:eastAsia="en-US"/>
        </w:rPr>
        <w:t xml:space="preserve">5 </w:t>
      </w:r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>Centre for Artificial Intelligence Driven Drug Discovery, Faculty of Applied Sciences and Engineering Research Centre of Applied Technology on Machine Translation and Artificial Intelligence, Macao Polytechnic University, Macao 999078, China.</w:t>
      </w:r>
    </w:p>
    <w:p w14:paraId="41822699" w14:textId="77777777" w:rsidR="00F72DC9" w:rsidRPr="00F72DC9" w:rsidRDefault="00F72DC9" w:rsidP="00F72DC9">
      <w:pPr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</w:pP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vertAlign w:val="superscript"/>
          <w:lang w:eastAsia="en-US"/>
        </w:rPr>
        <w:t xml:space="preserve">2 </w:t>
      </w:r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>These authors contributed equally to this article.</w:t>
      </w:r>
    </w:p>
    <w:p w14:paraId="390F8BFB" w14:textId="77777777" w:rsidR="00F72DC9" w:rsidRPr="00F72DC9" w:rsidRDefault="00F72DC9" w:rsidP="00F72DC9">
      <w:pPr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</w:pPr>
      <w:r w:rsidRPr="00F72DC9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:lang w:eastAsia="en-US"/>
        </w:rPr>
        <w:t>*</w:t>
      </w:r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 xml:space="preserve"> Corresponding author</w:t>
      </w: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lang w:eastAsia="en-US"/>
        </w:rPr>
        <w:t>s.</w:t>
      </w:r>
    </w:p>
    <w:p w14:paraId="2479F234" w14:textId="77777777" w:rsidR="00F72DC9" w:rsidRPr="00F72DC9" w:rsidRDefault="00F72DC9" w:rsidP="00F72DC9">
      <w:pPr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</w:pPr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>Email</w:t>
      </w: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lang w:eastAsia="en-US"/>
        </w:rPr>
        <w:t xml:space="preserve"> addresses</w:t>
      </w:r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 xml:space="preserve">: </w:t>
      </w:r>
      <w:hyperlink r:id="rId6" w:history="1">
        <w:r w:rsidRPr="00F72DC9">
          <w:rPr>
            <w:rStyle w:val="ac"/>
            <w:rFonts w:ascii="Times New Roman" w:eastAsia="MS Mincho" w:hAnsi="Times New Roman" w:cs="Times New Roman"/>
            <w:kern w:val="0"/>
            <w:sz w:val="24"/>
            <w:szCs w:val="24"/>
            <w:lang w:eastAsia="en-US"/>
          </w:rPr>
          <w:t>fengz@njau.edu.cn</w:t>
        </w:r>
      </w:hyperlink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 xml:space="preserve"> </w:t>
      </w: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lang w:eastAsia="en-US"/>
        </w:rPr>
        <w:t xml:space="preserve">(Feng Zhang), </w:t>
      </w:r>
      <w:hyperlink r:id="rId7" w:history="1">
        <w:r w:rsidRPr="00F72DC9">
          <w:rPr>
            <w:rStyle w:val="ac"/>
            <w:rFonts w:ascii="Times New Roman" w:eastAsia="MS Mincho" w:hAnsi="Times New Roman" w:cs="Times New Roman"/>
            <w:kern w:val="0"/>
            <w:sz w:val="24"/>
            <w:szCs w:val="24"/>
            <w:lang w:eastAsia="en-US"/>
          </w:rPr>
          <w:t>xiaobaiyang126@hotmail.com</w:t>
        </w:r>
      </w:hyperlink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lang w:eastAsia="en-US"/>
        </w:rPr>
        <w:t xml:space="preserve"> (</w:t>
      </w:r>
      <w:proofErr w:type="spellStart"/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>Hancheng</w:t>
      </w:r>
      <w:proofErr w:type="spellEnd"/>
      <w:r w:rsidRPr="00F72DC9">
        <w:rPr>
          <w:rFonts w:ascii="Times New Roman" w:eastAsia="MS Mincho" w:hAnsi="Times New Roman" w:cs="Times New Roman"/>
          <w:kern w:val="0"/>
          <w:sz w:val="24"/>
          <w:szCs w:val="24"/>
          <w:lang w:eastAsia="en-US"/>
        </w:rPr>
        <w:t xml:space="preserve"> Wang</w:t>
      </w:r>
      <w:r w:rsidRPr="00F72DC9">
        <w:rPr>
          <w:rFonts w:ascii="Times New Roman" w:eastAsia="MS Mincho" w:hAnsi="Times New Roman" w:cs="Times New Roman" w:hint="eastAsia"/>
          <w:kern w:val="0"/>
          <w:sz w:val="24"/>
          <w:szCs w:val="24"/>
          <w:lang w:eastAsia="en-US"/>
        </w:rPr>
        <w:t>).</w:t>
      </w:r>
    </w:p>
    <w:p w14:paraId="52E2A57C" w14:textId="5A2A500C" w:rsidR="005978F4" w:rsidRDefault="004F6984" w:rsidP="004F6984">
      <w:pPr>
        <w:rPr>
          <w:rFonts w:ascii="Times New Roman" w:hAnsi="Times New Roman" w:cs="Times New Roman"/>
          <w:iCs/>
          <w:sz w:val="16"/>
          <w:szCs w:val="18"/>
        </w:rPr>
      </w:pPr>
      <w:r>
        <w:rPr>
          <w:rFonts w:ascii="Times New Roman" w:hAnsi="Times New Roman" w:cs="Times New Roman"/>
          <w:iCs/>
          <w:color w:val="000000" w:themeColor="text1"/>
          <w:sz w:val="16"/>
          <w:szCs w:val="18"/>
        </w:rPr>
        <w:t xml:space="preserve"> </w:t>
      </w:r>
    </w:p>
    <w:p w14:paraId="38A2B2A9" w14:textId="77777777" w:rsidR="005978F4" w:rsidRDefault="00000000">
      <w:pPr>
        <w:widowControl/>
        <w:jc w:val="left"/>
        <w:rPr>
          <w:rFonts w:ascii="Times New Roman" w:hAnsi="Times New Roman" w:cs="Times New Roman"/>
          <w:iCs/>
          <w:sz w:val="16"/>
          <w:szCs w:val="18"/>
        </w:rPr>
      </w:pPr>
      <w:r>
        <w:rPr>
          <w:rFonts w:ascii="Times New Roman" w:hAnsi="Times New Roman" w:cs="Times New Roman"/>
          <w:iCs/>
          <w:sz w:val="16"/>
          <w:szCs w:val="18"/>
        </w:rPr>
        <w:br w:type="page"/>
      </w:r>
    </w:p>
    <w:p w14:paraId="73C16229" w14:textId="77777777" w:rsidR="005978F4" w:rsidRDefault="00000000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lastRenderedPageBreak/>
        <w:t>Table S1</w:t>
      </w:r>
    </w:p>
    <w:p w14:paraId="7EC1FF81" w14:textId="77777777" w:rsidR="005978F4" w:rsidRDefault="00000000">
      <w:pPr>
        <w:rPr>
          <w:rFonts w:ascii="Times New Roman" w:eastAsia="宋体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Informations</w:t>
      </w:r>
      <w:proofErr w:type="spellEnd"/>
      <w:r>
        <w:rPr>
          <w:rFonts w:ascii="Times New Roman" w:hAnsi="Times New Roman" w:cs="Times New Roman"/>
          <w:szCs w:val="21"/>
        </w:rPr>
        <w:t xml:space="preserve"> of </w:t>
      </w:r>
      <w:r>
        <w:rPr>
          <w:rFonts w:ascii="Times New Roman" w:hAnsi="Times New Roman" w:cs="Times New Roman"/>
          <w:i/>
          <w:szCs w:val="21"/>
        </w:rPr>
        <w:t xml:space="preserve">N. </w:t>
      </w:r>
      <w:proofErr w:type="spellStart"/>
      <w:r>
        <w:rPr>
          <w:rFonts w:ascii="Times New Roman" w:hAnsi="Times New Roman" w:cs="Times New Roman"/>
          <w:i/>
          <w:szCs w:val="21"/>
        </w:rPr>
        <w:t>coryli</w:t>
      </w:r>
      <w:proofErr w:type="spellEnd"/>
      <w:r>
        <w:rPr>
          <w:rFonts w:ascii="Times New Roman" w:hAnsi="Times New Roman" w:cs="Times New Roman"/>
          <w:szCs w:val="21"/>
        </w:rPr>
        <w:t xml:space="preserve"> YB13 and other </w:t>
      </w:r>
      <w:proofErr w:type="spellStart"/>
      <w:r>
        <w:rPr>
          <w:rFonts w:ascii="Times New Roman" w:hAnsi="Times New Roman" w:cs="Times New Roman"/>
          <w:szCs w:val="21"/>
        </w:rPr>
        <w:t>tabacoo</w:t>
      </w:r>
      <w:proofErr w:type="spellEnd"/>
      <w:r>
        <w:rPr>
          <w:rFonts w:ascii="Times New Roman" w:hAnsi="Times New Roman" w:cs="Times New Roman"/>
          <w:szCs w:val="21"/>
        </w:rPr>
        <w:t xml:space="preserve"> </w:t>
      </w:r>
      <w:proofErr w:type="spellStart"/>
      <w:r>
        <w:rPr>
          <w:rFonts w:ascii="Times New Roman" w:eastAsia="宋体" w:hAnsi="Times New Roman" w:cs="Times New Roman"/>
          <w:color w:val="000000" w:themeColor="text1"/>
          <w:szCs w:val="21"/>
        </w:rPr>
        <w:t>phyllosphere</w:t>
      </w:r>
      <w:proofErr w:type="spellEnd"/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strains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.</w:t>
      </w:r>
    </w:p>
    <w:tbl>
      <w:tblPr>
        <w:tblW w:w="4998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3291"/>
        <w:gridCol w:w="3208"/>
      </w:tblGrid>
      <w:tr w:rsidR="005978F4" w14:paraId="581276B0" w14:textId="77777777">
        <w:trPr>
          <w:trHeight w:val="46"/>
          <w:jc w:val="center"/>
        </w:trPr>
        <w:tc>
          <w:tcPr>
            <w:tcW w:w="1086" w:type="pct"/>
            <w:tcBorders>
              <w:top w:val="single" w:sz="4" w:space="0" w:color="auto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45C303BF" w14:textId="77777777" w:rsidR="005978F4" w:rsidRDefault="00000000">
            <w:pPr>
              <w:pStyle w:val="af2"/>
              <w:spacing w:line="48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Strain</w:t>
            </w:r>
          </w:p>
        </w:tc>
        <w:tc>
          <w:tcPr>
            <w:tcW w:w="198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7399D1" w14:textId="77777777" w:rsidR="005978F4" w:rsidRDefault="00000000">
            <w:pPr>
              <w:pStyle w:val="af2"/>
              <w:spacing w:line="48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Taxonomic status</w:t>
            </w:r>
          </w:p>
        </w:tc>
        <w:tc>
          <w:tcPr>
            <w:tcW w:w="193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EE0C231" w14:textId="77777777" w:rsidR="005978F4" w:rsidRDefault="00000000">
            <w:pPr>
              <w:pStyle w:val="af2"/>
              <w:spacing w:line="48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GenBank accession</w:t>
            </w:r>
          </w:p>
        </w:tc>
      </w:tr>
      <w:tr w:rsidR="005978F4" w14:paraId="16064F07" w14:textId="77777777">
        <w:trPr>
          <w:trHeight w:hRule="exact" w:val="454"/>
          <w:jc w:val="center"/>
        </w:trPr>
        <w:tc>
          <w:tcPr>
            <w:tcW w:w="1086" w:type="pct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7601348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YB13</w:t>
            </w:r>
          </w:p>
        </w:tc>
        <w:tc>
          <w:tcPr>
            <w:tcW w:w="198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086BA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Cs w:val="21"/>
                <w:lang w:eastAsia="en-US"/>
              </w:rPr>
              <w:t>Nigrospora</w:t>
            </w:r>
            <w:proofErr w:type="spellEnd"/>
            <w:r>
              <w:rPr>
                <w:rFonts w:ascii="Times New Roman" w:hAnsi="Times New Roman" w:cs="Times New Roman"/>
                <w:i/>
                <w:szCs w:val="21"/>
                <w:lang w:eastAsia="en-US"/>
              </w:rPr>
              <w:t xml:space="preserve"> globosa</w:t>
            </w:r>
          </w:p>
        </w:tc>
        <w:tc>
          <w:tcPr>
            <w:tcW w:w="193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CD51AF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eastAsia="en-US" w:bidi="ar"/>
              </w:rPr>
              <w:t>MK329122.1</w:t>
            </w:r>
          </w:p>
        </w:tc>
      </w:tr>
      <w:tr w:rsidR="005978F4" w14:paraId="28712C52" w14:textId="77777777">
        <w:trPr>
          <w:trHeight w:hRule="exact" w:val="454"/>
          <w:jc w:val="center"/>
        </w:trPr>
        <w:tc>
          <w:tcPr>
            <w:tcW w:w="1086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B126DDA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TBX4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D0169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 xml:space="preserve">Bacillus </w:t>
            </w:r>
            <w:proofErr w:type="spellStart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>halotolerans</w:t>
            </w:r>
            <w:proofErr w:type="spellEnd"/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C0258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PX369440</w:t>
            </w:r>
          </w:p>
        </w:tc>
      </w:tr>
      <w:tr w:rsidR="005978F4" w14:paraId="32245951" w14:textId="77777777">
        <w:trPr>
          <w:trHeight w:hRule="exact" w:val="454"/>
          <w:jc w:val="center"/>
        </w:trPr>
        <w:tc>
          <w:tcPr>
            <w:tcW w:w="1086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18BE1418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SLB2-1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86461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 xml:space="preserve">Pseudomonas </w:t>
            </w:r>
            <w:proofErr w:type="spellStart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>oryzihabitan</w:t>
            </w:r>
            <w:proofErr w:type="spellEnd"/>
          </w:p>
          <w:p w14:paraId="0200A525" w14:textId="77777777" w:rsidR="005978F4" w:rsidRDefault="005978F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88C20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OR756234</w:t>
            </w:r>
          </w:p>
        </w:tc>
      </w:tr>
      <w:tr w:rsidR="005978F4" w14:paraId="07CE3499" w14:textId="77777777">
        <w:trPr>
          <w:trHeight w:hRule="exact" w:val="454"/>
          <w:jc w:val="center"/>
        </w:trPr>
        <w:tc>
          <w:tcPr>
            <w:tcW w:w="1086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3783398A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SLB5-3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3370E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 xml:space="preserve">Pseudomonas </w:t>
            </w:r>
            <w:proofErr w:type="spellStart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>syringae</w:t>
            </w:r>
            <w:proofErr w:type="spellEnd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>pv</w:t>
            </w:r>
            <w:proofErr w:type="spellEnd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>. angulata</w:t>
            </w:r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3D858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AF461554</w:t>
            </w:r>
          </w:p>
        </w:tc>
      </w:tr>
      <w:tr w:rsidR="005978F4" w14:paraId="404FF595" w14:textId="77777777">
        <w:trPr>
          <w:trHeight w:hRule="exact" w:val="454"/>
          <w:jc w:val="center"/>
        </w:trPr>
        <w:tc>
          <w:tcPr>
            <w:tcW w:w="1086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2AEF5903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CXB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368A67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 xml:space="preserve">Alternaria </w:t>
            </w:r>
            <w:proofErr w:type="spellStart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>alternata</w:t>
            </w:r>
            <w:proofErr w:type="spellEnd"/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6861BE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OR258346</w:t>
            </w:r>
          </w:p>
        </w:tc>
      </w:tr>
      <w:tr w:rsidR="005978F4" w14:paraId="7FD66E74" w14:textId="77777777">
        <w:trPr>
          <w:trHeight w:hRule="exact" w:val="454"/>
          <w:jc w:val="center"/>
        </w:trPr>
        <w:tc>
          <w:tcPr>
            <w:tcW w:w="1086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568D1A23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CMB1-2-1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3095B7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>Epicoccum</w:t>
            </w:r>
            <w:proofErr w:type="spellEnd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>latusicollum</w:t>
            </w:r>
            <w:proofErr w:type="spellEnd"/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C87FD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OR428532</w:t>
            </w:r>
          </w:p>
        </w:tc>
      </w:tr>
      <w:tr w:rsidR="005978F4" w14:paraId="494A87F6" w14:textId="77777777">
        <w:trPr>
          <w:trHeight w:hRule="exact" w:val="454"/>
          <w:jc w:val="center"/>
        </w:trPr>
        <w:tc>
          <w:tcPr>
            <w:tcW w:w="1086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058527F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WZ-45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8A526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Cs w:val="21"/>
              </w:rPr>
              <w:t>Corynespora</w:t>
            </w:r>
            <w:proofErr w:type="spellEnd"/>
            <w:r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1"/>
              </w:rPr>
              <w:t>cassiicola</w:t>
            </w:r>
            <w:proofErr w:type="spellEnd"/>
          </w:p>
          <w:p w14:paraId="7986F514" w14:textId="77777777" w:rsidR="005978F4" w:rsidRDefault="005978F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A17E5E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OR764799</w:t>
            </w:r>
          </w:p>
        </w:tc>
      </w:tr>
      <w:tr w:rsidR="005978F4" w14:paraId="7EE2505B" w14:textId="77777777">
        <w:trPr>
          <w:trHeight w:hRule="exact" w:val="454"/>
          <w:jc w:val="center"/>
        </w:trPr>
        <w:tc>
          <w:tcPr>
            <w:tcW w:w="1086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4B4ED324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ZY14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6DFB3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 xml:space="preserve">Fusarium </w:t>
            </w:r>
            <w:proofErr w:type="spellStart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>oxysporum</w:t>
            </w:r>
            <w:proofErr w:type="spellEnd"/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0A4C6" w14:textId="77777777" w:rsidR="005978F4" w:rsidRDefault="005978F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hyperlink r:id="rId8" w:tgtFrame="lnkD2NZWP8U015" w:tooltip="Show report for LR025144.1" w:history="1">
              <w:r>
                <w:rPr>
                  <w:rFonts w:ascii="Times New Roman" w:hAnsi="Times New Roman" w:cs="Times New Roman"/>
                  <w:szCs w:val="21"/>
                  <w:lang w:bidi="ar"/>
                </w:rPr>
                <w:t>LR025144</w:t>
              </w:r>
            </w:hyperlink>
          </w:p>
        </w:tc>
      </w:tr>
      <w:tr w:rsidR="005978F4" w14:paraId="2BF42400" w14:textId="77777777">
        <w:trPr>
          <w:trHeight w:hRule="exact" w:val="454"/>
          <w:jc w:val="center"/>
        </w:trPr>
        <w:tc>
          <w:tcPr>
            <w:tcW w:w="1086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4B31BCED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MGM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29B254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 xml:space="preserve">Aspergillus </w:t>
            </w:r>
            <w:proofErr w:type="spellStart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>niger</w:t>
            </w:r>
            <w:proofErr w:type="spellEnd"/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B1F60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PX370055</w:t>
            </w:r>
          </w:p>
        </w:tc>
      </w:tr>
      <w:tr w:rsidR="005978F4" w14:paraId="0AB88D98" w14:textId="77777777">
        <w:trPr>
          <w:trHeight w:hRule="exact" w:val="454"/>
          <w:jc w:val="center"/>
        </w:trPr>
        <w:tc>
          <w:tcPr>
            <w:tcW w:w="1086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5015D4F6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HB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97CDB6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 xml:space="preserve">Fusarium </w:t>
            </w:r>
            <w:proofErr w:type="spellStart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>nelsonii</w:t>
            </w:r>
            <w:proofErr w:type="spellEnd"/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BBB1FC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PX370059</w:t>
            </w:r>
          </w:p>
        </w:tc>
      </w:tr>
      <w:tr w:rsidR="005978F4" w14:paraId="408FB0FA" w14:textId="77777777">
        <w:trPr>
          <w:trHeight w:hRule="exact" w:val="454"/>
          <w:jc w:val="center"/>
        </w:trPr>
        <w:tc>
          <w:tcPr>
            <w:tcW w:w="1086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51CADFF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ZYX7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C0F2B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>Nigrospora</w:t>
            </w:r>
            <w:proofErr w:type="spellEnd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 xml:space="preserve"> oryzae</w:t>
            </w:r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E9DF1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PX370054</w:t>
            </w:r>
          </w:p>
        </w:tc>
      </w:tr>
      <w:tr w:rsidR="005978F4" w14:paraId="31D5E8CC" w14:textId="77777777">
        <w:trPr>
          <w:trHeight w:hRule="exact" w:val="454"/>
          <w:jc w:val="center"/>
        </w:trPr>
        <w:tc>
          <w:tcPr>
            <w:tcW w:w="1086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48ABDACF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ZYX2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3A74B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 xml:space="preserve">Pestalotiopsis </w:t>
            </w:r>
            <w:proofErr w:type="spellStart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>microspora</w:t>
            </w:r>
            <w:proofErr w:type="spellEnd"/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91F66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PX370058</w:t>
            </w:r>
          </w:p>
        </w:tc>
      </w:tr>
      <w:tr w:rsidR="005978F4" w14:paraId="6E449043" w14:textId="77777777">
        <w:trPr>
          <w:trHeight w:hRule="exact" w:val="454"/>
          <w:jc w:val="center"/>
        </w:trPr>
        <w:tc>
          <w:tcPr>
            <w:tcW w:w="1086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3680EA40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ZYO2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1006B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 xml:space="preserve">Stemphylium </w:t>
            </w:r>
            <w:proofErr w:type="spellStart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>lycopersici</w:t>
            </w:r>
            <w:proofErr w:type="spellEnd"/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885D3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KR911806</w:t>
            </w:r>
          </w:p>
        </w:tc>
      </w:tr>
      <w:tr w:rsidR="005978F4" w14:paraId="7D9D350F" w14:textId="77777777">
        <w:trPr>
          <w:trHeight w:hRule="exact" w:val="454"/>
          <w:jc w:val="center"/>
        </w:trPr>
        <w:tc>
          <w:tcPr>
            <w:tcW w:w="1086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5266E3D7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ZYX8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2D914B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 xml:space="preserve">Penicillium </w:t>
            </w:r>
            <w:proofErr w:type="spellStart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>citrinum</w:t>
            </w:r>
            <w:proofErr w:type="spellEnd"/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164E8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PX370053</w:t>
            </w:r>
          </w:p>
        </w:tc>
      </w:tr>
      <w:tr w:rsidR="005978F4" w14:paraId="3515BEFB" w14:textId="77777777">
        <w:trPr>
          <w:trHeight w:hRule="exact" w:val="454"/>
          <w:jc w:val="center"/>
        </w:trPr>
        <w:tc>
          <w:tcPr>
            <w:tcW w:w="1086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54187048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ZY18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E724A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Cs w:val="21"/>
                <w:lang w:bidi="a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>Pseudothielavia</w:t>
            </w:r>
            <w:proofErr w:type="spellEnd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>terricola</w:t>
            </w:r>
            <w:proofErr w:type="spellEnd"/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0FF97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PX376602</w:t>
            </w:r>
          </w:p>
        </w:tc>
      </w:tr>
      <w:tr w:rsidR="005978F4" w14:paraId="3EF0FDFC" w14:textId="77777777">
        <w:trPr>
          <w:trHeight w:hRule="exact" w:val="454"/>
          <w:jc w:val="center"/>
        </w:trPr>
        <w:tc>
          <w:tcPr>
            <w:tcW w:w="1086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A01F64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ZYO1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149A24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 xml:space="preserve">Aspergillus </w:t>
            </w:r>
            <w:proofErr w:type="spellStart"/>
            <w:r>
              <w:rPr>
                <w:rFonts w:ascii="Times New Roman" w:hAnsi="Times New Roman" w:cs="Times New Roman"/>
                <w:i/>
                <w:szCs w:val="21"/>
                <w:lang w:bidi="ar"/>
              </w:rPr>
              <w:t>niger</w:t>
            </w:r>
            <w:proofErr w:type="spellEnd"/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DEEAE4" w14:textId="77777777" w:rsidR="005978F4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PX370056</w:t>
            </w:r>
          </w:p>
        </w:tc>
      </w:tr>
    </w:tbl>
    <w:p w14:paraId="426D4579" w14:textId="77777777" w:rsidR="005978F4" w:rsidRDefault="005978F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AC133BE" w14:textId="77777777" w:rsidR="005978F4" w:rsidRDefault="00000000">
      <w:pPr>
        <w:widowControl/>
        <w:jc w:val="left"/>
        <w:rPr>
          <w:rFonts w:ascii="Times New Roman" w:hAnsi="Times New Roman" w:cs="Times New Roman"/>
          <w:color w:val="000000" w:themeColor="text1"/>
          <w:kern w:val="24"/>
          <w:szCs w:val="21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Cs w:val="21"/>
        </w:rPr>
        <w:t>Table S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24"/>
          <w:szCs w:val="21"/>
        </w:rPr>
        <w:t>2</w:t>
      </w:r>
      <w:r>
        <w:rPr>
          <w:rFonts w:ascii="Times New Roman" w:hAnsi="Times New Roman" w:cs="Times New Roman"/>
          <w:color w:val="000000" w:themeColor="text1"/>
          <w:kern w:val="24"/>
          <w:szCs w:val="21"/>
        </w:rPr>
        <w:t xml:space="preserve"> </w:t>
      </w:r>
    </w:p>
    <w:p w14:paraId="1CE78147" w14:textId="77777777" w:rsidR="005978F4" w:rsidRDefault="00000000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Sequencing data statistics for </w:t>
      </w:r>
      <w:proofErr w:type="spellStart"/>
      <w:r>
        <w:rPr>
          <w:rFonts w:ascii="Times New Roman" w:hAnsi="Times New Roman" w:cs="Times New Roman"/>
          <w:szCs w:val="21"/>
        </w:rPr>
        <w:t>phyllosphere</w:t>
      </w:r>
      <w:proofErr w:type="spellEnd"/>
      <w:r>
        <w:rPr>
          <w:rFonts w:ascii="Times New Roman" w:hAnsi="Times New Roman" w:cs="Times New Roman"/>
          <w:szCs w:val="21"/>
        </w:rPr>
        <w:t xml:space="preserve"> microbial communities from asymptomatic (YB13J) and symptomatic (YB13B) tobacco leaves.</w:t>
      </w:r>
    </w:p>
    <w:tbl>
      <w:tblPr>
        <w:tblpPr w:leftFromText="180" w:rightFromText="180" w:vertAnchor="text" w:horzAnchor="margin" w:tblpXSpec="center" w:tblpY="9"/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804"/>
        <w:gridCol w:w="682"/>
        <w:gridCol w:w="689"/>
        <w:gridCol w:w="868"/>
        <w:gridCol w:w="803"/>
        <w:gridCol w:w="770"/>
        <w:gridCol w:w="802"/>
        <w:gridCol w:w="884"/>
        <w:gridCol w:w="668"/>
        <w:gridCol w:w="668"/>
        <w:gridCol w:w="668"/>
      </w:tblGrid>
      <w:tr w:rsidR="005978F4" w14:paraId="2F2153EB" w14:textId="77777777">
        <w:trPr>
          <w:trHeight w:val="276"/>
        </w:trPr>
        <w:tc>
          <w:tcPr>
            <w:tcW w:w="464" w:type="pct"/>
            <w:tcBorders>
              <w:top w:val="single" w:sz="4" w:space="0" w:color="auto"/>
              <w:bottom w:val="single" w:sz="8" w:space="0" w:color="auto"/>
            </w:tcBorders>
          </w:tcPr>
          <w:p w14:paraId="0014A1FE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Kingdom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7620CC88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Sample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491B2C88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RawPE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7E74109F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Combined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05618585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Qualified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2B279EAA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Nochime</w:t>
            </w:r>
            <w:proofErr w:type="spellEnd"/>
          </w:p>
        </w:tc>
        <w:tc>
          <w:tcPr>
            <w:tcW w:w="512" w:type="pct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1E8C6842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Base(</w:t>
            </w: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nt</w:t>
            </w:r>
            <w:proofErr w:type="spellEnd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0A5188A8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Avglen</w:t>
            </w:r>
            <w:proofErr w:type="spellEnd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(</w:t>
            </w:r>
            <w:proofErr w:type="spellStart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nt</w:t>
            </w:r>
            <w:proofErr w:type="spellEnd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33694969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GC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0799D1B4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Q20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4B7D79B9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Q30</w:t>
            </w:r>
          </w:p>
        </w:tc>
      </w:tr>
      <w:tr w:rsidR="005978F4" w14:paraId="70535B40" w14:textId="77777777">
        <w:trPr>
          <w:trHeight w:val="276"/>
        </w:trPr>
        <w:tc>
          <w:tcPr>
            <w:tcW w:w="464" w:type="pct"/>
            <w:vMerge w:val="restart"/>
            <w:tcBorders>
              <w:top w:val="single" w:sz="8" w:space="0" w:color="auto"/>
            </w:tcBorders>
          </w:tcPr>
          <w:p w14:paraId="3FA03DC6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Bacteria</w:t>
            </w:r>
          </w:p>
        </w:tc>
        <w:tc>
          <w:tcPr>
            <w:tcW w:w="411" w:type="pct"/>
            <w:tcBorders>
              <w:top w:val="single" w:sz="8" w:space="0" w:color="auto"/>
            </w:tcBorders>
            <w:noWrap/>
            <w:vAlign w:val="center"/>
          </w:tcPr>
          <w:p w14:paraId="34FA054F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YB13J</w:t>
            </w:r>
          </w:p>
        </w:tc>
        <w:tc>
          <w:tcPr>
            <w:tcW w:w="406" w:type="pct"/>
            <w:tcBorders>
              <w:top w:val="single" w:sz="8" w:space="0" w:color="auto"/>
            </w:tcBorders>
            <w:noWrap/>
            <w:vAlign w:val="center"/>
          </w:tcPr>
          <w:p w14:paraId="008FFDDE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104757</w:t>
            </w:r>
          </w:p>
        </w:tc>
        <w:tc>
          <w:tcPr>
            <w:tcW w:w="523" w:type="pct"/>
            <w:tcBorders>
              <w:top w:val="single" w:sz="8" w:space="0" w:color="auto"/>
            </w:tcBorders>
            <w:noWrap/>
            <w:vAlign w:val="center"/>
          </w:tcPr>
          <w:p w14:paraId="4632828E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99216</w:t>
            </w:r>
          </w:p>
        </w:tc>
        <w:tc>
          <w:tcPr>
            <w:tcW w:w="464" w:type="pct"/>
            <w:tcBorders>
              <w:top w:val="single" w:sz="8" w:space="0" w:color="auto"/>
            </w:tcBorders>
            <w:noWrap/>
            <w:vAlign w:val="center"/>
          </w:tcPr>
          <w:p w14:paraId="006D6AC4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95909</w:t>
            </w:r>
          </w:p>
        </w:tc>
        <w:tc>
          <w:tcPr>
            <w:tcW w:w="464" w:type="pct"/>
            <w:tcBorders>
              <w:top w:val="single" w:sz="8" w:space="0" w:color="auto"/>
            </w:tcBorders>
            <w:noWrap/>
            <w:vAlign w:val="center"/>
          </w:tcPr>
          <w:p w14:paraId="04D16AAA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94739</w:t>
            </w:r>
          </w:p>
        </w:tc>
        <w:tc>
          <w:tcPr>
            <w:tcW w:w="512" w:type="pct"/>
            <w:tcBorders>
              <w:top w:val="single" w:sz="8" w:space="0" w:color="auto"/>
            </w:tcBorders>
            <w:noWrap/>
            <w:vAlign w:val="center"/>
          </w:tcPr>
          <w:p w14:paraId="095005A0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38501533</w:t>
            </w:r>
          </w:p>
        </w:tc>
        <w:tc>
          <w:tcPr>
            <w:tcW w:w="523" w:type="pct"/>
            <w:tcBorders>
              <w:top w:val="single" w:sz="8" w:space="0" w:color="auto"/>
            </w:tcBorders>
            <w:noWrap/>
            <w:vAlign w:val="center"/>
          </w:tcPr>
          <w:p w14:paraId="1D890403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406.4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11" w:type="pct"/>
            <w:tcBorders>
              <w:top w:val="single" w:sz="8" w:space="0" w:color="auto"/>
            </w:tcBorders>
            <w:noWrap/>
            <w:vAlign w:val="center"/>
          </w:tcPr>
          <w:p w14:paraId="67E94D97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55.55%</w:t>
            </w:r>
          </w:p>
        </w:tc>
        <w:tc>
          <w:tcPr>
            <w:tcW w:w="411" w:type="pct"/>
            <w:tcBorders>
              <w:top w:val="single" w:sz="8" w:space="0" w:color="auto"/>
            </w:tcBorders>
            <w:noWrap/>
            <w:vAlign w:val="center"/>
          </w:tcPr>
          <w:p w14:paraId="4CD790D3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98.37%</w:t>
            </w:r>
          </w:p>
        </w:tc>
        <w:tc>
          <w:tcPr>
            <w:tcW w:w="411" w:type="pct"/>
            <w:tcBorders>
              <w:top w:val="single" w:sz="8" w:space="0" w:color="auto"/>
            </w:tcBorders>
            <w:noWrap/>
            <w:vAlign w:val="center"/>
          </w:tcPr>
          <w:p w14:paraId="7A9C7DF4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94.60%</w:t>
            </w:r>
          </w:p>
        </w:tc>
      </w:tr>
      <w:tr w:rsidR="005978F4" w14:paraId="18686E83" w14:textId="77777777">
        <w:trPr>
          <w:trHeight w:val="276"/>
        </w:trPr>
        <w:tc>
          <w:tcPr>
            <w:tcW w:w="464" w:type="pct"/>
            <w:vMerge/>
          </w:tcPr>
          <w:p w14:paraId="72D3B0E0" w14:textId="77777777" w:rsidR="005978F4" w:rsidRDefault="005978F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noWrap/>
            <w:vAlign w:val="center"/>
          </w:tcPr>
          <w:p w14:paraId="0A6A6BAE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YB13B</w:t>
            </w:r>
          </w:p>
        </w:tc>
        <w:tc>
          <w:tcPr>
            <w:tcW w:w="406" w:type="pct"/>
            <w:noWrap/>
            <w:vAlign w:val="center"/>
          </w:tcPr>
          <w:p w14:paraId="428FD17E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99795</w:t>
            </w:r>
          </w:p>
        </w:tc>
        <w:tc>
          <w:tcPr>
            <w:tcW w:w="523" w:type="pct"/>
            <w:noWrap/>
            <w:vAlign w:val="center"/>
          </w:tcPr>
          <w:p w14:paraId="6E871536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96399</w:t>
            </w:r>
          </w:p>
        </w:tc>
        <w:tc>
          <w:tcPr>
            <w:tcW w:w="464" w:type="pct"/>
            <w:noWrap/>
            <w:vAlign w:val="center"/>
          </w:tcPr>
          <w:p w14:paraId="3441C56A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93226</w:t>
            </w:r>
          </w:p>
        </w:tc>
        <w:tc>
          <w:tcPr>
            <w:tcW w:w="464" w:type="pct"/>
            <w:noWrap/>
            <w:vAlign w:val="center"/>
          </w:tcPr>
          <w:p w14:paraId="41D3A033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91550</w:t>
            </w:r>
          </w:p>
        </w:tc>
        <w:tc>
          <w:tcPr>
            <w:tcW w:w="512" w:type="pct"/>
            <w:noWrap/>
            <w:vAlign w:val="center"/>
          </w:tcPr>
          <w:p w14:paraId="42330E27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37919246</w:t>
            </w:r>
          </w:p>
        </w:tc>
        <w:tc>
          <w:tcPr>
            <w:tcW w:w="523" w:type="pct"/>
            <w:noWrap/>
            <w:vAlign w:val="center"/>
          </w:tcPr>
          <w:p w14:paraId="529B9559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414.19</w:t>
            </w:r>
          </w:p>
        </w:tc>
        <w:tc>
          <w:tcPr>
            <w:tcW w:w="411" w:type="pct"/>
            <w:noWrap/>
            <w:vAlign w:val="center"/>
          </w:tcPr>
          <w:p w14:paraId="6EDFC7E5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54.59%</w:t>
            </w:r>
          </w:p>
        </w:tc>
        <w:tc>
          <w:tcPr>
            <w:tcW w:w="411" w:type="pct"/>
            <w:noWrap/>
            <w:vAlign w:val="center"/>
          </w:tcPr>
          <w:p w14:paraId="4FC6B3A9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98.18%</w:t>
            </w:r>
          </w:p>
        </w:tc>
        <w:tc>
          <w:tcPr>
            <w:tcW w:w="411" w:type="pct"/>
            <w:noWrap/>
            <w:vAlign w:val="center"/>
          </w:tcPr>
          <w:p w14:paraId="460177ED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94.20%</w:t>
            </w:r>
          </w:p>
        </w:tc>
      </w:tr>
      <w:tr w:rsidR="005978F4" w14:paraId="7DB17CE2" w14:textId="77777777">
        <w:trPr>
          <w:trHeight w:val="276"/>
        </w:trPr>
        <w:tc>
          <w:tcPr>
            <w:tcW w:w="464" w:type="pct"/>
            <w:vMerge w:val="restart"/>
          </w:tcPr>
          <w:p w14:paraId="2ABB35B1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Fungi</w:t>
            </w:r>
          </w:p>
        </w:tc>
        <w:tc>
          <w:tcPr>
            <w:tcW w:w="411" w:type="pct"/>
            <w:noWrap/>
            <w:vAlign w:val="center"/>
          </w:tcPr>
          <w:p w14:paraId="4C0E803A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YB13J</w:t>
            </w:r>
          </w:p>
        </w:tc>
        <w:tc>
          <w:tcPr>
            <w:tcW w:w="406" w:type="pct"/>
            <w:noWrap/>
            <w:vAlign w:val="center"/>
          </w:tcPr>
          <w:p w14:paraId="5706BC35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171306</w:t>
            </w:r>
          </w:p>
        </w:tc>
        <w:tc>
          <w:tcPr>
            <w:tcW w:w="523" w:type="pct"/>
            <w:noWrap/>
            <w:vAlign w:val="center"/>
          </w:tcPr>
          <w:p w14:paraId="4A1D2781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88994</w:t>
            </w:r>
          </w:p>
        </w:tc>
        <w:tc>
          <w:tcPr>
            <w:tcW w:w="464" w:type="pct"/>
            <w:noWrap/>
            <w:vAlign w:val="center"/>
          </w:tcPr>
          <w:p w14:paraId="22C04E69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87804</w:t>
            </w:r>
          </w:p>
        </w:tc>
        <w:tc>
          <w:tcPr>
            <w:tcW w:w="464" w:type="pct"/>
            <w:noWrap/>
            <w:vAlign w:val="center"/>
          </w:tcPr>
          <w:p w14:paraId="7FA9CAE3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87653</w:t>
            </w:r>
          </w:p>
        </w:tc>
        <w:tc>
          <w:tcPr>
            <w:tcW w:w="512" w:type="pct"/>
            <w:noWrap/>
            <w:vAlign w:val="center"/>
          </w:tcPr>
          <w:p w14:paraId="36ECA52E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26673034</w:t>
            </w:r>
          </w:p>
        </w:tc>
        <w:tc>
          <w:tcPr>
            <w:tcW w:w="523" w:type="pct"/>
            <w:noWrap/>
            <w:vAlign w:val="center"/>
          </w:tcPr>
          <w:p w14:paraId="461C253B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304.3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11" w:type="pct"/>
            <w:noWrap/>
            <w:vAlign w:val="center"/>
          </w:tcPr>
          <w:p w14:paraId="355B419C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60.79%</w:t>
            </w:r>
          </w:p>
        </w:tc>
        <w:tc>
          <w:tcPr>
            <w:tcW w:w="411" w:type="pct"/>
            <w:noWrap/>
            <w:vAlign w:val="center"/>
          </w:tcPr>
          <w:p w14:paraId="11C0439C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91.06%</w:t>
            </w:r>
          </w:p>
        </w:tc>
        <w:tc>
          <w:tcPr>
            <w:tcW w:w="411" w:type="pct"/>
            <w:noWrap/>
            <w:vAlign w:val="center"/>
          </w:tcPr>
          <w:p w14:paraId="58E4AE1F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80.50%</w:t>
            </w:r>
          </w:p>
        </w:tc>
      </w:tr>
      <w:tr w:rsidR="005978F4" w14:paraId="43EAA2F1" w14:textId="77777777">
        <w:trPr>
          <w:trHeight w:val="276"/>
        </w:trPr>
        <w:tc>
          <w:tcPr>
            <w:tcW w:w="464" w:type="pct"/>
            <w:vMerge/>
            <w:tcBorders>
              <w:bottom w:val="single" w:sz="4" w:space="0" w:color="auto"/>
            </w:tcBorders>
          </w:tcPr>
          <w:p w14:paraId="5210054B" w14:textId="77777777" w:rsidR="005978F4" w:rsidRDefault="005978F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noWrap/>
            <w:vAlign w:val="center"/>
          </w:tcPr>
          <w:p w14:paraId="111F4717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YB13B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noWrap/>
            <w:vAlign w:val="center"/>
          </w:tcPr>
          <w:p w14:paraId="3637C486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95127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noWrap/>
            <w:vAlign w:val="center"/>
          </w:tcPr>
          <w:p w14:paraId="2EEB8EBF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50012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noWrap/>
            <w:vAlign w:val="center"/>
          </w:tcPr>
          <w:p w14:paraId="415011AA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49138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noWrap/>
            <w:vAlign w:val="center"/>
          </w:tcPr>
          <w:p w14:paraId="680355DF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49058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noWrap/>
            <w:vAlign w:val="center"/>
          </w:tcPr>
          <w:p w14:paraId="466AFBC7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14543762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noWrap/>
            <w:vAlign w:val="center"/>
          </w:tcPr>
          <w:p w14:paraId="0EF32B39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296.46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noWrap/>
            <w:vAlign w:val="center"/>
          </w:tcPr>
          <w:p w14:paraId="1E321A33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60.37%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noWrap/>
            <w:vAlign w:val="center"/>
          </w:tcPr>
          <w:p w14:paraId="4465778E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91.35%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noWrap/>
            <w:vAlign w:val="center"/>
          </w:tcPr>
          <w:p w14:paraId="3ED7B205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81.21%</w:t>
            </w:r>
          </w:p>
        </w:tc>
      </w:tr>
    </w:tbl>
    <w:p w14:paraId="1CCA7D6D" w14:textId="77777777" w:rsidR="005978F4" w:rsidRDefault="00000000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Cs w:val="21"/>
        </w:rPr>
        <w:t>RawPE</w:t>
      </w:r>
      <w:proofErr w:type="spellEnd"/>
      <w:r>
        <w:rPr>
          <w:rFonts w:ascii="Times New Roman" w:hAnsi="Times New Roman" w:cs="Times New Roman"/>
          <w:szCs w:val="21"/>
        </w:rPr>
        <w:t xml:space="preserve">: raw paired-end reads; Combined: stitched tag sequences; Qualified: tags after filtering low-quality and short reads; </w:t>
      </w:r>
      <w:proofErr w:type="spellStart"/>
      <w:r>
        <w:rPr>
          <w:rFonts w:ascii="Times New Roman" w:hAnsi="Times New Roman" w:cs="Times New Roman"/>
          <w:szCs w:val="21"/>
        </w:rPr>
        <w:t>Nochime</w:t>
      </w:r>
      <w:proofErr w:type="spellEnd"/>
      <w:r>
        <w:rPr>
          <w:rFonts w:ascii="Times New Roman" w:hAnsi="Times New Roman" w:cs="Times New Roman"/>
          <w:szCs w:val="21"/>
        </w:rPr>
        <w:t xml:space="preserve">: final effective tags after chimera removal; Base: total bases of effective tags; </w:t>
      </w:r>
      <w:proofErr w:type="spellStart"/>
      <w:r>
        <w:rPr>
          <w:rFonts w:ascii="Times New Roman" w:hAnsi="Times New Roman" w:cs="Times New Roman"/>
          <w:szCs w:val="21"/>
        </w:rPr>
        <w:t>AvgLen</w:t>
      </w:r>
      <w:proofErr w:type="spellEnd"/>
      <w:r>
        <w:rPr>
          <w:rFonts w:ascii="Times New Roman" w:hAnsi="Times New Roman" w:cs="Times New Roman"/>
          <w:szCs w:val="21"/>
        </w:rPr>
        <w:t>: average length of effective tags; GC: GC content; Q20/Q30: percentage of bases with quality score &gt;20 (error rate &lt;1%) and &gt;30 (error rate &lt;0.1%), respectively.</w:t>
      </w:r>
    </w:p>
    <w:p w14:paraId="639A9ED8" w14:textId="77777777" w:rsidR="005978F4" w:rsidRDefault="005978F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A744573" w14:textId="77777777" w:rsidR="005978F4" w:rsidRDefault="00000000">
      <w:pPr>
        <w:widowControl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Table S</w:t>
      </w:r>
      <w:r>
        <w:rPr>
          <w:rFonts w:ascii="Times New Roman" w:hAnsi="Times New Roman" w:cs="Times New Roman" w:hint="eastAsia"/>
          <w:b/>
          <w:bCs/>
          <w:szCs w:val="21"/>
        </w:rPr>
        <w:t>3</w:t>
      </w:r>
    </w:p>
    <w:p w14:paraId="270678B6" w14:textId="77777777" w:rsidR="005978F4" w:rsidRDefault="00000000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Cs w:val="21"/>
        </w:rPr>
        <w:t xml:space="preserve">Concentration gradients used to determine the sensitivity of </w:t>
      </w:r>
      <w:r>
        <w:rPr>
          <w:rFonts w:ascii="Times New Roman" w:hAnsi="Times New Roman" w:cs="Times New Roman" w:hint="eastAsia"/>
          <w:i/>
          <w:iCs/>
          <w:szCs w:val="21"/>
        </w:rPr>
        <w:t xml:space="preserve">N. </w:t>
      </w:r>
      <w:proofErr w:type="spellStart"/>
      <w:r>
        <w:rPr>
          <w:rFonts w:ascii="Times New Roman" w:hAnsi="Times New Roman" w:cs="Times New Roman" w:hint="eastAsia"/>
          <w:i/>
          <w:iCs/>
          <w:szCs w:val="21"/>
        </w:rPr>
        <w:t>coryli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YB13 to four fungicides alone and in mixtures.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tbl>
      <w:tblPr>
        <w:tblW w:w="4996" w:type="pct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134"/>
        <w:gridCol w:w="774"/>
        <w:gridCol w:w="882"/>
        <w:gridCol w:w="678"/>
        <w:gridCol w:w="882"/>
        <w:gridCol w:w="949"/>
      </w:tblGrid>
      <w:tr w:rsidR="005978F4" w14:paraId="0D060A3E" w14:textId="77777777">
        <w:trPr>
          <w:trHeight w:val="624"/>
          <w:jc w:val="center"/>
        </w:trPr>
        <w:tc>
          <w:tcPr>
            <w:tcW w:w="2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49F3B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Fungicide</w:t>
            </w:r>
          </w:p>
        </w:tc>
        <w:tc>
          <w:tcPr>
            <w:tcW w:w="25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C6EF66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Concentration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lang w:bidi="ar"/>
              </w:rPr>
              <w:t xml:space="preserve"> gradient 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μg</w:t>
            </w:r>
            <w:proofErr w:type="spellEnd"/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/mL)</w:t>
            </w:r>
          </w:p>
        </w:tc>
      </w:tr>
      <w:tr w:rsidR="005978F4" w14:paraId="3DAA8415" w14:textId="77777777">
        <w:trPr>
          <w:trHeight w:val="624"/>
          <w:jc w:val="center"/>
        </w:trPr>
        <w:tc>
          <w:tcPr>
            <w:tcW w:w="248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CE1703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Fludioxonil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DBADEE" w14:textId="77777777" w:rsidR="005978F4" w:rsidRDefault="00000000">
            <w:pPr>
              <w:spacing w:line="400" w:lineRule="exact"/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F3E8D3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FFD639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B0116F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27CCAB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3B0E5CBE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F423A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Prochloraz-manganese chloride complex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4719D" w14:textId="77777777" w:rsidR="005978F4" w:rsidRDefault="00000000">
            <w:pPr>
              <w:spacing w:line="400" w:lineRule="exact"/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409A3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C002A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69E1A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9D563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30B78AA8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1C345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bookmarkStart w:id="0" w:name="OLE_LINK5"/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Difenoconazole</w:t>
            </w:r>
            <w:bookmarkEnd w:id="0"/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2D4EE" w14:textId="77777777" w:rsidR="005978F4" w:rsidRDefault="00000000">
            <w:pPr>
              <w:spacing w:line="400" w:lineRule="exact"/>
              <w:jc w:val="center"/>
              <w:rPr>
                <w:rFonts w:ascii="Times New Roman" w:eastAsia="MS Mincho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24557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83077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3FB65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4EDF0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</w:tr>
      <w:tr w:rsidR="005978F4" w14:paraId="5EA63591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79250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fldChar w:fldCharType="begin"/>
            </w:r>
            <w:r>
              <w:rPr>
                <w:rFonts w:ascii="Cambria" w:eastAsia="MS Mincho" w:hAnsi="Cambria" w:cs="Times New Roman"/>
                <w:color w:val="000000"/>
                <w:kern w:val="0"/>
                <w:szCs w:val="21"/>
                <w:lang w:bidi="ar"/>
              </w:rPr>
              <w:instrText xml:space="preserve"> LINK Word.Document.12 "D:\\</w:instrText>
            </w:r>
            <w:r>
              <w:rPr>
                <w:rFonts w:ascii="Cambria" w:eastAsia="MS Mincho" w:hAnsi="Cambria" w:cs="MS Mincho" w:hint="eastAsia"/>
                <w:color w:val="000000"/>
                <w:kern w:val="0"/>
                <w:szCs w:val="21"/>
                <w:lang w:bidi="ar"/>
              </w:rPr>
              <w:instrText>博士</w:instrText>
            </w:r>
            <w:r>
              <w:rPr>
                <w:rFonts w:ascii="Cambria" w:eastAsia="MS Mincho" w:hAnsi="Cambria" w:cs="Times New Roman"/>
                <w:color w:val="000000"/>
                <w:kern w:val="0"/>
                <w:szCs w:val="21"/>
                <w:lang w:bidi="ar"/>
              </w:rPr>
              <w:instrText>\\</w:instrText>
            </w:r>
            <w:r>
              <w:rPr>
                <w:rFonts w:ascii="Cambria" w:eastAsia="MS Mincho" w:hAnsi="Cambria" w:cs="MS Mincho" w:hint="eastAsia"/>
                <w:color w:val="000000"/>
                <w:kern w:val="0"/>
                <w:szCs w:val="21"/>
                <w:lang w:bidi="ar"/>
              </w:rPr>
              <w:instrText>投稿</w:instrText>
            </w:r>
            <w:r>
              <w:rPr>
                <w:rFonts w:ascii="Cambria" w:eastAsia="MS Mincho" w:hAnsi="Cambria" w:cs="Times New Roman"/>
                <w:color w:val="000000"/>
                <w:kern w:val="0"/>
                <w:szCs w:val="21"/>
                <w:lang w:bidi="ar"/>
              </w:rPr>
              <w:instrText>\\</w:instrText>
            </w:r>
            <w:r>
              <w:rPr>
                <w:rFonts w:ascii="Cambria" w:eastAsia="MS Mincho" w:hAnsi="Cambria" w:cs="MS Mincho" w:hint="eastAsia"/>
                <w:color w:val="000000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Cambria" w:eastAsia="MS Mincho" w:hAnsi="Cambria" w:cs="Times New Roman"/>
                <w:color w:val="000000"/>
                <w:kern w:val="0"/>
                <w:szCs w:val="21"/>
                <w:lang w:bidi="ar"/>
              </w:rPr>
              <w:instrText>\\</w:instrText>
            </w:r>
            <w:r>
              <w:rPr>
                <w:rFonts w:ascii="Cambria" w:eastAsia="MS Mincho" w:hAnsi="Cambria" w:cs="MS Mincho" w:hint="eastAsia"/>
                <w:color w:val="000000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Cambria" w:eastAsia="MS Mincho" w:hAnsi="Cambria" w:cs="Times New Roman"/>
                <w:color w:val="000000"/>
                <w:kern w:val="0"/>
                <w:szCs w:val="21"/>
                <w:lang w:bidi="ar"/>
              </w:rPr>
              <w:instrText>-</w:instrText>
            </w:r>
            <w:r>
              <w:rPr>
                <w:rFonts w:ascii="Cambria" w:eastAsia="MS Mincho" w:hAnsi="Cambria" w:cs="MS Mincho" w:hint="eastAsia"/>
                <w:color w:val="000000"/>
                <w:kern w:val="0"/>
                <w:szCs w:val="21"/>
                <w:lang w:bidi="ar"/>
              </w:rPr>
              <w:instrText>邹靖培</w:instrText>
            </w:r>
            <w:r>
              <w:rPr>
                <w:rFonts w:ascii="Cambria" w:eastAsia="MS Mincho" w:hAnsi="Cambria" w:cs="Times New Roman"/>
                <w:color w:val="000000"/>
                <w:kern w:val="0"/>
                <w:szCs w:val="21"/>
                <w:lang w:bidi="ar"/>
              </w:rPr>
              <w:instrText>\\Main Document.docx" OLE_LINK2 \t \a  \* MERGEFORMAT</w:instrTex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fldChar w:fldCharType="separate"/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kern w:val="0"/>
                <w:szCs w:val="21"/>
                <w:lang w:bidi="ar"/>
              </w:rPr>
              <w:t>Fenaminstrobin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A813E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79C5C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F7F04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A248E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CBFB3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</w:tr>
      <w:tr w:rsidR="005978F4" w14:paraId="79826073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9DC69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Fludioxonil:Prochloraz-manganese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chloride complex (4:1)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2E4A1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84CF8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EE85B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71E82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6A9E5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3A72EF2E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5031B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Fludioxonil:Prochloraz-manganese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chloride complex (2:1)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6D4B9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47AE4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6DB8A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F1566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1BA1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1140A324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CD494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Fludioxonil:Prochloraz-manganese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chloride complex (1:1)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CDD79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769AE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7A4F1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69023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3B348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0DD7DF68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597E9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Fludioxonil:Prochloraz-manganese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chloride complex (1:2)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554CB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D3645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2820B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97258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9FDE0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52FCCB91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063F2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lastRenderedPageBreak/>
              <w:t>Fludioxonil:Prochloraz-manganese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chloride complex (1:4)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15C4E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38AF4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8B2FF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643A4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E23C0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0924B54C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16FBA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Fludioxonil:Difenoconazole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(4:1)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D5D5A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E0B9D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47108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6E945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ED314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45FA2A51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04116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Fludioxonil:Difenoconazole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(2:1)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F6D88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3FEC2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CB0BE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0F7F9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9A309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3FD7DF60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982D6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Fludioxonil:Difenoconazole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(1:1)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445EE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6B9EE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65B31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68969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C5D64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08806A53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A2062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Fludioxonil:Difenoconazole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(1:2)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41E21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35C1D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DBE3D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5E152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D3CA4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741963DF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F4786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Fludioxonil:Difenoconazole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(1:4)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53973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A1F64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25E42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45A88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015E5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5BD9FCEB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8FB22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Fludioxonil:Difenoconazole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(4:1)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F6BED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43988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3229A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A0519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BD1A2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4953B3CD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189D7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Fludioxonil:Difenoconazole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(2:1)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B45B3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9343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5C68D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65450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73565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739A81A9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3C120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Fludioxonil:Difenoconazole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(1:1)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1352F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809C7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FF53F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BF21A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A7326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7041863A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8E9FA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Fludioxonil: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 xml:space="preserve"> LINK Word.Document.12 "D:\\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博士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投稿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-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邹靖培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\\Main Document.docx" OLE_LINK2 \t \a  \* MERGEFORMAT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Fenaminstrobin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end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(4:1)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53C67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BC7E4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67CD7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29792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45112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50B370F3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D6EF9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Fludioxonil: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 xml:space="preserve"> LINK Word.Document.12 "D:\\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博士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投稿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-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邹靖培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\\Main Document.docx" OLE_LINK2 \t \a  \* MERGEFORMAT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Fenaminstrobin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end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(2:1)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306F4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23EC5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E8A1B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CAC98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CF61A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551554DE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CCD78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Fludioxonil: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 xml:space="preserve"> LINK Word.Document.12 "D:\\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博士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投稿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-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邹靖培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\\Main Document.docx" OLE_LINK2 \t \a  \* MERGEFORMAT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Fenaminstrobin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end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(1:1)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D89E9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CC9CE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0F077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583B2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2F4AA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57A413B9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008C6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Fludioxonil: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 xml:space="preserve"> LINK Word.Document.12 "D:\\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博士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投稿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-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邹靖培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\\Main Document.docx" OLE_LINK2 \t \a  \* MERGEFORMAT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Fenaminstrobin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end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(1:2)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CFC75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32876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43633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F5EBD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38170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623EB3BA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14A7F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Fludioxonil: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 xml:space="preserve"> LINK Word.Document.12 "D:\\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博士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投稿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-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邹靖培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\\Main Document.docx" OLE_LINK2 \t \a  \* MERGEFORMAT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Fenaminstrobin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end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(1:4)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65437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6F983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24138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79CD9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301DB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291194A3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4D129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Fludioxonil: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 xml:space="preserve"> LINK Word.Document.12 "D:\\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博士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投稿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-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邹靖培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\\Main Document.docx" OLE_LINK2 \t \a  \* MERGEFORMAT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Fenaminstrobin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end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(4:1)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79B0E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CCF77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C9E28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1AD03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9CE84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54DC2E52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C70E4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Fludioxonil: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 xml:space="preserve"> LINK Word.Document.12 "D:\\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博士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投稿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-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邹靖培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\\Main Document.docx" OLE_LINK2 \t \a  \* MERGEFORMAT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Fenaminstrobin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end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(2:1)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B750D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AF275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8FC9A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9DD7F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56632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7B691835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1F587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Fludioxonil: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 xml:space="preserve"> LINK Word.Document.12 "D:\\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博士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投稿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-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邹靖培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\\Main Document.docx" OLE_LINK2 \t \a  \* MERGEFORMAT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Fenaminstrobin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end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(1:1)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0484B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F6406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DD323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1198B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D0FA1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0.0008</w:t>
            </w:r>
          </w:p>
        </w:tc>
      </w:tr>
      <w:tr w:rsidR="005978F4" w14:paraId="693C9324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6745F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 xml:space="preserve"> LINK Word.Document.12 "D:\\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博士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投稿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-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邹靖培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\\Main Document.docx" OLE_LINK5 \t \a  \* MERGEFORMAT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separate"/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Difenoconazole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end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: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 xml:space="preserve"> LINK Word.Document.12 "D:\\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博士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投稿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-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邹靖培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\\Main Document.docx" OLE_LINK2 \t \a  \* MERGEFORMAT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Fenaminstrobin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end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(4:1)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DCFA0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D6E5F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20964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8C9A9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1020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</w:tr>
      <w:tr w:rsidR="005978F4" w14:paraId="5C13E436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C5D8E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 xml:space="preserve"> LINK Word.Document.12 "D:\\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博士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投稿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-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邹靖培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\\Main Document.docx" OLE_LINK5 \t \a  \* MERGEFORMAT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separate"/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Difenoconazole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end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: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 xml:space="preserve"> LINK Word.Document.12 "D:\\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博士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投稿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-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邹靖培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\\Main Document.docx" OLE_LINK2 \t \a  \* MERGEFORMAT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Fenaminstrobin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end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(2:1)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944C2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490F2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EF3B7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DDE73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16790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</w:tr>
      <w:tr w:rsidR="005978F4" w14:paraId="056AD72D" w14:textId="77777777">
        <w:trPr>
          <w:trHeight w:val="624"/>
          <w:jc w:val="center"/>
        </w:trPr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DDDBF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 xml:space="preserve"> LINK Word.Document.12 "D:\\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博士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投稿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-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邹靖培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\\Main Document.docx" OLE_LINK5 \t \a  \* MERGEFORMAT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separate"/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Difenoconazole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end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: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 xml:space="preserve"> LINK Word.Document.12 "D:\\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博士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投稿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-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邹靖培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\\Main Document.docx" OLE_LINK2 \t \a  \* MERGEFORMAT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Fenaminstrobin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end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(1:1)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BE2DE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7F94C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6CE4E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FA70D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3EA63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</w:tr>
      <w:tr w:rsidR="005978F4" w14:paraId="1E101931" w14:textId="77777777" w:rsidTr="004F6984">
        <w:trPr>
          <w:trHeight w:val="215"/>
          <w:jc w:val="center"/>
        </w:trPr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7207AF" w14:textId="77777777" w:rsidR="005978F4" w:rsidRDefault="00000000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 xml:space="preserve"> LINK Word.Document.12 "D:\\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博士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投稿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-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邹靖培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\\Main Document.docx" OLE_LINK5 \t \a  \* MERGEFORMAT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separate"/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Difenoconazole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end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: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 xml:space="preserve"> LINK Word.Document.12 "D:\\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博士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投稿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烟草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-</w:instrTex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instrText>邹靖培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instrText>\\Main Document.docx" OLE_LINK2 \t \a  \* MERGEFORMAT</w:instrTex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Fenaminstrobin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fldChar w:fldCharType="end"/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(1:2)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F1E9BF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.5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279393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0.50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C46766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5649D3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2D4387" w14:textId="77777777" w:rsidR="005978F4" w:rsidRDefault="0000000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ar"/>
              </w:rPr>
              <w:t>0.004</w:t>
            </w:r>
          </w:p>
        </w:tc>
      </w:tr>
    </w:tbl>
    <w:p w14:paraId="4C10485B" w14:textId="77777777" w:rsidR="005978F4" w:rsidRDefault="005978F4" w:rsidP="004F698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 w:rsidR="005978F4" w:rsidSect="004F6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3336" w14:textId="77777777" w:rsidR="00DF45C4" w:rsidRDefault="00DF45C4" w:rsidP="004F6984">
      <w:pPr>
        <w:rPr>
          <w:rFonts w:hint="eastAsia"/>
        </w:rPr>
      </w:pPr>
      <w:r>
        <w:separator/>
      </w:r>
    </w:p>
  </w:endnote>
  <w:endnote w:type="continuationSeparator" w:id="0">
    <w:p w14:paraId="5545DA53" w14:textId="77777777" w:rsidR="00DF45C4" w:rsidRDefault="00DF45C4" w:rsidP="004F69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OT65f8a23b.I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FA6C" w14:textId="77777777" w:rsidR="00DF45C4" w:rsidRDefault="00DF45C4" w:rsidP="004F6984">
      <w:pPr>
        <w:rPr>
          <w:rFonts w:hint="eastAsia"/>
        </w:rPr>
      </w:pPr>
      <w:r>
        <w:separator/>
      </w:r>
    </w:p>
  </w:footnote>
  <w:footnote w:type="continuationSeparator" w:id="0">
    <w:p w14:paraId="4067BD24" w14:textId="77777777" w:rsidR="00DF45C4" w:rsidRDefault="00DF45C4" w:rsidP="004F698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C50"/>
    <w:rsid w:val="00006E1B"/>
    <w:rsid w:val="00127E9A"/>
    <w:rsid w:val="0013153A"/>
    <w:rsid w:val="00172802"/>
    <w:rsid w:val="001A401E"/>
    <w:rsid w:val="001B3970"/>
    <w:rsid w:val="001E0B52"/>
    <w:rsid w:val="002057D6"/>
    <w:rsid w:val="0020718B"/>
    <w:rsid w:val="00283CF6"/>
    <w:rsid w:val="002A7354"/>
    <w:rsid w:val="002B3AD9"/>
    <w:rsid w:val="00303C09"/>
    <w:rsid w:val="00324BF9"/>
    <w:rsid w:val="003C23D1"/>
    <w:rsid w:val="003D1283"/>
    <w:rsid w:val="004346D9"/>
    <w:rsid w:val="004663EC"/>
    <w:rsid w:val="00495B64"/>
    <w:rsid w:val="004D2E78"/>
    <w:rsid w:val="004F6984"/>
    <w:rsid w:val="00506F4A"/>
    <w:rsid w:val="005978F4"/>
    <w:rsid w:val="005C7ACA"/>
    <w:rsid w:val="00697367"/>
    <w:rsid w:val="00701EBA"/>
    <w:rsid w:val="00721188"/>
    <w:rsid w:val="00734DAC"/>
    <w:rsid w:val="00786002"/>
    <w:rsid w:val="007B5B82"/>
    <w:rsid w:val="007F1378"/>
    <w:rsid w:val="00813C50"/>
    <w:rsid w:val="0084503A"/>
    <w:rsid w:val="008A3B6D"/>
    <w:rsid w:val="008C5FD2"/>
    <w:rsid w:val="008D2A0D"/>
    <w:rsid w:val="0091611D"/>
    <w:rsid w:val="00A243EC"/>
    <w:rsid w:val="00AA22A9"/>
    <w:rsid w:val="00B47A4B"/>
    <w:rsid w:val="00B63EFC"/>
    <w:rsid w:val="00BA00A7"/>
    <w:rsid w:val="00BA2A02"/>
    <w:rsid w:val="00C86029"/>
    <w:rsid w:val="00CB1EE6"/>
    <w:rsid w:val="00D23B33"/>
    <w:rsid w:val="00D3575B"/>
    <w:rsid w:val="00D44EB0"/>
    <w:rsid w:val="00D970CA"/>
    <w:rsid w:val="00DA4C27"/>
    <w:rsid w:val="00DF45C4"/>
    <w:rsid w:val="00E24A46"/>
    <w:rsid w:val="00EE7172"/>
    <w:rsid w:val="00EF09F2"/>
    <w:rsid w:val="00EF1FF1"/>
    <w:rsid w:val="00F137ED"/>
    <w:rsid w:val="00F20DE9"/>
    <w:rsid w:val="00F27108"/>
    <w:rsid w:val="00F32F68"/>
    <w:rsid w:val="00F6423F"/>
    <w:rsid w:val="00F72DC9"/>
    <w:rsid w:val="00F80F3A"/>
    <w:rsid w:val="00FD4428"/>
    <w:rsid w:val="06B41C8F"/>
    <w:rsid w:val="16405233"/>
    <w:rsid w:val="27777F0F"/>
    <w:rsid w:val="37941808"/>
    <w:rsid w:val="3B23129A"/>
    <w:rsid w:val="45894F7B"/>
    <w:rsid w:val="464B1239"/>
    <w:rsid w:val="53F04DB7"/>
    <w:rsid w:val="55EE1A22"/>
    <w:rsid w:val="59EF725B"/>
    <w:rsid w:val="5B4425E4"/>
    <w:rsid w:val="5DC93D3E"/>
    <w:rsid w:val="66C4165B"/>
    <w:rsid w:val="7A6C06BC"/>
    <w:rsid w:val="7C8A71C0"/>
    <w:rsid w:val="7EE4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B5EF96"/>
  <w15:docId w15:val="{99C4F4B4-8810-4000-976D-783EE634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af2">
    <w:name w:val="表格内容"/>
    <w:qFormat/>
    <w:pPr>
      <w:widowControl w:val="0"/>
      <w:spacing w:line="400" w:lineRule="exact"/>
      <w:jc w:val="center"/>
    </w:pPr>
    <w:rPr>
      <w:kern w:val="2"/>
      <w:sz w:val="18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dvOT65f8a23b.I" w:hAnsi="AdvOT65f8a23b.I" w:hint="default"/>
      <w:color w:val="000000"/>
      <w:sz w:val="16"/>
      <w:szCs w:val="16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3">
    <w:name w:val="Unresolved Mention"/>
    <w:basedOn w:val="a0"/>
    <w:uiPriority w:val="99"/>
    <w:semiHidden/>
    <w:unhideWhenUsed/>
    <w:rsid w:val="004F6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nucleotide/LR025144.1?report=genbank&amp;log$=nucltop&amp;blast_rank=1&amp;RID=D2NZWP8U0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iaobaiyang126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ngz@nja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1008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yiming geng</dc:creator>
  <cp:lastModifiedBy>靖培 邹</cp:lastModifiedBy>
  <cp:revision>30</cp:revision>
  <dcterms:created xsi:type="dcterms:W3CDTF">2025-04-03T08:39:00Z</dcterms:created>
  <dcterms:modified xsi:type="dcterms:W3CDTF">2026-04-19T13:29:00Z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eyJoZGlkIjoiYWYxZjlmODZmNjc3YWQ2MWVhMzEwODcyZTNmNjJjYTUiLCJ1c2VySWQiOiIxMDI4NzM3ODg3In0=</vt:lpwstr>
  </property>
  <property fmtid="{D5CDD505-2E9C-101B-9397-08002B2CF9AE}" pid="3" name="KSOProductBuildVer">
    <vt:lpwstr>2052-12.1.0.25222</vt:lpwstr>
  </property>
  <property fmtid="{D5CDD505-2E9C-101B-9397-08002B2CF9AE}" pid="4" name="ICV">
    <vt:lpwstr>0AF5636D769D43EEA8A54A4EEE04B84E_12</vt:lpwstr>
  </property>
</Properties>
</file>