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9" w:name="supplementary-tables"/>
    <w:p>
      <w:pPr>
        <w:pStyle w:val="Heading1"/>
        <w:jc w:val="center"/>
      </w:pPr>
      <w:r>
        <w:rPr>
          <w:rFonts w:ascii="Times New Roman" w:hAnsi="Times New Roman" w:eastAsia="Times New Roman" w:cs="Times New Roman"/>
          <w:b/>
          <w:sz w:val="34"/>
        </w:rPr>
        <w:t xml:space="preserve">Supplementary Tables</w:t>
      </w:r>
    </w:p>
    <w:bookmarkStart w:id="37" w:name="X10e2523504939a1c01966ca535d389e9e623e5c"/>
    <w:p>
      <w:pPr>
        <w:pStyle w:val="Heading2"/>
        <w:spacing w:line="276" w:lineRule="auto" w:after="60"/>
        <w:jc w:val="center"/>
      </w:pPr>
      <w:r>
        <w:rPr>
          <w:rFonts w:ascii="Times New Roman" w:hAnsi="Times New Roman" w:eastAsia="Times New Roman" w:cs="Times New Roman"/>
          <w:sz w:val="22"/>
        </w:rPr>
        <w:t xml:space="preserve">Supplementary Table S1. SICdb development cohort split and event counts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Split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Patients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ICU stays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Landmark samples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Positive samples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Event rate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Train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3,669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3,955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646,326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146,217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22.62%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Validation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786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862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141,537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33,090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23.38%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Test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787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854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136,743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30,228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22.11%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Overall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5,242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5,671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924,606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209,535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22.66%</w:t>
            </w:r>
          </w:p>
        </w:tc>
      </w:tr>
    </w:tbl>
    <w:bookmarkEnd w:id="37"/>
    <w:bookmarkStart w:id="38" w:name="X9e5aff4298b7ac0018a9ef44be46b742d035580"/>
    <w:p>
      <w:pPr>
        <w:pStyle w:val="Heading2"/>
        <w:spacing w:line="276" w:lineRule="auto" w:after="60"/>
        <w:jc w:val="center"/>
      </w:pPr>
      <w:r>
        <w:rPr>
          <w:rFonts w:ascii="Times New Roman" w:hAnsi="Times New Roman" w:eastAsia="Times New Roman" w:cs="Times New Roman"/>
          <w:sz w:val="22"/>
        </w:rPr>
        <w:t xml:space="preserve">Supplementary Table S2. Dynamic features at prediction time in the SICdb modeling cohort</w:t>
      </w:r>
    </w:p>
    <w:tbl>
      <w:tblPr>
        <w:tblStyle w:val="Table"/>
        <w:tblW w:type="pct" w:w="5000"/>
        <w:jc w:val="center"/>
        <w:tblLayout w:type="fixed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Variable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Training set (N = 646,326)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Validation set (N = 141,537)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Test set (N = 136,743)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Total (N = 924,606)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Observed total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  <w:shd w:fill="EDEDED"/>
          </w:tcPr>
          <w:p>
            <w:pPr>
              <w:pStyle w:val="Compact"/>
              <w:spacing w:line="276" w:lineRule="auto" w:before="0" w:after="0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p value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</w:rPr>
              <w:t xml:space="preserve">Vital signs, current-step observed values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Heart rate, bpm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81.55 ± 15.82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80.87 ± 16.39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82.19 ± 15.73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81.54 ± 15.90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840,215 (90.9%)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MAP, mmHg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76.45 ± 14.92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76.13 ± 14.88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76.99 ± 14.88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76.48 ± 14.91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718,575 (77.7%)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SBP, mmHg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119.02 ± 23.59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119.56 ± 23.35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118.94 ± 23.57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119.10 ± 23.55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716,263 (77.5%)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DBP, mmHg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55.62 ± 11.81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55.19 ± 11.75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56.24 ± 11.51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55.64 ± 11.76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716,714 (77.5%)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SpO2, %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94.41 ± 7.26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94.44 ± 7.30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94.50 ± 7.33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94.43 ± 7.28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803,599 (86.9%)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Respiratory rate, breaths/min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18.91 ± 6.23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19.06 ± 6.01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18.68 ± 5.95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18.90 ± 6.16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745,378 (80.6%)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Temperature, C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37.06 ± 1.04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37.12 ± 1.04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37.09 ± 1.05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37.08 ± 1.04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705,065 (76.3%)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FiO2, %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43.48 ± 12.09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42.69 ± 12.11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43.73 ± 12.18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43.39 ± 12.11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300,682 (32.5%)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PEEP, cmH2O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7.70 ± 3.05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7.42 ± 2.86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7.70 ± 3.01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7.66 ± 3.02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299,720 (32.4%)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</w:rPr>
              <w:t xml:space="preserve">Laboratory tests, current-step observed values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Creatinine, mg/dL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1.34 ± 1.00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1.37 ± 1.06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1.23 ± 0.84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1.33 ± 0.99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35,338 (3.8%)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BUN/Urea, mg/dL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65.55 ± 38.81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64.74 ± 36.11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64.04 ± 38.30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65.20 ± 38.33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36,196 (3.9%)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0.020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Lactate, mmol/L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1.22 ± 0.70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1.22 ± 0.82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1.21 ± 0.66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1.22 ± 0.71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211,253 (22.8%)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0.385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Bicarbonate, mmol/L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26.01 ± 4.27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25.77 ± 4.02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26.22 ± 4.00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26.00 ± 4.19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210,981 (22.8%)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pH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7.43 ± 0.07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7.43 ± 0.06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7.43 ± 0.06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7.43 ± 0.07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211,146 (22.8%)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Base excess, mmol/L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1.60 ± 4.04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1.43 ± 3.80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1.85 ± 3.74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1.61 ± 3.97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210,242 (22.7%)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Potassium, mmol/L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4.19 ± 0.42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4.20 ± 0.42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4.20 ± 0.42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4.19 ± 0.42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216,252 (23.4%)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Sodium, mmol/L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139.57 ± 5.99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139.44 ± 5.85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139.81 ± 5.85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139.59 ± 5.95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191,477 (20.7%)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Chloride, mmol/L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105.81 ± 6.09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105.90 ± 5.65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105.90 ± 6.13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105.84 ± 6.03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213,617 (23.1%)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0.009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Hemoglobin, g/dL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8.89 ± 1.45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8.93 ± 1.45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8.98 ± 1.46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8.91 ± 1.46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225,947 (24.4%)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WBC, 10^9/L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12.12 ± 6.56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12.06 ± 6.41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12.35 ± 7.41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12.15 ± 6.67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36,445 (3.9%)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0.039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Platelet, 10^9/L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263.18 ± 161.32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263.14 ± 159.39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255.78 ± 150.95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262.06 ± 159.53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36,428 (3.9%)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0.007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Glucose, mg/dL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131.93 ± 33.03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132.51 ± 33.89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132.95 ± 32.29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132.17 ± 33.06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215,650 (23.3%)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Calcium, mmol/L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1.08 ± 0.21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1.07 ± 0.21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1.08 ± 0.19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1.08 ± 0.21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216,860 (23.5%)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Magnesium, mmol/L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0.89 ± 0.17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0.89 ± 0.16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0.89 ± 0.17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0.89 ± 0.17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35,912 (3.9%)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0.077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Phosphate, mmol/L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1.08 ± 0.36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1.08 ± 0.33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1.07 ± 0.33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1.08 ± 0.35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36,563 (4.0%)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0.068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PCO2, mmHg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40.39 ± 9.11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39.82 ± 8.56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40.35 ± 8.15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40.30 ± 8.90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210,680 (22.8%)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PaO2/PO2, mmHg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83.65 ± 29.67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83.98 ± 29.53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83.67 ± 29.97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83.70 ± 29.69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206,010 (22.3%)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0.193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APTT/PTT, sec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40.22 ± 12.95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40.76 ± 13.78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40.13 ± 13.00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40.29 ± 13.09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40,601 (4.4%)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0.007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INR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1.25 ± 0.19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1.24 ± 0.16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1.25 ± 0.25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1.24 ± 0.19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32,557 (3.5%)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0.004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</w:rPr>
              <w:t xml:space="preserve">Outputs, current-step observed values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Urine output, mL/h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79.32 ± 99.61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78.28 ± 83.26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80.82 ± 83.33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79.39 ± 94.88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726,073 (78.5%)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Fluid input, mL/h (mean±SD)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180.85 ± 293.49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183.08 ± 278.63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178.63 ± 276.75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180.86 ± 288.81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464,243 (50.2%)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0.016</w:t>
            </w: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b/>
                <w:bCs/>
                <w:sz w:val="18"/>
              </w:rPr>
              <w:t xml:space="preserve">Medication exposure, current-step observed values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</w:p>
        </w:tc>
      </w:tr>
      <w:tr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Vasopressor use, n (%)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133,314 (20.6%)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30,349 (21.4%)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27,353 (20.0%)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191,016 (20.7%)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67,662 (7.3%)</w:t>
            </w:r>
          </w:p>
        </w:tc>
        <w:tc>
          <w:tcPr>
            <w:vAlign w:val="center"/>
            <w:tcBorders>
              <w:top w:val="single" w:sz="6" w:color="BFBFBF"/>
              <w:left w:val="single" w:sz="6" w:color="BFBFBF"/>
              <w:bottom w:val="single" w:sz="6" w:color="BFBFBF"/>
              <w:right w:val="single" w:sz="6" w:color="BFBFBF"/>
            </w:tcBorders>
          </w:tcPr>
          <w:p>
            <w:pPr>
              <w:pStyle w:val="Compact"/>
              <w:spacing w:line="276" w:lineRule="auto" w:before="0" w:after="0"/>
              <w:jc w:val="left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&lt;0.001</w:t>
            </w:r>
          </w:p>
        </w:tc>
      </w:tr>
    </w:tbl>
    <w:p>
      <w:pPr>
        <w:pStyle w:val="BodyText"/>
        <w:spacing w:line="276" w:lineRule="auto" w:after="60"/>
        <w:jc w:val="center"/>
      </w:pPr>
      <w:r>
        <w:rPr>
          <w:rFonts w:ascii="Times New Roman" w:hAnsi="Times New Roman" w:eastAsia="Times New Roman" w:cs="Times New Roman"/>
          <w:sz w:val="24"/>
        </w:rPr>
        <w:t xml:space="preserve">Abbreviations: APTT/PTT, activated partial thromboplastin time / partial thromboplastin time; DBP, diastolic blood pressure; MAP, mean arterial pressure; PEEP, positive end-expiratory pressure; SBP, systolic blood pressure; WBC, white blood cell count. Continuous variables are presented as mean±SD among samples with a current-step observation. Observed total indicates the proportion of all prediction landmarks with a current-step observation. Vasopressor use is presented as n (%). p values were calculated across training, validation, and test splits using one-way ANOVA or chi-square tests.</w:t>
      </w:r>
    </w:p>
    <w:bookmarkEnd w:id="38"/>
    <w:bookmarkEnd w:id="39"/>
    <w:p>
      <w:r>
        <w:rPr>
          <w:rFonts w:ascii="Times New Roman" w:hAnsi="Times New Roman" w:eastAsia="Times New Roman"/>
          <w:sz w:val="24"/>
        </w:rPr>
        <w:br w:type="page"/>
      </w:r>
    </w:p>
    <w:p>
      <w:pPr>
        <w:pStyle w:val="Heading2"/>
      </w:pPr>
      <w:r>
        <w:rPr>
          <w:rFonts w:ascii="Times New Roman" w:hAnsi="Times New Roman" w:eastAsia="Times New Roman"/>
        </w:rPr>
        <w:t>Supplementary Table S3. Paired stay-level performance gain of the frozen GRU relative to dynamic and static XGBoost comparators across SICdb, MIMIC-IV, and eICU-CRD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560"/>
        <w:gridCol w:w="1560"/>
        <w:gridCol w:w="1560"/>
        <w:gridCol w:w="1560"/>
        <w:gridCol w:w="1560"/>
        <w:gridCol w:w="1560"/>
      </w:tblGrid>
      <w:tr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Cohort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Comparator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Stays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Positive_stays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ΔAUPRC (95% CI)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ΔAUROC (95% CI)</w:t>
            </w:r>
          </w:p>
        </w:tc>
      </w:tr>
      <w:tr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Dynamic Snapshot XGBoost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33846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9855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0.098 (0.088 to 0.107)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0.049 (0.043 to 0.054)</w:t>
            </w:r>
          </w:p>
        </w:tc>
      </w:tr>
      <w:tr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Static XGBoost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33846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9855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0.307 (0.296 to 0.316)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0.232 (0.225 to 0.239)</w:t>
            </w:r>
          </w:p>
        </w:tc>
      </w:tr>
      <w:tr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Dynamic Snapshot XGBoost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22464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10290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0.058 (0.050 to 0.066)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0.037 (0.031 to 0.042)</w:t>
            </w:r>
          </w:p>
        </w:tc>
      </w:tr>
      <w:tr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Static XGBoost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22464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10290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0.299 (0.289 to 0.309)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0.262 (0.254 to 0.269)</w:t>
            </w:r>
          </w:p>
        </w:tc>
      </w:tr>
      <w:tr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Dynamic Snapshot XGBoost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854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495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0.077 (0.056 to 0.105)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0.093 (0.066 to 0.122)</w:t>
            </w:r>
          </w:p>
        </w:tc>
      </w:tr>
      <w:tr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Static XGBoost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854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495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0.196 (0.158 to 0.237)</w:t>
            </w:r>
          </w:p>
        </w:tc>
        <w:tc>
          <w:tcPr>
            <w:tcW w:type="dxa" w:w="156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0.231 (0.198 to 0.268)</w:t>
            </w:r>
          </w:p>
        </w:tc>
      </w:tr>
    </w:tbl>
    <w:p>
      <w:r>
        <w:rPr>
          <w:rFonts w:ascii="Times New Roman" w:hAnsi="Times New Roman" w:eastAsia="Times New Roman"/>
          <w:sz w:val="24"/>
        </w:rPr>
        <w:t>Notes: Values are paired stay-level performance gains of the frozen GRU relative to each comparator. Confidence intervals were generated using 300 stay-level bootstrap resamples.</w:t>
      </w:r>
    </w:p>
    <w:p>
      <w:r>
        <w:rPr>
          <w:rFonts w:ascii="Times New Roman" w:hAnsi="Times New Roman" w:eastAsia="Times New Roman"/>
          <w:sz w:val="24"/>
        </w:rPr>
        <w:br w:type="page"/>
      </w:r>
    </w:p>
    <w:p>
      <w:pPr>
        <w:pStyle w:val="Heading2"/>
      </w:pPr>
      <w:r>
        <w:rPr>
          <w:rFonts w:ascii="Times New Roman" w:hAnsi="Times New Roman" w:eastAsia="Times New Roman"/>
        </w:rPr>
        <w:t>Supplementary Table S4. Subgroup robustness summary of the frozen GRU relative to static XGBoost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337"/>
        <w:gridCol w:w="1337"/>
        <w:gridCol w:w="1337"/>
        <w:gridCol w:w="1337"/>
        <w:gridCol w:w="1337"/>
        <w:gridCol w:w="1337"/>
        <w:gridCol w:w="1337"/>
      </w:tblGrid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Cohort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Subgroup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Level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Stays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Positive_stays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ΔAUPRC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ΔAUROC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Sex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female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14957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4358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0.293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0.225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Sex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male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18888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5497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0.317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0.239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Age Group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&lt;65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16009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4752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0.302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0.229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Age Group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&gt;=65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17837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5103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0.313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0.236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Surgery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No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29351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8656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0.306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0.232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Surgery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Yes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4495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1199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0.319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0.240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Sex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female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9618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4363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0.296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0.255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Sex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male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12846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5927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0.301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0.267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Age Group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&lt;65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9915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4432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0.310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0.260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Age Group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&gt;=65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12549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5858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0.293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0.262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Surgery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No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14268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6653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0.302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0.273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 External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Surgery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Yes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8196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3637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0.293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0.243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Sex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female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304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180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0.133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0.163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Sex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male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550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315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0.234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0.270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Age Group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&lt;65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271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151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0.238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0.254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Age Group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&gt;=65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583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344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0.177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0.223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Surgery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No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141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90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0.149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0.181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Surgery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Yes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713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405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0.207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0.247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Sepsis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No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796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453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0.206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0.238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Sepsis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Yes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58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42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0.126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0.220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Pre-existing Renal Dysfunction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No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697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402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0.193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0.224</w:t>
            </w:r>
          </w:p>
        </w:tc>
      </w:tr>
      <w:tr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Pre-existing Renal Dysfunction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Yes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157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93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0.203</w:t>
            </w:r>
          </w:p>
        </w:tc>
        <w:tc>
          <w:tcPr>
            <w:tcW w:type="dxa" w:w="1337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0.270</w:t>
            </w:r>
          </w:p>
        </w:tc>
      </w:tr>
    </w:tbl>
    <w:p>
      <w:r>
        <w:rPr>
          <w:rFonts w:ascii="Times New Roman" w:hAnsi="Times New Roman" w:eastAsia="Times New Roman"/>
          <w:sz w:val="24"/>
        </w:rPr>
        <w:t>Notes: All reported differences are frozen GRU minus static XGBoost at the stay level. Positive values indicate better discrimination for the sequence model in that subgroup.</w:t>
      </w:r>
    </w:p>
    <w:p>
      <w:r>
        <w:rPr>
          <w:rFonts w:ascii="Times New Roman" w:hAnsi="Times New Roman" w:eastAsia="Times New Roman"/>
          <w:sz w:val="24"/>
        </w:rPr>
        <w:br w:type="page"/>
      </w:r>
    </w:p>
    <w:p>
      <w:pPr>
        <w:pStyle w:val="Heading2"/>
      </w:pPr>
      <w:r>
        <w:rPr>
          <w:rFonts w:ascii="Times New Roman" w:hAnsi="Times New Roman" w:eastAsia="Times New Roman"/>
        </w:rPr>
        <w:t>Supplementary Table S5. Stay-level alert burden and lead-time summary at the frozen decision threshold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170"/>
        <w:gridCol w:w="1170"/>
        <w:gridCol w:w="1170"/>
        <w:gridCol w:w="1170"/>
        <w:gridCol w:w="1170"/>
        <w:gridCol w:w="1170"/>
        <w:gridCol w:w="1170"/>
        <w:gridCol w:w="1170"/>
      </w:tblGrid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Cohort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Population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Any alert, %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Median alerts/stay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Median alerts/24 h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Alert before first positive, %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Median lead before first positive, h</w:t>
            </w:r>
          </w:p>
        </w:tc>
      </w:tr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 External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All 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33846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27.9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</w:tr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 External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Negative 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23991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15.1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</w:tr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eICU-CRD External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Positive 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9855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59.2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5.0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0.8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32.8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13.0</w:t>
            </w:r>
          </w:p>
        </w:tc>
      </w:tr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 External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All 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22464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47.5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</w:tr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 External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Negative 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12174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23.5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</w:tr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MIMIC-IV External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Positive 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10290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75.9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22.0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4.2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48.3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9.0</w:t>
            </w:r>
          </w:p>
        </w:tc>
      </w:tr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All 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854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75.3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19.0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7.3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</w:tr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Negative 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359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46.5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0.0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NA</w:t>
            </w:r>
          </w:p>
        </w:tc>
      </w:tr>
      <w:tr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SICdb Internal Test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Positive stays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495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96.2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49.0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11.3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75.8</w:t>
            </w:r>
          </w:p>
        </w:tc>
        <w:tc>
          <w:tcPr>
            <w:tcW w:type="dxa" w:w="1170"/>
          </w:tcPr>
          <w:p>
            <w:pPr>
              <w:jc w:val="center"/>
            </w:pPr>
            <w:r>
              <w:rPr>
                <w:rFonts w:ascii="Times New Roman" w:hAnsi="Times New Roman" w:eastAsia="Times New Roman"/>
                <w:sz w:val="18"/>
              </w:rPr>
              <w:t>1.0</w:t>
            </w:r>
          </w:p>
        </w:tc>
      </w:tr>
    </w:tbl>
    <w:p>
      <w:r>
        <w:rPr>
          <w:rFonts w:ascii="Times New Roman" w:hAnsi="Times New Roman" w:eastAsia="Times New Roman"/>
          <w:sz w:val="24"/>
        </w:rPr>
        <w:t>Notes: Alert-behavior metrics used the frozen threshold transferred from SICdb internal validation. Lead-time and alert-before-first-positive metrics are defined only for positive stays and are therefore reported as NA for all-stay and negative-stay rows.</w:t>
      </w:r>
    </w:p>
    <w:sectPr>
      <w:headerReference w:type="default" r:id="rId1"/>
      <w:headerReference w:type="first" r:id="rId2"/>
      <w:headerReference w:type="even" r:id="rId3"/>
      <w:footerReference w:type="default" r:id="rId4"/>
      <w:footerReference w:type="first" r:id="rId5"/>
      <w:footerReference w:type="even" r:id="rId6"/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line="480" w:lineRule="auto" w:before="0" w:after="0"/>
    </w:pPr>
    <w:rPr>
      <w:rFonts w:ascii="Times New Roman" w:hAnsi="Times New Roman" w:eastAsia="Times New Roman" w:cs="Times New Roman"/>
      <w:b w:val="0"/>
      <w:i w:val="0"/>
      <w:sz w:val="24"/>
    </w:rPr>
  </w:style>
  <w:style w:styleId="BodyText" w:type="paragraph">
    <w:name w:val="Body Text"/>
    <w:basedOn w:val="Normal"/>
    <w:link w:val="BodyTextChar"/>
    <w:qFormat/>
    <w:pPr>
      <w:spacing w:after="0" w:before="0" w:line="480" w:lineRule="auto"/>
    </w:pPr>
    <w:rPr>
      <w:rFonts w:ascii="Times New Roman" w:hAnsi="Times New Roman" w:eastAsia="Times New Roman" w:cs="Times New Roman"/>
      <w:b w:val="0"/>
      <w:i w:val="0"/>
      <w:sz w:val="24"/>
    </w:rPr>
  </w:style>
  <w:style w:customStyle="1" w:styleId="FirstParagraph" w:type="paragraph">
    <w:name w:val="First Paragraph"/>
    <w:basedOn w:val="BodyText"/>
    <w:next w:val="BodyText"/>
    <w:qFormat/>
    <w:pPr>
      <w:spacing w:line="480" w:lineRule="auto" w:before="0" w:after="0"/>
    </w:pPr>
    <w:rPr>
      <w:rFonts w:ascii="Times New Roman" w:hAnsi="Times New Roman" w:eastAsia="Times New Roman" w:cs="Times New Roman"/>
      <w:b w:val="0"/>
      <w:i w:val="0"/>
      <w:sz w:val="24"/>
    </w:rPr>
  </w:style>
  <w:style w:customStyle="1" w:styleId="Compact" w:type="paragraph">
    <w:name w:val="Compact"/>
    <w:basedOn w:val="BodyText"/>
    <w:qFormat/>
    <w:pPr>
      <w:spacing w:after="36" w:before="36"/>
    </w:pPr>
    <w:rPr>
      <w:rFonts w:ascii="Times New Roman" w:hAnsi="Times New Roman" w:eastAsia="Times New Roman" w:cs="Times New Roman"/>
    </w:r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200" w:line="276" w:lineRule="auto" w:before="0"/>
      <w:contextualSpacing/>
      <w:jc w:val="center"/>
    </w:pPr>
    <w:rPr>
      <w:rFonts w:ascii="Times New Roman" w:hAnsi="Times New Roman" w:eastAsia="Times New Roman" w:cs="Times New Roman"/>
      <w:b/>
      <w:i w:val="0"/>
      <w:sz w:val="34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="Times New Roman" w:hAnsi="Times New Roman" w:eastAsia="Times New Roman" w:cs="Times New Roman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ascii="Times New Roman" w:hAnsi="Times New Roman" w:eastAsia="Times New Roman" w:cs="Times New Roman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ascii="Times New Roman" w:hAnsi="Times New Roman" w:eastAsia="Times New Roman" w:cs="Times New Roman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rFonts w:ascii="Times New Roman" w:hAnsi="Times New Roman" w:eastAsia="Times New Roman" w:cs="Times New Roman"/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rFonts w:ascii="Times New Roman" w:hAnsi="Times New Roman" w:eastAsia="Times New Roman" w:cs="Times New Roman"/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rFonts w:ascii="Times New Roman" w:hAnsi="Times New Roman" w:eastAsia="Times New Roman" w:cs="Times New Roman"/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hAnsi="Times New Roman" w:eastAsia="Times New Roman" w:cs="Times New Roman"/>
      <w:sz w:val="20"/>
      <w:szCs w:val="20"/>
    </w:rPr>
  </w:style>
  <w:style w:styleId="Bibliography" w:type="paragraph">
    <w:name w:val="Bibliography"/>
    <w:basedOn w:val="Normal"/>
    <w:next w:val="Bibliography"/>
    <w:qFormat/>
    <w:pPr>
      <w:spacing w:line="276" w:lineRule="auto" w:before="0" w:after="40"/>
      <w:ind w:left="403" w:hanging="403"/>
    </w:pPr>
    <w:rPr>
      <w:rFonts w:ascii="Times New Roman" w:hAnsi="Times New Roman" w:eastAsia="Times New Roman" w:cs="Times New Roman"/>
      <w:b w:val="0"/>
      <w:i w:val="0"/>
      <w:sz w:val="21"/>
    </w:rPr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200" w:line="288" w:lineRule="auto"/>
      <w:outlineLvl w:val="0"/>
    </w:pPr>
    <w:rPr>
      <w:rFonts w:ascii="Times New Roman" w:hAnsi="Times New Roman" w:eastAsia="Times New Roman" w:cs="Times New Roman"/>
      <w:b/>
      <w:i w:val="0"/>
      <w:color w:themeColor="accent1" w:themeShade="BF" w:val="0F4761"/>
      <w:sz w:val="27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40" w:before="160" w:line="288" w:lineRule="auto"/>
      <w:outlineLvl w:val="1"/>
    </w:pPr>
    <w:rPr>
      <w:rFonts w:ascii="Times New Roman" w:hAnsi="Times New Roman" w:eastAsia="Times New Roman" w:cs="Times New Roman"/>
      <w:b/>
      <w:i w:val="0"/>
      <w:color w:themeColor="accent1" w:themeShade="BF" w:val="0F4761"/>
      <w:sz w:val="24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ascii="Times New Roman" w:hAnsi="Times New Roman" w:eastAsia="Times New Roman" w:cs="Times New Roman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ascii="Times New Roman" w:hAnsi="Times New Roman" w:eastAsia="Times New Roman" w:cs="Times New Roman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ascii="Times New Roman" w:hAnsi="Times New Roman" w:eastAsia="Times New Roman" w:cs="Times New Roman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ascii="Times New Roman" w:hAnsi="Times New Roman" w:eastAsia="Times New Roman" w:cs="Times New Roman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ascii="Times New Roman" w:hAnsi="Times New Roman" w:eastAsia="Times New Roman" w:cs="Times New Roman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ascii="Times New Roman" w:hAnsi="Times New Roman" w:eastAsia="Times New Roman" w:cs="Times New Roman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ascii="Times New Roman" w:hAnsi="Times New Roman" w:eastAsia="Times New Roman" w:cs="Times New Roman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="Times New Roman" w:hAnsi="Times New Roman" w:eastAsia="Times New Roman" w:cs="Times New Roman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="Times New Roman" w:hAnsi="Times New Roman" w:eastAsia="Times New Roman" w:cs="Times New Roman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ascii="Times New Roman" w:hAnsi="Times New Roman" w:eastAsia="Times New Roman" w:cs="Times New Roman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ascii="Times New Roman" w:hAnsi="Times New Roman" w:eastAsia="Times New Roman" w:cs="Times New Roman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ascii="Times New Roman" w:hAnsi="Times New Roman" w:eastAsia="Times New Roman" w:cs="Times New Roman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ascii="Times New Roman" w:hAnsi="Times New Roman" w:eastAsia="Times New Roman" w:cs="Times New Roman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ascii="Times New Roman" w:hAnsi="Times New Roman" w:eastAsia="Times New Roman" w:cs="Times New Roman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ascii="Times New Roman" w:hAnsi="Times New Roman" w:eastAsia="Times New Roman" w:cs="Times New Roman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ascii="Times New Roman" w:hAnsi="Times New Roman" w:eastAsia="Times New Roman" w:cs="Times New Roman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hAnsi="Times New Roman" w:eastAsia="Times New Roman" w:cs="Times New Roman"/>
    </w:rPr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  <w:rPr>
      <w:rFonts w:ascii="Times New Roman" w:hAnsi="Times New Roman" w:eastAsia="Times New Roman" w:cs="Times New Roman"/>
    </w:rPr>
  </w:style>
  <w:style w:default="1" w:styleId="DefaultParagraphFont" w:type="character">
    <w:name w:val="Default Paragraph Font"/>
    <w:semiHidden/>
    <w:unhideWhenUsed/>
    <w:rPr>
      <w:rFonts w:ascii="Times New Roman" w:hAnsi="Times New Roman" w:eastAsia="Times New Roman" w:cs="Times New Roman"/>
    </w:rPr>
  </w:style>
  <w:style w:default="1" w:styleId="Table" w:type="table">
    <w:name w:val="Table"/>
    <w:basedOn w:val="TableNormal"/>
    <w:semiHidden/>
    <w:unhideWhenUsed/>
    <w:qFormat/>
    <w:rPr>
      <w:rFonts w:ascii="Times New Roman" w:hAnsi="Times New Roman" w:eastAsia="Times New Roman" w:cs="Times New Roman"/>
    </w:rPr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hAnsi="Times New Roman" w:eastAsia="Times New Roman" w:cs="Times New Roman"/>
      <w:b/>
    </w:rPr>
  </w:style>
  <w:style w:customStyle="1" w:styleId="Definition" w:type="paragraph">
    <w:name w:val="Definition"/>
    <w:basedOn w:val="Normal"/>
    <w:rPr>
      <w:rFonts w:ascii="Times New Roman" w:hAnsi="Times New Roman" w:eastAsia="Times New Roman" w:cs="Times New Roman"/>
    </w:rPr>
  </w:style>
  <w:style w:styleId="Caption" w:type="paragraph">
    <w:name w:val="Caption"/>
    <w:basedOn w:val="Normal"/>
    <w:link w:val="BodyTextChar"/>
    <w:pPr>
      <w:spacing w:after="60" w:before="0" w:line="276" w:lineRule="auto"/>
    </w:pPr>
    <w:rPr>
      <w:rFonts w:ascii="Times New Roman" w:hAnsi="Times New Roman" w:eastAsia="Times New Roman" w:cs="Times New Roman"/>
      <w:b w:val="0"/>
      <w:i w:val="0"/>
      <w:sz w:val="21"/>
    </w:rPr>
  </w:style>
  <w:style w:customStyle="1" w:styleId="TableCaption" w:type="paragraph">
    <w:name w:val="Table Caption"/>
    <w:basedOn w:val="Caption"/>
    <w:pPr>
      <w:keepNext/>
    </w:pPr>
    <w:rPr>
      <w:rFonts w:ascii="Times New Roman" w:hAnsi="Times New Roman" w:eastAsia="Times New Roman" w:cs="Times New Roman"/>
    </w:rPr>
  </w:style>
  <w:style w:customStyle="1" w:styleId="ImageCaption" w:type="paragraph">
    <w:name w:val="Image Caption"/>
    <w:basedOn w:val="Caption"/>
    <w:rPr>
      <w:rFonts w:ascii="Times New Roman" w:hAnsi="Times New Roman" w:eastAsia="Times New Roman" w:cs="Times New Roman"/>
    </w:rPr>
  </w:style>
  <w:style w:customStyle="1" w:styleId="Figure" w:type="paragraph">
    <w:name w:val="Figure"/>
    <w:basedOn w:val="Normal"/>
    <w:rPr>
      <w:rFonts w:ascii="Times New Roman" w:hAnsi="Times New Roman" w:eastAsia="Times New Roman" w:cs="Times New Roman"/>
    </w:rPr>
  </w:style>
  <w:style w:customStyle="1" w:styleId="CaptionedFigure" w:type="paragraph">
    <w:name w:val="Captioned Figure"/>
    <w:basedOn w:val="Figure"/>
    <w:pPr>
      <w:keepNext/>
    </w:pPr>
    <w:rPr>
      <w:rFonts w:ascii="Times New Roman" w:hAnsi="Times New Roman" w:eastAsia="Times New Roman" w:cs="Times New Roman"/>
    </w:rPr>
  </w:style>
  <w:style w:customStyle="1" w:styleId="BodyTextChar" w:type="character">
    <w:name w:val="Body Text Char"/>
    <w:basedOn w:val="DefaultParagraphFont"/>
    <w:link w:val="BodyText"/>
    <w:rPr>
      <w:rFonts w:ascii="Times New Roman" w:hAnsi="Times New Roman" w:eastAsia="Times New Roman" w:cs="Times New Roman"/>
    </w:rPr>
  </w:style>
  <w:style w:customStyle="1" w:styleId="VerbatimChar" w:type="character">
    <w:name w:val="Verbatim Char"/>
    <w:basedOn w:val="BodyTextChar"/>
    <w:rPr>
      <w:rFonts w:ascii="Times New Roman" w:hAnsi="Times New Roman" w:eastAsia="Times New Roman" w:cs="Times New Roman"/>
      <w:sz w:val="22"/>
    </w:rPr>
  </w:style>
  <w:style w:customStyle="1" w:styleId="SectionNumber" w:type="character">
    <w:name w:val="Section Number"/>
    <w:basedOn w:val="BodyTextChar"/>
    <w:rPr>
      <w:rFonts w:ascii="Times New Roman" w:hAnsi="Times New Roman" w:eastAsia="Times New Roman" w:cs="Times New Roman"/>
    </w:rPr>
  </w:style>
  <w:style w:styleId="FootnoteReference" w:type="character">
    <w:name w:val="Footnote Reference"/>
    <w:basedOn w:val="BodyTextChar"/>
    <w:rPr>
      <w:rFonts w:ascii="Times New Roman" w:hAnsi="Times New Roman" w:eastAsia="Times New Roman" w:cs="Times New Roman"/>
      <w:vertAlign w:val="superscript"/>
    </w:rPr>
  </w:style>
  <w:style w:styleId="Hyperlink" w:type="character">
    <w:name w:val="Hyperlink"/>
    <w:basedOn w:val="BodyTextChar"/>
    <w:rPr>
      <w:rFonts w:ascii="Times New Roman" w:hAnsi="Times New Roman" w:eastAsia="Times New Roman" w:cs="Times New Roman"/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Times New Roman" w:hAnsi="Times New Roman" w:eastAsia="Times New Roman" w:cs="Times New Roman"/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off"/>
    </w:pPr>
    <w:rPr>
      <w:rFonts w:ascii="Times New Roman" w:hAnsi="Times New Roman" w:eastAsia="Times New Roman" w:cs="Times New Roman"/>
    </w:rPr>
  </w:style>
  <w:style w:customStyle="1" w:styleId="KeywordTok" w:type="character">
    <w:name w:val="KeywordTok"/>
    <w:basedOn w:val="VerbatimChar"/>
    <w:rPr>
      <w:rFonts w:ascii="Times New Roman" w:hAnsi="Times New Roman" w:eastAsia="Times New Roman" w:cs="Times New Roman"/>
      <w:b/>
      <w:color w:val="007020"/>
    </w:rPr>
  </w:style>
  <w:style w:customStyle="1" w:styleId="DataTypeTok" w:type="character">
    <w:name w:val="DataTypeTok"/>
    <w:basedOn w:val="VerbatimChar"/>
    <w:rPr>
      <w:rFonts w:ascii="Times New Roman" w:hAnsi="Times New Roman" w:eastAsia="Times New Roman" w:cs="Times New Roman"/>
      <w:color w:val="902000"/>
    </w:rPr>
  </w:style>
  <w:style w:customStyle="1" w:styleId="DecValTok" w:type="character">
    <w:name w:val="DecValTok"/>
    <w:basedOn w:val="VerbatimChar"/>
    <w:rPr>
      <w:rFonts w:ascii="Times New Roman" w:hAnsi="Times New Roman" w:eastAsia="Times New Roman" w:cs="Times New Roman"/>
      <w:color w:val="40a070"/>
    </w:rPr>
  </w:style>
  <w:style w:customStyle="1" w:styleId="BaseNTok" w:type="character">
    <w:name w:val="BaseNTok"/>
    <w:basedOn w:val="VerbatimChar"/>
    <w:rPr>
      <w:rFonts w:ascii="Times New Roman" w:hAnsi="Times New Roman" w:eastAsia="Times New Roman" w:cs="Times New Roman"/>
      <w:color w:val="40a070"/>
    </w:rPr>
  </w:style>
  <w:style w:customStyle="1" w:styleId="FloatTok" w:type="character">
    <w:name w:val="FloatTok"/>
    <w:basedOn w:val="VerbatimChar"/>
    <w:rPr>
      <w:rFonts w:ascii="Times New Roman" w:hAnsi="Times New Roman" w:eastAsia="Times New Roman" w:cs="Times New Roman"/>
      <w:color w:val="40a070"/>
    </w:rPr>
  </w:style>
  <w:style w:customStyle="1" w:styleId="ConstantTok" w:type="character">
    <w:name w:val="ConstantTok"/>
    <w:basedOn w:val="VerbatimChar"/>
    <w:rPr>
      <w:rFonts w:ascii="Times New Roman" w:hAnsi="Times New Roman" w:eastAsia="Times New Roman" w:cs="Times New Roman"/>
      <w:color w:val="880000"/>
    </w:rPr>
  </w:style>
  <w:style w:customStyle="1" w:styleId="CharTok" w:type="character">
    <w:name w:val="CharTok"/>
    <w:basedOn w:val="VerbatimChar"/>
    <w:rPr>
      <w:rFonts w:ascii="Times New Roman" w:hAnsi="Times New Roman" w:eastAsia="Times New Roman" w:cs="Times New Roman"/>
      <w:color w:val="4070a0"/>
    </w:rPr>
  </w:style>
  <w:style w:customStyle="1" w:styleId="SpecialCharTok" w:type="character">
    <w:name w:val="SpecialCharTok"/>
    <w:basedOn w:val="VerbatimChar"/>
    <w:rPr>
      <w:rFonts w:ascii="Times New Roman" w:hAnsi="Times New Roman" w:eastAsia="Times New Roman" w:cs="Times New Roman"/>
      <w:color w:val="4070a0"/>
    </w:rPr>
  </w:style>
  <w:style w:customStyle="1" w:styleId="StringTok" w:type="character">
    <w:name w:val="StringTok"/>
    <w:basedOn w:val="VerbatimChar"/>
    <w:rPr>
      <w:rFonts w:ascii="Times New Roman" w:hAnsi="Times New Roman" w:eastAsia="Times New Roman" w:cs="Times New Roman"/>
      <w:color w:val="4070a0"/>
    </w:rPr>
  </w:style>
  <w:style w:customStyle="1" w:styleId="VerbatimStringTok" w:type="character">
    <w:name w:val="VerbatimStringTok"/>
    <w:basedOn w:val="VerbatimChar"/>
    <w:rPr>
      <w:rFonts w:ascii="Times New Roman" w:hAnsi="Times New Roman" w:eastAsia="Times New Roman" w:cs="Times New Roman"/>
      <w:color w:val="4070a0"/>
    </w:rPr>
  </w:style>
  <w:style w:customStyle="1" w:styleId="SpecialStringTok" w:type="character">
    <w:name w:val="SpecialStringTok"/>
    <w:basedOn w:val="VerbatimChar"/>
    <w:rPr>
      <w:rFonts w:ascii="Times New Roman" w:hAnsi="Times New Roman" w:eastAsia="Times New Roman" w:cs="Times New Roman"/>
      <w:color w:val="bb6688"/>
    </w:rPr>
  </w:style>
  <w:style w:customStyle="1" w:styleId="ImportTok" w:type="character">
    <w:name w:val="ImportTok"/>
    <w:basedOn w:val="VerbatimChar"/>
    <w:rPr>
      <w:rFonts w:ascii="Times New Roman" w:hAnsi="Times New Roman" w:eastAsia="Times New Roman" w:cs="Times New Roman"/>
      <w:b/>
      <w:color w:val="008000"/>
    </w:rPr>
  </w:style>
  <w:style w:customStyle="1" w:styleId="CommentTok" w:type="character">
    <w:name w:val="CommentTok"/>
    <w:basedOn w:val="VerbatimChar"/>
    <w:rPr>
      <w:rFonts w:ascii="Times New Roman" w:hAnsi="Times New Roman" w:eastAsia="Times New Roman" w:cs="Times New Roman"/>
      <w:i/>
      <w:color w:val="60a0b0"/>
    </w:rPr>
  </w:style>
  <w:style w:customStyle="1" w:styleId="DocumentationTok" w:type="character">
    <w:name w:val="DocumentationTok"/>
    <w:basedOn w:val="VerbatimChar"/>
    <w:rPr>
      <w:rFonts w:ascii="Times New Roman" w:hAnsi="Times New Roman" w:eastAsia="Times New Roman" w:cs="Times New Roman"/>
      <w:i/>
      <w:color w:val="ba2121"/>
    </w:rPr>
  </w:style>
  <w:style w:customStyle="1" w:styleId="AnnotationTok" w:type="character">
    <w:name w:val="AnnotationTok"/>
    <w:basedOn w:val="VerbatimChar"/>
    <w:rPr>
      <w:rFonts w:ascii="Times New Roman" w:hAnsi="Times New Roman" w:eastAsia="Times New Roman" w:cs="Times New Roman"/>
      <w:b/>
      <w:i/>
      <w:color w:val="60a0b0"/>
    </w:rPr>
  </w:style>
  <w:style w:customStyle="1" w:styleId="CommentVarTok" w:type="character">
    <w:name w:val="CommentVarTok"/>
    <w:basedOn w:val="VerbatimChar"/>
    <w:rPr>
      <w:rFonts w:ascii="Times New Roman" w:hAnsi="Times New Roman" w:eastAsia="Times New Roman" w:cs="Times New Roman"/>
      <w:b/>
      <w:i/>
      <w:color w:val="60a0b0"/>
    </w:rPr>
  </w:style>
  <w:style w:customStyle="1" w:styleId="OtherTok" w:type="character">
    <w:name w:val="OtherTok"/>
    <w:basedOn w:val="VerbatimChar"/>
    <w:rPr>
      <w:rFonts w:ascii="Times New Roman" w:hAnsi="Times New Roman" w:eastAsia="Times New Roman" w:cs="Times New Roman"/>
      <w:color w:val="007020"/>
    </w:rPr>
  </w:style>
  <w:style w:customStyle="1" w:styleId="FunctionTok" w:type="character">
    <w:name w:val="FunctionTok"/>
    <w:basedOn w:val="VerbatimChar"/>
    <w:rPr>
      <w:rFonts w:ascii="Times New Roman" w:hAnsi="Times New Roman" w:eastAsia="Times New Roman" w:cs="Times New Roman"/>
      <w:color w:val="06287e"/>
    </w:rPr>
  </w:style>
  <w:style w:customStyle="1" w:styleId="VariableTok" w:type="character">
    <w:name w:val="VariableTok"/>
    <w:basedOn w:val="VerbatimChar"/>
    <w:rPr>
      <w:rFonts w:ascii="Times New Roman" w:hAnsi="Times New Roman" w:eastAsia="Times New Roman" w:cs="Times New Roman"/>
      <w:color w:val="19177c"/>
    </w:rPr>
  </w:style>
  <w:style w:customStyle="1" w:styleId="ControlFlowTok" w:type="character">
    <w:name w:val="ControlFlowTok"/>
    <w:basedOn w:val="VerbatimChar"/>
    <w:rPr>
      <w:rFonts w:ascii="Times New Roman" w:hAnsi="Times New Roman" w:eastAsia="Times New Roman" w:cs="Times New Roman"/>
      <w:b/>
      <w:color w:val="007020"/>
    </w:rPr>
  </w:style>
  <w:style w:customStyle="1" w:styleId="OperatorTok" w:type="character">
    <w:name w:val="OperatorTok"/>
    <w:basedOn w:val="VerbatimChar"/>
    <w:rPr>
      <w:rFonts w:ascii="Times New Roman" w:hAnsi="Times New Roman" w:eastAsia="Times New Roman" w:cs="Times New Roman"/>
      <w:color w:val="666666"/>
    </w:rPr>
  </w:style>
  <w:style w:customStyle="1" w:styleId="BuiltInTok" w:type="character">
    <w:name w:val="BuiltInTok"/>
    <w:basedOn w:val="VerbatimChar"/>
    <w:rPr>
      <w:rFonts w:ascii="Times New Roman" w:hAnsi="Times New Roman" w:eastAsia="Times New Roman" w:cs="Times New Roman"/>
      <w:color w:val="008000"/>
    </w:rPr>
  </w:style>
  <w:style w:customStyle="1" w:styleId="ExtensionTok" w:type="character">
    <w:name w:val="ExtensionTok"/>
    <w:basedOn w:val="VerbatimChar"/>
    <w:rPr>
      <w:rFonts w:ascii="Times New Roman" w:hAnsi="Times New Roman" w:eastAsia="Times New Roman" w:cs="Times New Roman"/>
    </w:rPr>
  </w:style>
  <w:style w:customStyle="1" w:styleId="PreprocessorTok" w:type="character">
    <w:name w:val="PreprocessorTok"/>
    <w:basedOn w:val="VerbatimChar"/>
    <w:rPr>
      <w:rFonts w:ascii="Times New Roman" w:hAnsi="Times New Roman" w:eastAsia="Times New Roman" w:cs="Times New Roman"/>
      <w:color w:val="bc7a00"/>
    </w:rPr>
  </w:style>
  <w:style w:customStyle="1" w:styleId="AttributeTok" w:type="character">
    <w:name w:val="AttributeTok"/>
    <w:basedOn w:val="VerbatimChar"/>
    <w:rPr>
      <w:rFonts w:ascii="Times New Roman" w:hAnsi="Times New Roman" w:eastAsia="Times New Roman" w:cs="Times New Roman"/>
      <w:color w:val="7d9029"/>
    </w:rPr>
  </w:style>
  <w:style w:customStyle="1" w:styleId="RegionMarkerTok" w:type="character">
    <w:name w:val="RegionMarkerTok"/>
    <w:basedOn w:val="VerbatimChar"/>
    <w:rPr>
      <w:rFonts w:ascii="Times New Roman" w:hAnsi="Times New Roman" w:eastAsia="Times New Roman" w:cs="Times New Roman"/>
    </w:rPr>
  </w:style>
  <w:style w:customStyle="1" w:styleId="InformationTok" w:type="character">
    <w:name w:val="InformationTok"/>
    <w:basedOn w:val="VerbatimChar"/>
    <w:rPr>
      <w:rFonts w:ascii="Times New Roman" w:hAnsi="Times New Roman" w:eastAsia="Times New Roman" w:cs="Times New Roman"/>
      <w:b/>
      <w:i/>
      <w:color w:val="60a0b0"/>
    </w:rPr>
  </w:style>
  <w:style w:customStyle="1" w:styleId="WarningTok" w:type="character">
    <w:name w:val="WarningTok"/>
    <w:basedOn w:val="VerbatimChar"/>
    <w:rPr>
      <w:rFonts w:ascii="Times New Roman" w:hAnsi="Times New Roman" w:eastAsia="Times New Roman" w:cs="Times New Roman"/>
      <w:b/>
      <w:i/>
      <w:color w:val="60a0b0"/>
    </w:rPr>
  </w:style>
  <w:style w:customStyle="1" w:styleId="AlertTok" w:type="character">
    <w:name w:val="AlertTok"/>
    <w:basedOn w:val="VerbatimChar"/>
    <w:rPr>
      <w:rFonts w:ascii="Times New Roman" w:hAnsi="Times New Roman" w:eastAsia="Times New Roman" w:cs="Times New Roman"/>
      <w:b/>
      <w:color w:val="ff0000"/>
    </w:rPr>
  </w:style>
  <w:style w:customStyle="1" w:styleId="ErrorTok" w:type="character">
    <w:name w:val="ErrorTok"/>
    <w:basedOn w:val="VerbatimChar"/>
    <w:rPr>
      <w:rFonts w:ascii="Times New Roman" w:hAnsi="Times New Roman" w:eastAsia="Times New Roman" w:cs="Times New Roman"/>
      <w:b/>
      <w:color w:val="ff0000"/>
    </w:rPr>
  </w:style>
  <w:style w:customStyle="1" w:styleId="NormalTok" w:type="character">
    <w:name w:val="NormalTok"/>
    <w:basedOn w:val="VerbatimChar"/>
    <w:rPr>
      <w:rFonts w:ascii="Times New Roman" w:hAnsi="Times New Roman" w:eastAsia="Times New Roman" w:cs="Times New Roman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36" Type="http://schemas.openxmlformats.org/officeDocument/2006/relationships/numbering" Target="numbering.xml"/><Relationship Id="rId35" Type="http://schemas.openxmlformats.org/officeDocument/2006/relationships/styles" Target="styles.xml"/><Relationship Id="rId34" Type="http://schemas.openxmlformats.org/officeDocument/2006/relationships/settings" Target="settings.xml"/><Relationship Id="rId33" Type="http://schemas.openxmlformats.org/officeDocument/2006/relationships/webSettings" Target="webSettings.xml"/><Relationship Id="rId32" Type="http://schemas.openxmlformats.org/officeDocument/2006/relationships/fontTable" Target="fontTable.xml"/><Relationship Id="rId31" Type="http://schemas.openxmlformats.org/officeDocument/2006/relationships/theme" Target="theme/theme1.xml"/><Relationship Id="rId30" Type="http://schemas.openxmlformats.org/officeDocument/2006/relationships/footnotes" Target="footnotes.xml"/><Relationship Id="rId29" Type="http://schemas.openxmlformats.org/officeDocument/2006/relationships/comments" Target="comments.xml"/><Relationship Id="rId19" Type="http://schemas.openxmlformats.org/officeDocument/2006/relationships/image" Target="media/rId19.png"/><Relationship Id="rId23" Type="http://schemas.openxmlformats.org/officeDocument/2006/relationships/image" Target="media/rId23.png"/><Relationship Id="rId28" Type="http://schemas.openxmlformats.org/officeDocument/2006/relationships/image" Target="media/rId28.png"/><Relationship Id="rId1" Type="http://schemas.openxmlformats.org/officeDocument/2006/relationships/header" Target="header1.xml"/><Relationship Id="rId2" Type="http://schemas.openxmlformats.org/officeDocument/2006/relationships/header" Target="header2.xml"/><Relationship Id="rId3" Type="http://schemas.openxmlformats.org/officeDocument/2006/relationships/header" Target="header3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Times New Roman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Times New Roman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2026-04-13T00:44:12Z</dcterms:created>
  <dcterms:modified xsi:type="dcterms:W3CDTF">2026-04-13T00:44:12Z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