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C486" w14:textId="77777777" w:rsidR="00C36A5A" w:rsidRPr="00A61E81" w:rsidRDefault="00C36A5A" w:rsidP="00C36A5A">
      <w:pPr>
        <w:widowControl/>
        <w:spacing w:line="480" w:lineRule="auto"/>
        <w:jc w:val="left"/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</w:pPr>
      <w:r w:rsidRPr="00A61E81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Table 2 Comparative Analysis of Established Predictors Between </w:t>
      </w:r>
      <w:r w:rsidRPr="00A61E81">
        <w:rPr>
          <w:rFonts w:ascii="Times New Roman" w:eastAsia="MS PGothic" w:hAnsi="Times New Roman" w:cs="Times New Roman"/>
          <w:b/>
          <w:bCs/>
          <w:i/>
          <w:iCs/>
          <w:color w:val="000000" w:themeColor="text1"/>
          <w:kern w:val="0"/>
          <w:sz w:val="20"/>
          <w:szCs w:val="20"/>
        </w:rPr>
        <w:t>Ex Vivo</w:t>
      </w:r>
      <w:r w:rsidRPr="00A61E81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Responders and Nonresponders for (a) Octreotide, (b) Cabergoline, and (c) Pasireotide</w:t>
      </w:r>
    </w:p>
    <w:p w14:paraId="55D937CC" w14:textId="77777777" w:rsidR="00C36A5A" w:rsidRDefault="00C36A5A" w:rsidP="00C36A5A">
      <w:pPr>
        <w:widowControl/>
        <w:spacing w:line="480" w:lineRule="auto"/>
        <w:jc w:val="left"/>
        <w:rPr>
          <w:rFonts w:ascii="Times New Roman" w:eastAsia="MS PGothic" w:hAnsi="Times New Roman" w:cs="Times New Roman"/>
          <w:color w:val="000000" w:themeColor="text1"/>
          <w:kern w:val="0"/>
          <w:sz w:val="20"/>
          <w:szCs w:val="20"/>
        </w:rPr>
      </w:pPr>
    </w:p>
    <w:p w14:paraId="093E7557" w14:textId="77777777" w:rsidR="00C36A5A" w:rsidRPr="0083523B" w:rsidRDefault="00C36A5A" w:rsidP="00C36A5A">
      <w:pPr>
        <w:rPr>
          <w:rFonts w:ascii="Times New Roman" w:hAnsi="Times New Roman" w:cs="Times New Roman"/>
          <w:sz w:val="20"/>
          <w:szCs w:val="20"/>
        </w:rPr>
      </w:pP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(</w:t>
      </w:r>
      <w:r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a</w:t>
      </w: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)</w:t>
      </w:r>
      <w:r w:rsidRPr="00C0618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Octreotide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13"/>
        <w:gridCol w:w="1142"/>
        <w:gridCol w:w="1467"/>
        <w:gridCol w:w="459"/>
        <w:gridCol w:w="21"/>
        <w:gridCol w:w="1382"/>
        <w:gridCol w:w="22"/>
        <w:gridCol w:w="416"/>
        <w:gridCol w:w="22"/>
        <w:gridCol w:w="757"/>
        <w:gridCol w:w="25"/>
      </w:tblGrid>
      <w:tr w:rsidR="00C36A5A" w:rsidRPr="0083523B" w14:paraId="659A34A2" w14:textId="77777777" w:rsidTr="00432E5A">
        <w:trPr>
          <w:trHeight w:val="320"/>
        </w:trPr>
        <w:tc>
          <w:tcPr>
            <w:tcW w:w="1851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C28311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CF133AC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C583D46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responder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033A6EE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897E61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nonresponder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6628381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C5BB776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C36A5A" w:rsidRPr="0083523B" w14:paraId="20EAFB3E" w14:textId="77777777" w:rsidTr="00432E5A">
        <w:trPr>
          <w:gridAfter w:val="1"/>
          <w:wAfter w:w="14" w:type="pct"/>
          <w:trHeight w:val="360"/>
        </w:trPr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E213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Total number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25319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828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EC4A8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 (33%)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F4846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88F97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 (67%)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D799C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336D0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72FC5092" w14:textId="77777777" w:rsidTr="00432E5A">
        <w:trPr>
          <w:gridAfter w:val="1"/>
          <w:wAfter w:w="14" w:type="pct"/>
          <w:trHeight w:val="360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52E7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Baseline characteristics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C5A816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E27D7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B206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6B2D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8789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7FEF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594D0CDE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BD5E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Age at the time of surgery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788C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(years)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2823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46 [40,52]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DB9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9C30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48 [32,59]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C1D4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84B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</w:tr>
      <w:tr w:rsidR="00C36A5A" w:rsidRPr="0083523B" w14:paraId="5374B2D1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3822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411E4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(female, 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F32D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4 (44%)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3CB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96963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 (50%)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CCF2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51E3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&gt;0.99</w:t>
            </w:r>
          </w:p>
        </w:tc>
      </w:tr>
      <w:tr w:rsidR="00C36A5A" w:rsidRPr="0083523B" w14:paraId="098B09DF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CD46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Basal GH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DD43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2A5B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14 [4.0,29]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CE4C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18B1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15 [7.1,40]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172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A59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</w:tr>
      <w:tr w:rsidR="00C36A5A" w:rsidRPr="0083523B" w14:paraId="247C3EFE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066C5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IGF-1 SDS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6B4D3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03C21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+6.1 [+5.6, +6.4]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ACCF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D6187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+7.0 [+5.3,+7.4]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74726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56B57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</w:tr>
      <w:tr w:rsidR="00C36A5A" w:rsidRPr="0083523B" w14:paraId="2D6E7A3E" w14:textId="77777777" w:rsidTr="00432E5A">
        <w:trPr>
          <w:gridAfter w:val="1"/>
          <w:wAfter w:w="14" w:type="pct"/>
          <w:trHeight w:val="360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968E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Dynamic endocrinological test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AE6A0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E472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BC00B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73BDF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AF4D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F7C4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5BCAD939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471F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Octreotide suppression test,  positive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4071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BD5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4 (80%)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CCE8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C110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11 (78%)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CFF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5CA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</w:tr>
      <w:tr w:rsidR="00C36A5A" w:rsidRPr="0083523B" w14:paraId="69825A81" w14:textId="77777777" w:rsidTr="00432E5A">
        <w:trPr>
          <w:gridAfter w:val="1"/>
          <w:wAfter w:w="14" w:type="pct"/>
          <w:trHeight w:val="279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C360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Octreotide suppression test, suppression rate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1679C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A6F0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90.8 [80.8,94.4]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101C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F13A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82.6 [53.9,89]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C30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1FA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</w:tr>
      <w:tr w:rsidR="00C36A5A" w:rsidRPr="0083523B" w14:paraId="1819CFD4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D6E4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Octreotide suppression test, nadir time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1B03B0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(hours)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6971F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 [4,6]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461AD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7FE16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 [2,4]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F7E51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1CBA0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C36A5A" w:rsidRPr="0083523B" w14:paraId="22A7B377" w14:textId="77777777" w:rsidTr="00432E5A">
        <w:trPr>
          <w:gridAfter w:val="1"/>
          <w:wAfter w:w="14" w:type="pct"/>
          <w:trHeight w:val="360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6B96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Pituitary MRI findings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47A6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8287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54AC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288A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1A97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F0D8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0019541C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C9C8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Macroadenoma &gt;10mm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6E50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DBE4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 (88%)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04C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7509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 (100%)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A9C9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7B5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C36A5A" w:rsidRPr="0083523B" w14:paraId="141AC74D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C5CA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Maximum tumor diameter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8D59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(mm)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78CC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13 [13,27]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F13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167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21 [17,27]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79C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17BE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</w:tr>
      <w:tr w:rsidR="00C36A5A" w:rsidRPr="0083523B" w14:paraId="069C8755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96F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grade, invasion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91C5D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1D4F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3 (33%)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852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92F5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 (22%)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92F1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F3D3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0.65</w:t>
            </w:r>
          </w:p>
        </w:tc>
      </w:tr>
      <w:tr w:rsidR="00C36A5A" w:rsidRPr="0083523B" w14:paraId="5FC1D224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0704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 [0/1/2/3/4]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FB6D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5E8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[4/1/1/1/2]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5E5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1E6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[1/10/3/3/1]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04E2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3CD2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</w:tr>
      <w:tr w:rsidR="00C36A5A" w:rsidRPr="0083523B" w14:paraId="4EC5C454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A796C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MRI T2WI hypointensity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50391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AC122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8 (88%)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4175B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4D46D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 (44%)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A2A44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8433D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</w:tr>
      <w:tr w:rsidR="00C36A5A" w:rsidRPr="0083523B" w14:paraId="496920D3" w14:textId="77777777" w:rsidTr="00432E5A">
        <w:trPr>
          <w:gridAfter w:val="1"/>
          <w:wAfter w:w="14" w:type="pct"/>
          <w:trHeight w:val="360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9B9B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Histological findings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643D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6AA2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AD32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43DE27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E6D9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EF13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1F7F37E7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27E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Granulated pattern, densely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190CE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D034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6 (66%)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3AFD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D4D9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11 (61%)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6006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6C5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&gt;0.99</w:t>
            </w:r>
          </w:p>
        </w:tc>
      </w:tr>
      <w:tr w:rsidR="00C36A5A" w:rsidRPr="0083523B" w14:paraId="40B6800D" w14:textId="77777777" w:rsidTr="00432E5A">
        <w:trPr>
          <w:gridAfter w:val="1"/>
          <w:wAfter w:w="14" w:type="pct"/>
          <w:trHeight w:val="340"/>
        </w:trPr>
        <w:tc>
          <w:tcPr>
            <w:tcW w:w="185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E90662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SSTR2 [0/1/2/3]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4AC63E0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28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48063B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[0/0/2/7]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C7E271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EAD8AD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[1/1/6/10]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12B562B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39971F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</w:tr>
      <w:tr w:rsidR="00C36A5A" w:rsidRPr="0083523B" w14:paraId="351348EA" w14:textId="77777777" w:rsidTr="00432E5A">
        <w:trPr>
          <w:gridAfter w:val="1"/>
          <w:wAfter w:w="14" w:type="pct"/>
          <w:trHeight w:val="99"/>
        </w:trPr>
        <w:tc>
          <w:tcPr>
            <w:tcW w:w="1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B52B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SSTR5 [0/1/2/3]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80B76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7E4F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[0/0/8/1]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7EB0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0BC8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[4/4/7/3]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D04A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80E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</w:tr>
    </w:tbl>
    <w:p w14:paraId="3FE10669" w14:textId="77777777" w:rsidR="00C36A5A" w:rsidRPr="0083523B" w:rsidRDefault="00C36A5A" w:rsidP="00C36A5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83523B">
        <w:rPr>
          <w:rFonts w:ascii="Times New Roman" w:hAnsi="Times New Roman" w:cs="Times New Roman"/>
          <w:sz w:val="20"/>
          <w:szCs w:val="20"/>
        </w:rPr>
        <w:br w:type="page"/>
      </w: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lastRenderedPageBreak/>
        <w:t>(</w:t>
      </w:r>
      <w:r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b</w:t>
      </w: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)</w:t>
      </w:r>
      <w:r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  <w:r w:rsidRPr="00C1257B">
        <w:rPr>
          <w:rFonts w:ascii="Times New Roman" w:eastAsia="MS PGothic" w:hAnsi="Times New Roman" w:cs="Times New Roman"/>
          <w:b/>
          <w:bCs/>
          <w:color w:val="000000" w:themeColor="text1"/>
          <w:kern w:val="0"/>
          <w:sz w:val="20"/>
          <w:szCs w:val="20"/>
        </w:rPr>
        <w:t>Cabergoline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9"/>
        <w:gridCol w:w="1142"/>
        <w:gridCol w:w="1367"/>
        <w:gridCol w:w="486"/>
        <w:gridCol w:w="1367"/>
        <w:gridCol w:w="486"/>
        <w:gridCol w:w="769"/>
      </w:tblGrid>
      <w:tr w:rsidR="00C36A5A" w:rsidRPr="0083523B" w14:paraId="1B40B367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BFB5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B4E46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AB202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responder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FE59C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C6213F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nonresponder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F6497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6C994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C36A5A" w:rsidRPr="0083523B" w14:paraId="36ABB2B0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2F26E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Total number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F4240A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176F5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 (33%)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17696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332D2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 (67%)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57BC0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D565B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5CA6ECFB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2CCE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Baseline characteristics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C6269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48268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FB788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B2783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7920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ABED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71326648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E349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Age at the time of surgery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49C24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(years)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36BA4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43 [30,52]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57EF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350B5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49 [40,59]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1169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CA71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</w:tr>
      <w:tr w:rsidR="00C36A5A" w:rsidRPr="0083523B" w14:paraId="103C5DDF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C4F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29497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(female, 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B376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5 (55%)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A30E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113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 (44%)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C216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A813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</w:tr>
      <w:tr w:rsidR="00C36A5A" w:rsidRPr="0083523B" w14:paraId="7C34EC1A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F8A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Basal GH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4BA78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500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12 [10,14]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6075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A82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24 [5.0,40]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3398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F9B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</w:tr>
      <w:tr w:rsidR="00C36A5A" w:rsidRPr="0083523B" w14:paraId="5079FB19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A01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IGF-1 SDS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3D1D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163F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+6.0 [+5.6,+6.4]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535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B06E0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+7.1 [+4.9,+7.7]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3B56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2740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</w:tr>
      <w:tr w:rsidR="00C36A5A" w:rsidRPr="0083523B" w14:paraId="5BFF2035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A2BDA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PRL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52AC1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A2163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13 [9.0, 24]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3B774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CA2B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10 [7.4,15]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DADC8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4A508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</w:tr>
      <w:tr w:rsidR="00C36A5A" w:rsidRPr="0083523B" w14:paraId="7B8F4D5F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8365B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Dynamic endocrinological test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152B3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E929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A848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BB2A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8232C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38C6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55A76AFE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827A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Bromocriptine suppression test,  positive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178A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4F0F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7 (100%)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DC3F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2F10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5 (45%)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4A85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66D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</w:tr>
      <w:tr w:rsidR="00C36A5A" w:rsidRPr="0083523B" w14:paraId="5C76106F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070E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Bromocriptine suppression test, suppression rate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86964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01DD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86.0 [69.6,89.8]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569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3C3D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39.7 [20.6,73.2]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C7C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337F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</w:tr>
      <w:tr w:rsidR="00C36A5A" w:rsidRPr="0083523B" w14:paraId="23048A52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61642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Bromocriptine suppression test, nadir time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4B8F8D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(hours)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CEB8D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6 [5,6]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96C94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B5991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6 [3,6]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BDF1F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F7C9C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</w:tr>
      <w:tr w:rsidR="00C36A5A" w:rsidRPr="0083523B" w14:paraId="48ED6661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B3A0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Pituitary MRI findings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D7734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2F83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9DEB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16F1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08F9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073F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35EB680C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720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Macroadenoma &gt;10mm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D3C4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D7A2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8 (88%)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423A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9BD3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 (100%)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1BA4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5153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</w:tr>
      <w:tr w:rsidR="00C36A5A" w:rsidRPr="0083523B" w14:paraId="1E1D335C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36D7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Maximum tumor diameter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AD7E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(mm)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9703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19.5 [13.5,23.8]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189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F61A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20.4 [16.3,27.9]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D12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B9A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</w:tr>
      <w:tr w:rsidR="00C36A5A" w:rsidRPr="0083523B" w14:paraId="5CD92594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820A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grade, invasion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A2E91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9407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2 (22%)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B4CF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4152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 (27%)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CD51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764F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&gt;0.99</w:t>
            </w:r>
          </w:p>
        </w:tc>
      </w:tr>
      <w:tr w:rsidR="00C36A5A" w:rsidRPr="0083523B" w14:paraId="4774D1CB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3946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 [0/1/2/3/4]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113F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9230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[3/2/2/0/2]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0E9D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8403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[2/9/2/4/1]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46A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7A29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</w:tr>
      <w:tr w:rsidR="00C36A5A" w:rsidRPr="0083523B" w14:paraId="1C390791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A1444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MRI T2WI hypointensity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C4D7A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91A0D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7  (77%)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D4586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4F803D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 (50%)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F79FC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B9FD5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</w:tr>
      <w:tr w:rsidR="00C36A5A" w:rsidRPr="0083523B" w14:paraId="1235C6AF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FD0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Histological findings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F981E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B79CF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CDBE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D27B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9D93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0151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09356B87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3EB4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Granulated pattern, densely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71754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6E55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5 (55%)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9A70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AE1F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12 (66%)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CD68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E7E7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</w:tr>
      <w:tr w:rsidR="00C36A5A" w:rsidRPr="0083523B" w14:paraId="4746513D" w14:textId="77777777" w:rsidTr="00432E5A">
        <w:trPr>
          <w:trHeight w:val="340"/>
        </w:trPr>
        <w:tc>
          <w:tcPr>
            <w:tcW w:w="188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16ACF8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SSTR2 [0/1/2/3]</w:t>
            </w:r>
          </w:p>
        </w:tc>
        <w:tc>
          <w:tcPr>
            <w:tcW w:w="63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9A8D57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D13465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[0/1/1/7]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277E9CA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F4D523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[1/0/7/10]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458F39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3866E68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</w:tr>
      <w:tr w:rsidR="00C36A5A" w:rsidRPr="0083523B" w14:paraId="220DAF10" w14:textId="77777777" w:rsidTr="00432E5A">
        <w:trPr>
          <w:trHeight w:val="360"/>
        </w:trPr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7799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SSTR5 [0/1/2/3]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F1377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E938A0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[0/0/7/2]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2E4A0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A208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[4/4/8/2]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F4AF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8BB0E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</w:tr>
    </w:tbl>
    <w:p w14:paraId="0201AE17" w14:textId="77777777" w:rsidR="00C36A5A" w:rsidRPr="0083523B" w:rsidRDefault="00C36A5A" w:rsidP="00C36A5A">
      <w:pPr>
        <w:rPr>
          <w:rFonts w:ascii="Times New Roman" w:hAnsi="Times New Roman" w:cs="Times New Roman"/>
          <w:sz w:val="20"/>
          <w:szCs w:val="20"/>
        </w:rPr>
      </w:pPr>
      <w:r w:rsidRPr="0083523B">
        <w:rPr>
          <w:rFonts w:ascii="Times New Roman" w:hAnsi="Times New Roman" w:cs="Times New Roman"/>
          <w:sz w:val="20"/>
          <w:szCs w:val="20"/>
        </w:rPr>
        <w:br w:type="page"/>
      </w:r>
      <w:r w:rsidRPr="0083523B">
        <w:rPr>
          <w:rFonts w:ascii="Times New Roman" w:eastAsia="Yu Gothic" w:hAnsi="Times New Roman" w:cs="Times New Roman"/>
          <w:b/>
          <w:bCs/>
          <w:color w:val="000000"/>
          <w:kern w:val="0"/>
          <w:sz w:val="20"/>
          <w:szCs w:val="20"/>
        </w:rPr>
        <w:lastRenderedPageBreak/>
        <w:t>(c) Pasireotide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4"/>
        <w:gridCol w:w="1283"/>
        <w:gridCol w:w="1536"/>
        <w:gridCol w:w="545"/>
        <w:gridCol w:w="1594"/>
        <w:gridCol w:w="545"/>
        <w:gridCol w:w="1139"/>
      </w:tblGrid>
      <w:tr w:rsidR="00C36A5A" w:rsidRPr="0083523B" w14:paraId="1B757DF6" w14:textId="77777777" w:rsidTr="00432E5A">
        <w:trPr>
          <w:trHeight w:val="360"/>
        </w:trPr>
        <w:tc>
          <w:tcPr>
            <w:tcW w:w="132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80617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27625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F504E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responder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CA6657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C4EFA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nonresponder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2A773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B5C0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C36A5A" w:rsidRPr="0083523B" w14:paraId="44E54695" w14:textId="77777777" w:rsidTr="00432E5A">
        <w:trPr>
          <w:trHeight w:val="360"/>
        </w:trPr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6E19E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Total number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E4EDC9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85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338A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 (40%)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21F3A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8E21D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 (59%)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B527D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C580A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295D9023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199A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Baseline characteristics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02EC6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F47F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9512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B57B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15F8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97EA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7A7609CF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47A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Age at the time of surgery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CFA09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(years)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0E45E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46.0 [30.0,51.0]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5AD5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879A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49.5 [42.2,60.5]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F4C8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1A4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</w:tr>
      <w:tr w:rsidR="00C36A5A" w:rsidRPr="0083523B" w14:paraId="6FB4B3ED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447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0D4F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(female, %)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6556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6 (54%)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6679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107A3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7 (43%)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ED4C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4B01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</w:tr>
      <w:tr w:rsidR="00C36A5A" w:rsidRPr="0083523B" w14:paraId="77C05E0C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78D4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Basal GH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2975B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665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13.1 [9.03,39.0]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4C24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ABA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15.4 [4.26,32.33]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F16B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07D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</w:tr>
      <w:tr w:rsidR="00C36A5A" w:rsidRPr="0083523B" w14:paraId="7B6BDCD8" w14:textId="77777777" w:rsidTr="00432E5A">
        <w:trPr>
          <w:trHeight w:val="360"/>
        </w:trPr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4E80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IGF-1 SDS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A50DC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0DA970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+6.2 [+5.5,+7.9]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29FEF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27E675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+6.5 [+5.3,+7.4]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C0F95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2A221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</w:tr>
      <w:tr w:rsidR="00C36A5A" w:rsidRPr="0083523B" w14:paraId="36A16293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445A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Pituitary MRI findings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0E2D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A735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6F33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E854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C33B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8A01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2272D692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764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Macroadenoma &gt;10mm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A13BB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3C9C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 (100%)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0666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57F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15 (93%)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559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E71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&gt;0.99</w:t>
            </w:r>
          </w:p>
        </w:tc>
      </w:tr>
      <w:tr w:rsidR="00C36A5A" w:rsidRPr="0083523B" w14:paraId="158C014D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E57C3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Maximum tumor diameter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99A93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(mm)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BEDC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18.1 [13.9,23.0]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E65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3AC71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21.0 [16.4,30.6]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B547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959B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</w:tr>
      <w:tr w:rsidR="00C36A5A" w:rsidRPr="0083523B" w14:paraId="72BBCF51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A9D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grade, invasion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B1960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2906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2 (18%)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7D15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83600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5 (31%)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8E0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11E8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</w:tr>
      <w:tr w:rsidR="00C36A5A" w:rsidRPr="0083523B" w14:paraId="265870D7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D46D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Knosp grade [0/1/2/3/4]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2AB7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8275B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[3/5/1/1/1]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99F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14C4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[2/6/3/3/2]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83EC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DED6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</w:tr>
      <w:tr w:rsidR="00C36A5A" w:rsidRPr="0083523B" w14:paraId="4E8F54A8" w14:textId="77777777" w:rsidTr="00432E5A">
        <w:trPr>
          <w:trHeight w:val="360"/>
        </w:trPr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DB06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MRI T2WI hypointensity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9590DA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E2B377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7 (63%)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0BC5E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B3271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9 (56%)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D1A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C884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&gt;0.99</w:t>
            </w:r>
          </w:p>
        </w:tc>
      </w:tr>
      <w:tr w:rsidR="00C36A5A" w:rsidRPr="0083523B" w14:paraId="56692397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F8FAA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Histological findings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75668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AB21F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FF6A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A71327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6A3E0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980A5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36A5A" w:rsidRPr="0083523B" w14:paraId="320F7623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3631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Granulated pattern, sparsely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6C393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(cases, %)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CD12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7 (64%)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D103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F92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3 (19%)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5D2F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E8C0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</w:tr>
      <w:tr w:rsidR="00C36A5A" w:rsidRPr="0083523B" w14:paraId="1DF5400B" w14:textId="77777777" w:rsidTr="00432E5A">
        <w:trPr>
          <w:trHeight w:val="340"/>
        </w:trPr>
        <w:tc>
          <w:tcPr>
            <w:tcW w:w="132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633E506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SSTR2 [0/1/2/3]</w:t>
            </w:r>
          </w:p>
        </w:tc>
        <w:tc>
          <w:tcPr>
            <w:tcW w:w="71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FE5D585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5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F3D2DF4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[0/0/3/8]</w:t>
            </w: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918ACE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2AEDE49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[1/1/5/9]</w:t>
            </w: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0992565D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E07D7F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</w:tr>
      <w:tr w:rsidR="00C36A5A" w:rsidRPr="0083523B" w14:paraId="4A9725F4" w14:textId="77777777" w:rsidTr="00432E5A">
        <w:trPr>
          <w:trHeight w:val="360"/>
        </w:trPr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6B352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SSTR5 [0/1/2/3]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A3C02" w14:textId="77777777" w:rsidR="00C36A5A" w:rsidRPr="0083523B" w:rsidRDefault="00C36A5A" w:rsidP="00432E5A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(cases)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D1628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[1/2/6/2]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7D8EC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987CA" w14:textId="77777777" w:rsidR="00C36A5A" w:rsidRPr="0083523B" w:rsidRDefault="00C36A5A" w:rsidP="00432E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 xml:space="preserve"> [3/2/9/2]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5B10BE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E4A59" w14:textId="77777777" w:rsidR="00C36A5A" w:rsidRPr="0083523B" w:rsidRDefault="00C36A5A" w:rsidP="00432E5A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83523B"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</w:tr>
    </w:tbl>
    <w:p w14:paraId="2397D184" w14:textId="77777777" w:rsidR="00C36A5A" w:rsidRPr="00A61E81" w:rsidRDefault="00C36A5A" w:rsidP="00C36A5A">
      <w:pPr>
        <w:rPr>
          <w:rFonts w:ascii="Times New Roman" w:hAnsi="Times New Roman" w:cs="Times New Roman"/>
          <w:sz w:val="20"/>
          <w:szCs w:val="20"/>
        </w:rPr>
      </w:pPr>
    </w:p>
    <w:p w14:paraId="124D808F" w14:textId="77777777" w:rsidR="00C36A5A" w:rsidRPr="00180C53" w:rsidRDefault="00C36A5A" w:rsidP="00C36A5A">
      <w:pPr>
        <w:widowControl/>
        <w:spacing w:line="480" w:lineRule="auto"/>
        <w:jc w:val="left"/>
        <w:rPr>
          <w:rFonts w:ascii="Times New Roman" w:eastAsia="MS PGothic" w:hAnsi="Times New Roman" w:cs="Times New Roman"/>
          <w:color w:val="000000" w:themeColor="text1"/>
          <w:kern w:val="0"/>
          <w:sz w:val="20"/>
          <w:szCs w:val="20"/>
        </w:rPr>
      </w:pPr>
      <w:r w:rsidRPr="00180C53">
        <w:rPr>
          <w:rFonts w:ascii="Times New Roman" w:eastAsia="MS PGothic" w:hAnsi="Times New Roman" w:cs="Times New Roman"/>
          <w:color w:val="000000" w:themeColor="text1"/>
          <w:kern w:val="0"/>
          <w:sz w:val="20"/>
          <w:szCs w:val="20"/>
        </w:rPr>
        <w:t>Data are presented as numbers (%) or medians [25th–75th percentiles]. Comparisons between groups were performed using the Mann-Whitney U test for continuous and ordinal variables and Fisher’s exact test for categorical variables.</w:t>
      </w:r>
    </w:p>
    <w:p w14:paraId="4249ABFD" w14:textId="77777777" w:rsidR="00C36A5A" w:rsidRPr="00180C53" w:rsidRDefault="00C36A5A" w:rsidP="00C36A5A">
      <w:pPr>
        <w:widowControl/>
        <w:spacing w:line="480" w:lineRule="auto"/>
        <w:jc w:val="left"/>
        <w:rPr>
          <w:rFonts w:ascii="Times New Roman" w:eastAsia="MS PGothic" w:hAnsi="Times New Roman" w:cs="Times New Roman"/>
          <w:color w:val="000000" w:themeColor="text1"/>
          <w:kern w:val="0"/>
          <w:sz w:val="20"/>
          <w:szCs w:val="20"/>
        </w:rPr>
      </w:pPr>
      <w:r w:rsidRPr="00180C53">
        <w:rPr>
          <w:rFonts w:ascii="Times New Roman" w:eastAsia="MS PGothic" w:hAnsi="Times New Roman" w:cs="Times New Roman"/>
          <w:color w:val="000000" w:themeColor="text1"/>
          <w:kern w:val="0"/>
          <w:sz w:val="20"/>
          <w:szCs w:val="20"/>
        </w:rPr>
        <w:t>Abbreviations: GH, growth hormone; IGF-1, insulin-like growth factor-1; SDS, standard deviation score; MRI, magnetic resonance imaging; T2WI, SSTR, somatostatin receptor.</w:t>
      </w:r>
    </w:p>
    <w:p w14:paraId="4537F49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5A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C36A5A"/>
    <w:rsid w:val="00D400CB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177D"/>
  <w15:chartTrackingRefBased/>
  <w15:docId w15:val="{47096F0F-A570-452A-810C-C95BB48A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5A"/>
    <w:pPr>
      <w:widowControl w:val="0"/>
      <w:spacing w:after="0" w:line="240" w:lineRule="auto"/>
      <w:jc w:val="both"/>
    </w:pPr>
    <w:rPr>
      <w:rFonts w:eastAsiaTheme="minorEastAsia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A5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5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A5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A5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A5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A5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A5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A5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A5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A5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A5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A5A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6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A5A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6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A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2026-04-29T12:06:00Z</dcterms:created>
  <dcterms:modified xsi:type="dcterms:W3CDTF">2026-04-29T12:08:00Z</dcterms:modified>
</cp:coreProperties>
</file>