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BA6D9" w14:textId="77777777" w:rsidR="00FF5114" w:rsidRPr="00604D09" w:rsidRDefault="00FF5114" w:rsidP="00FF5114">
      <w:pPr>
        <w:widowControl/>
        <w:spacing w:after="240" w:line="480" w:lineRule="auto"/>
        <w:jc w:val="left"/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604D09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Online Resource </w:t>
      </w:r>
      <w:r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>1</w:t>
      </w:r>
      <w:r w:rsidRPr="00180C53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Representative image of Pd3D spheroids captured at the end of culture (day 7).</w:t>
      </w:r>
      <w:r w:rsidRPr="00180C53"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br/>
      </w:r>
      <w:r>
        <w:rPr>
          <w:rFonts w:ascii="Times New Roman" w:eastAsia="MS PGothic" w:hAnsi="Times New Roman" w:cs="Times New Roman"/>
          <w:b/>
          <w:bCs/>
          <w:noProof/>
          <w:color w:val="000000" w:themeColor="text1"/>
          <w:kern w:val="0"/>
          <w:sz w:val="20"/>
          <w:szCs w:val="20"/>
        </w:rPr>
        <w:drawing>
          <wp:inline distT="0" distB="0" distL="0" distR="0" wp14:anchorId="52A993D1" wp14:editId="4E9890F7">
            <wp:extent cx="5612130" cy="3156585"/>
            <wp:effectExtent l="0" t="0" r="1270" b="5715"/>
            <wp:docPr id="52980101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01017" name="図 5298010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C76CC" w14:textId="77777777" w:rsidR="00FF5114" w:rsidRDefault="00FF5114" w:rsidP="00FF5114">
      <w:pPr>
        <w:widowControl/>
        <w:spacing w:line="480" w:lineRule="auto"/>
        <w:jc w:val="left"/>
      </w:pPr>
      <w:r w:rsidRPr="00604D09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>Online Resource</w:t>
      </w:r>
      <w:r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2</w:t>
      </w:r>
      <w:r w:rsidRPr="00180C53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Representative images of SSTR2 immunocytochemistry and corresponding digital analysis markup.</w:t>
      </w:r>
    </w:p>
    <w:p w14:paraId="56965124" w14:textId="77777777" w:rsidR="00FF5114" w:rsidRPr="00A469BC" w:rsidRDefault="00FF5114" w:rsidP="00FF5114">
      <w:pPr>
        <w:widowControl/>
        <w:spacing w:line="480" w:lineRule="auto"/>
        <w:jc w:val="left"/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</w:pPr>
      <w:r>
        <w:rPr>
          <w:rFonts w:ascii="Times New Roman" w:eastAsia="MS PGothic" w:hAnsi="Times New Roman" w:cs="Times New Roman"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4DFE3DFA" wp14:editId="2D9C8F64">
            <wp:extent cx="5612130" cy="3132455"/>
            <wp:effectExtent l="0" t="0" r="1270" b="4445"/>
            <wp:docPr id="111433450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34508" name="図 11143345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69BC"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>a.</w:t>
      </w:r>
      <w:r w:rsidRPr="00180C53"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 xml:space="preserve"> Original immunocytochemical staining of an LBC specimen derived from Pd3D spheroids.</w:t>
      </w:r>
    </w:p>
    <w:p w14:paraId="5FB3BFFF" w14:textId="77777777" w:rsidR="00FF5114" w:rsidRPr="00180C53" w:rsidRDefault="00FF5114" w:rsidP="00FF5114">
      <w:pPr>
        <w:widowControl/>
        <w:spacing w:line="480" w:lineRule="auto"/>
        <w:jc w:val="left"/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</w:pPr>
      <w:r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>b.</w:t>
      </w:r>
      <w:r w:rsidRPr="00180C53"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 xml:space="preserve"> Digital analysis markup of the same field. Cells are detected and color-coded based on DAB staining intensity (blue: negative, yellow: 1+, orange: 2+, and red: 3+) for automated H-score calculation.</w:t>
      </w:r>
    </w:p>
    <w:p w14:paraId="0DD98563" w14:textId="77777777" w:rsidR="00FF5114" w:rsidRPr="00A469BC" w:rsidRDefault="00FF5114" w:rsidP="00FF5114">
      <w:pPr>
        <w:widowControl/>
        <w:spacing w:line="480" w:lineRule="auto"/>
        <w:jc w:val="left"/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</w:pPr>
    </w:p>
    <w:p w14:paraId="6CDEE215" w14:textId="77777777" w:rsidR="00FF5114" w:rsidRDefault="00FF5114" w:rsidP="00FF5114">
      <w:pPr>
        <w:widowControl/>
        <w:spacing w:after="240" w:line="480" w:lineRule="auto"/>
        <w:jc w:val="left"/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</w:pPr>
      <w:r w:rsidRPr="00604D09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>Online Resource</w:t>
      </w:r>
      <w:r w:rsidRPr="00180C53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</w:t>
      </w:r>
      <w:r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>3</w:t>
      </w:r>
      <w:r w:rsidRPr="00180C53"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t xml:space="preserve"> The viability of control cultures over the experimental period.</w:t>
      </w:r>
    </w:p>
    <w:p w14:paraId="3D942588" w14:textId="77777777" w:rsidR="00FF5114" w:rsidRPr="00604D09" w:rsidRDefault="00FF5114" w:rsidP="00FF5114">
      <w:pPr>
        <w:widowControl/>
        <w:spacing w:after="240" w:line="480" w:lineRule="auto"/>
        <w:jc w:val="left"/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</w:pPr>
      <w:r>
        <w:rPr>
          <w:rFonts w:ascii="Times New Roman" w:eastAsia="MS PGothic" w:hAnsi="Times New Roman" w:cs="Times New Roman"/>
          <w:b/>
          <w:bCs/>
          <w:noProof/>
          <w:color w:val="000000" w:themeColor="text1"/>
          <w:kern w:val="0"/>
          <w:sz w:val="20"/>
          <w:szCs w:val="20"/>
        </w:rPr>
        <w:lastRenderedPageBreak/>
        <w:drawing>
          <wp:inline distT="0" distB="0" distL="0" distR="0" wp14:anchorId="6A35B48F" wp14:editId="295CCBDC">
            <wp:extent cx="5612130" cy="3156585"/>
            <wp:effectExtent l="0" t="0" r="1270" b="5715"/>
            <wp:docPr id="46941218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12185" name="図 46941218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MS PGothic" w:hAnsi="Times New Roman" w:cs="Times New Roman"/>
          <w:b/>
          <w:bCs/>
          <w:color w:val="000000" w:themeColor="text1"/>
          <w:kern w:val="0"/>
          <w:sz w:val="20"/>
          <w:szCs w:val="20"/>
        </w:rPr>
        <w:br/>
      </w:r>
      <w:r w:rsidRPr="00180C53"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  <w:t>Cell viability of control cultures was tracked from baseline to the experimental endpoint. All 27 samples maintained robust viability throughout the culture duration. Data are presented as mean ± SE.</w:t>
      </w:r>
    </w:p>
    <w:p w14:paraId="7770AD71" w14:textId="77777777" w:rsidR="00FF5114" w:rsidRPr="00604D09" w:rsidRDefault="00FF5114" w:rsidP="00FF5114">
      <w:pPr>
        <w:widowControl/>
        <w:spacing w:after="240" w:line="480" w:lineRule="auto"/>
        <w:jc w:val="left"/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</w:pPr>
    </w:p>
    <w:p w14:paraId="38BABC7D" w14:textId="77777777" w:rsidR="00FF5114" w:rsidRPr="00DB362E" w:rsidRDefault="00FF5114" w:rsidP="00FF5114">
      <w:pPr>
        <w:widowControl/>
        <w:tabs>
          <w:tab w:val="left" w:pos="400"/>
        </w:tabs>
        <w:spacing w:before="220" w:after="200"/>
        <w:ind w:left="400" w:hanging="400"/>
        <w:jc w:val="left"/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</w:pPr>
    </w:p>
    <w:p w14:paraId="6EDDEBBD" w14:textId="77777777" w:rsidR="00FF5114" w:rsidRPr="00180C53" w:rsidRDefault="00FF5114" w:rsidP="00FF5114">
      <w:pPr>
        <w:widowControl/>
        <w:spacing w:after="220" w:line="480" w:lineRule="auto"/>
        <w:ind w:hanging="440"/>
        <w:jc w:val="left"/>
        <w:rPr>
          <w:rFonts w:ascii="Times New Roman" w:eastAsia="MS PGothic" w:hAnsi="Times New Roman" w:cs="Times New Roman"/>
          <w:color w:val="000000" w:themeColor="text1"/>
          <w:kern w:val="0"/>
          <w:sz w:val="20"/>
          <w:szCs w:val="20"/>
        </w:rPr>
      </w:pPr>
    </w:p>
    <w:p w14:paraId="28025081" w14:textId="77777777" w:rsidR="00E023F9" w:rsidRDefault="00E023F9"/>
    <w:sectPr w:rsidR="00E023F9" w:rsidSect="00FF5114">
      <w:pgSz w:w="12240" w:h="15840"/>
      <w:pgMar w:top="1985" w:right="1701" w:bottom="1701" w:left="1701" w:header="720" w:footer="720" w:gutter="0"/>
      <w:lnNumType w:countBy="1" w:restart="continuous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114"/>
    <w:rsid w:val="000C4033"/>
    <w:rsid w:val="00173ED8"/>
    <w:rsid w:val="004B42CB"/>
    <w:rsid w:val="005F2B46"/>
    <w:rsid w:val="006E1731"/>
    <w:rsid w:val="00866D74"/>
    <w:rsid w:val="00882A73"/>
    <w:rsid w:val="00B260B7"/>
    <w:rsid w:val="00B85331"/>
    <w:rsid w:val="00D400CB"/>
    <w:rsid w:val="00E023F9"/>
    <w:rsid w:val="00FF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15082"/>
  <w15:chartTrackingRefBased/>
  <w15:docId w15:val="{F4404CB3-FC1A-4867-9E1F-09A7F7D0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114"/>
    <w:pPr>
      <w:widowControl w:val="0"/>
      <w:spacing w:after="0" w:line="240" w:lineRule="auto"/>
      <w:jc w:val="both"/>
    </w:pPr>
    <w:rPr>
      <w:rFonts w:eastAsiaTheme="minorEastAsia"/>
      <w:sz w:val="21"/>
      <w:lang w:val="en-US"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5114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114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114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114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lang w:val="en-IN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114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lang w:val="en-IN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114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lang w:val="en-IN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114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lang w:val="en-IN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114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lang w:val="en-IN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114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lang w:val="en-IN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1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51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1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1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1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1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1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1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1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114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F51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114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F51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114"/>
    <w:pPr>
      <w:widowControl/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sz w:val="24"/>
      <w:lang w:val="en-IN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F51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114"/>
    <w:pPr>
      <w:widowControl/>
      <w:spacing w:after="160" w:line="278" w:lineRule="auto"/>
      <w:ind w:left="720"/>
      <w:contextualSpacing/>
      <w:jc w:val="left"/>
    </w:pPr>
    <w:rPr>
      <w:rFonts w:eastAsiaTheme="minorHAnsi"/>
      <w:sz w:val="24"/>
      <w:lang w:val="en-IN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F51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114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sz w:val="24"/>
      <w:lang w:val="en-IN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1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114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FF5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Trupti Sudge</dc:creator>
  <cp:keywords/>
  <dc:description/>
  <cp:lastModifiedBy>Trupti Sudge</cp:lastModifiedBy>
  <cp:revision>1</cp:revision>
  <dcterms:created xsi:type="dcterms:W3CDTF">2026-04-29T12:14:00Z</dcterms:created>
  <dcterms:modified xsi:type="dcterms:W3CDTF">2026-04-29T12:24:00Z</dcterms:modified>
</cp:coreProperties>
</file>