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99C31">
      <w:pPr>
        <w:spacing w:after="120"/>
        <w:jc w:val="center"/>
        <w:rPr>
          <w:rFonts w:hint="default" w:ascii="Times New Roman" w:hAnsi="Times New Roman" w:cs="Times New Roman"/>
        </w:rPr>
      </w:pPr>
      <w:bookmarkStart w:id="13" w:name="_GoBack"/>
      <w:bookmarkEnd w:id="13"/>
      <w:r>
        <w:rPr>
          <w:rFonts w:hint="default" w:ascii="Times New Roman" w:hAnsi="Times New Roman" w:eastAsia="Arial" w:cs="Times New Roman"/>
          <w:b/>
          <w:bCs/>
          <w:sz w:val="32"/>
          <w:szCs w:val="32"/>
        </w:rPr>
        <w:t>Supplementary Materials</w:t>
      </w:r>
    </w:p>
    <w:p w14:paraId="3765BD97">
      <w:pPr>
        <w:spacing w:after="36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Arial" w:cs="Times New Roman"/>
          <w:i/>
          <w:iCs/>
          <w:sz w:val="24"/>
          <w:szCs w:val="24"/>
        </w:rPr>
        <w:t>BARNN-CogPredict: A Bayesian Ensemble Machine Learning Framework for Predicting Cognitive Impairment Risk in Chinese Older Adults with Depression</w:t>
      </w:r>
      <w:bookmarkStart w:id="0" w:name="_Toc10474"/>
    </w:p>
    <w:p w14:paraId="600CDF31">
      <w:pPr>
        <w:pStyle w:val="2"/>
        <w:spacing w:before="240" w:after="18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Arial" w:cs="Times New Roman"/>
          <w:b/>
          <w:bCs/>
          <w:sz w:val="28"/>
          <w:szCs w:val="28"/>
        </w:rPr>
        <w:t>Table S1. Sample Distribution Across Survey Waves (2011-2020)</w:t>
      </w:r>
      <w:bookmarkEnd w:id="0"/>
    </w:p>
    <w:tbl>
      <w:tblPr>
        <w:tblStyle w:val="14"/>
        <w:tblW w:w="9360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78"/>
        <w:gridCol w:w="1449"/>
        <w:gridCol w:w="2078"/>
        <w:gridCol w:w="1144"/>
        <w:gridCol w:w="962"/>
        <w:gridCol w:w="1407"/>
        <w:gridCol w:w="1242"/>
      </w:tblGrid>
      <w:tr w14:paraId="65B6375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079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6CEF0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 xml:space="preserve">Wave </w:t>
            </w:r>
          </w:p>
          <w:p w14:paraId="5AB1D60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(Year)</w:t>
            </w:r>
          </w:p>
        </w:tc>
        <w:tc>
          <w:tcPr>
            <w:tcW w:w="1449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139EB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Observations</w:t>
            </w:r>
          </w:p>
        </w:tc>
        <w:tc>
          <w:tcPr>
            <w:tcW w:w="2078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B334F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Unique Participants</w:t>
            </w:r>
          </w:p>
        </w:tc>
        <w:tc>
          <w:tcPr>
            <w:tcW w:w="1144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8FDDB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Mean Age</w:t>
            </w:r>
          </w:p>
        </w:tc>
        <w:tc>
          <w:tcPr>
            <w:tcW w:w="962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6775D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 xml:space="preserve">CI Rate </w:t>
            </w:r>
          </w:p>
          <w:p w14:paraId="0647B6E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407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AC5DC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 xml:space="preserve">Depression </w:t>
            </w:r>
          </w:p>
          <w:p w14:paraId="071CDCB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242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F112E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 xml:space="preserve">CESD-10 </w:t>
            </w:r>
          </w:p>
          <w:p w14:paraId="47788CC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(mean)</w:t>
            </w:r>
          </w:p>
        </w:tc>
      </w:tr>
      <w:tr w14:paraId="6267CD2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9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237F5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Wave 1 (2011)</w:t>
            </w:r>
          </w:p>
        </w:tc>
        <w:tc>
          <w:tcPr>
            <w:tcW w:w="1449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B1F8F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5,172</w:t>
            </w:r>
          </w:p>
        </w:tc>
        <w:tc>
          <w:tcPr>
            <w:tcW w:w="2078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BEBFB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5,172</w:t>
            </w:r>
          </w:p>
        </w:tc>
        <w:tc>
          <w:tcPr>
            <w:tcW w:w="1144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92854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67.4</w:t>
            </w:r>
          </w:p>
        </w:tc>
        <w:tc>
          <w:tcPr>
            <w:tcW w:w="962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94AED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31.5</w:t>
            </w:r>
          </w:p>
        </w:tc>
        <w:tc>
          <w:tcPr>
            <w:tcW w:w="1407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18507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37.4</w:t>
            </w:r>
          </w:p>
        </w:tc>
        <w:tc>
          <w:tcPr>
            <w:tcW w:w="1242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A4E9A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8.5</w:t>
            </w:r>
          </w:p>
        </w:tc>
      </w:tr>
      <w:tr w14:paraId="23F3E69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CC6D9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Wave 2 (2013)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B98D9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6,155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F2A7B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6,155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6FD54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67.3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2C5F9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30.8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75D3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31.1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A6A73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7.8</w:t>
            </w:r>
          </w:p>
        </w:tc>
      </w:tr>
      <w:tr w14:paraId="5715F43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BF172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Wave 3 (2015)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084BA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7,563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8B6B3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7,563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843D1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67.6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54870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33.5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CFBF0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33.4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D19F1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8.0</w:t>
            </w:r>
          </w:p>
        </w:tc>
      </w:tr>
      <w:tr w14:paraId="4B3F0C0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78282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Wave 4 (2018)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69DA8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5,957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A3688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5,957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54978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67.9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EE907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28.6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1E1EB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33.6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7F193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7.9</w:t>
            </w:r>
          </w:p>
        </w:tc>
      </w:tr>
      <w:tr w14:paraId="3309A83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E7978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Wave 5 (2020)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AA2AC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6,723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8B9F8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6,723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B7B7F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68.5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28420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22.6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F4842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36.3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3FE01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8.4</w:t>
            </w:r>
          </w:p>
        </w:tc>
      </w:tr>
      <w:tr w14:paraId="57B6470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9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2A815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Total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7DB52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31,570</w:t>
            </w:r>
          </w:p>
        </w:tc>
        <w:tc>
          <w:tcPr>
            <w:tcW w:w="2078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1D499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12,494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91A0A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67.8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DAC6C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29.4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0A5F7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34.2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5A556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8.1</w:t>
            </w:r>
          </w:p>
        </w:tc>
      </w:tr>
    </w:tbl>
    <w:p w14:paraId="072668FB">
      <w:pPr>
        <w:spacing w:before="60" w:after="200" w:line="280" w:lineRule="auto"/>
        <w:rPr>
          <w:rFonts w:ascii="Arial" w:hAnsi="Arial" w:eastAsia="Arial" w:cs="Arial"/>
          <w:i/>
          <w:iCs/>
          <w:color w:val="404040"/>
          <w:sz w:val="20"/>
          <w:szCs w:val="20"/>
        </w:rPr>
      </w:pPr>
      <w:r>
        <w:rPr>
          <w:rFonts w:ascii="Arial" w:hAnsi="Arial" w:eastAsia="Arial" w:cs="Arial"/>
          <w:i/>
          <w:iCs/>
          <w:color w:val="404040"/>
          <w:sz w:val="20"/>
          <w:szCs w:val="20"/>
        </w:rPr>
        <w:t>Note: CI = cognitive impairment; CESD-10 = 10-item Center for Epidemiologic Studies Depression Scale. The "Unique Participants" column represents the number of distinct individuals contributing observations in each wave. Depression is defined as a CESD-10 score ≥ 10. The total count of 12,494 unique participants is smaller than the sum of wave-specific counts because many individuals contributed observations across multiple waves. All values have been re-verified against the CHARLS analytic dataset.</w:t>
      </w:r>
      <w:bookmarkStart w:id="1" w:name="_Toc8847"/>
    </w:p>
    <w:p w14:paraId="47EB02EF">
      <w:pPr>
        <w:pStyle w:val="9"/>
        <w:bidi w:val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Table S2. Complete Feature Description (45 Variables)</w:t>
      </w:r>
      <w:bookmarkEnd w:id="1"/>
    </w:p>
    <w:tbl>
      <w:tblPr>
        <w:tblStyle w:val="14"/>
        <w:tblW w:w="9360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510"/>
        <w:gridCol w:w="2722"/>
        <w:gridCol w:w="1187"/>
        <w:gridCol w:w="1888"/>
        <w:gridCol w:w="1053"/>
      </w:tblGrid>
      <w:tr w14:paraId="1AF878D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510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63F06B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723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B2251F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187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CF5E09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1888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3D5573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Domain</w:t>
            </w:r>
          </w:p>
        </w:tc>
        <w:tc>
          <w:tcPr>
            <w:tcW w:w="1053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B1DB69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Missing</w:t>
            </w:r>
          </w:p>
          <w:p w14:paraId="7BC761A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(%)</w:t>
            </w:r>
          </w:p>
        </w:tc>
      </w:tr>
      <w:tr w14:paraId="349F808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A98986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age</w:t>
            </w:r>
          </w:p>
        </w:tc>
        <w:tc>
          <w:tcPr>
            <w:tcW w:w="2723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30F841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Age in years</w:t>
            </w:r>
          </w:p>
        </w:tc>
        <w:tc>
          <w:tcPr>
            <w:tcW w:w="1187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9B841A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Continuous</w:t>
            </w:r>
          </w:p>
        </w:tc>
        <w:tc>
          <w:tcPr>
            <w:tcW w:w="1888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71744D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Demographics</w:t>
            </w:r>
          </w:p>
        </w:tc>
        <w:tc>
          <w:tcPr>
            <w:tcW w:w="1053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7BC658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</w:t>
            </w:r>
          </w:p>
        </w:tc>
      </w:tr>
      <w:tr w14:paraId="5845EEA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678541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gender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62C78B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 = Female, 1 = Male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D2D3B0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Binary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7784A1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Demographics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253BB2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</w:t>
            </w:r>
          </w:p>
        </w:tc>
      </w:tr>
      <w:tr w14:paraId="2652A10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2C89DC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edu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C30343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Education level (ordinal, converted)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922861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Ordinal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D976E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Demographics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BB34EA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</w:t>
            </w:r>
          </w:p>
        </w:tc>
      </w:tr>
      <w:tr w14:paraId="77E0AF5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58B86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rural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429BC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 = Urban, 1 = Rural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E975DC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Binary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BC0CEB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Demographics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6105CA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</w:t>
            </w:r>
          </w:p>
        </w:tc>
      </w:tr>
      <w:tr w14:paraId="3B3A809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00D76D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marry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09CEC6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 = Not married, 1 = Married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9DB0F5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Binary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4E8326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Demographics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19FFF8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</w:t>
            </w:r>
          </w:p>
        </w:tc>
      </w:tr>
      <w:tr w14:paraId="7729BD2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04BE68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cesd10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99051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CESD-10 score (0-30)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FF9670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Continuous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6B9B77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Mental Health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E5943C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</w:t>
            </w:r>
          </w:p>
        </w:tc>
      </w:tr>
      <w:tr w14:paraId="72F5B99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392DA9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satlife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2F23AC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Life satisfaction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BEA31F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Ordinal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DBA075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Mental Health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E2F1E7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0.3</w:t>
            </w:r>
          </w:p>
        </w:tc>
      </w:tr>
      <w:tr w14:paraId="435AB4E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6A7766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hope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B65FDA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Hopefulness rating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CE3869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Ordinal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4C341A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Mental Health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184ACF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23.1</w:t>
            </w:r>
          </w:p>
        </w:tc>
      </w:tr>
      <w:tr w14:paraId="78B554A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0DFD92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hibpe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AFA543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Hypertension (0/1)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0C04A1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Binary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5332F7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Chronic Conditions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970719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2.3</w:t>
            </w:r>
          </w:p>
        </w:tc>
      </w:tr>
      <w:tr w14:paraId="59FCE3F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68DF45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diabe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C2FADA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Diabetes (0/1)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35D076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Binary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E29943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Chronic Conditions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C717B4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2.6</w:t>
            </w:r>
          </w:p>
        </w:tc>
      </w:tr>
      <w:tr w14:paraId="2FE2E0C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9C7B5A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hearte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740E0C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Heart disease (0/1)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45836A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Binary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2633D7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Chronic Conditions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DC079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2.3</w:t>
            </w:r>
          </w:p>
        </w:tc>
      </w:tr>
      <w:tr w14:paraId="211B995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C12474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stroke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29E3D8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Stroke history (0/1)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6FA6B9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Binary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AAC17C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Chronic Conditions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E57BDB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2.1</w:t>
            </w:r>
          </w:p>
        </w:tc>
      </w:tr>
      <w:tr w14:paraId="5388929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35FCAC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psyche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9D6218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Psychiatric disease history (0/1)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18390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Binary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6741F6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Chronic Conditions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52EC41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2.3</w:t>
            </w:r>
          </w:p>
        </w:tc>
      </w:tr>
      <w:tr w14:paraId="58FDF00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BCE057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chronic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D87B56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Chronic disease index score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E82A94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Continuous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AD4A51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Chronic Conditions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276D14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1.5</w:t>
            </w:r>
          </w:p>
        </w:tc>
      </w:tr>
      <w:tr w14:paraId="6304832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9222FD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chronic_disease_count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846F6F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Count of chronic diseases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A5F56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Count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BFBDF8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Chronic Conditions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D98E53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</w:t>
            </w:r>
          </w:p>
        </w:tc>
      </w:tr>
      <w:tr w14:paraId="4162DFB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114070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smokev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760B06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Ever smoked (0/1)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CAEDC9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Binary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ABBBBF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Health Behaviors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17A0B6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</w:t>
            </w:r>
          </w:p>
        </w:tc>
      </w:tr>
      <w:tr w14:paraId="56B1179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D30102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drinkev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7CDFA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Ever drank alcohol (0/1)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546779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Binary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875B60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Health Behaviors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FCCFB0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21.4</w:t>
            </w:r>
          </w:p>
        </w:tc>
      </w:tr>
      <w:tr w14:paraId="1A8DDBB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E983F3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exercise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3254BF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Regular exercise (0/1)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480469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Binary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58612C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Health Behaviors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C9B023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34.3</w:t>
            </w:r>
          </w:p>
        </w:tc>
      </w:tr>
      <w:tr w14:paraId="1F25E33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B4A3F4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sleep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8EDB7D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Sleep duration (hours)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475F24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Continuous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6AB3A2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Health Behaviors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DCE044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0.7</w:t>
            </w:r>
          </w:p>
        </w:tc>
      </w:tr>
      <w:tr w14:paraId="1324907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320BC0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disability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3A384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Disability status (0/1)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BE5A95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Binary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CDA18A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Functional Status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E4503B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24.2</w:t>
            </w:r>
          </w:p>
        </w:tc>
      </w:tr>
      <w:tr w14:paraId="66A110D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14920A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iadl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DE12F3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IADL impairment score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9D5DA6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Continuous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09A867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Functional Status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8EDCA7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</w:t>
            </w:r>
          </w:p>
        </w:tc>
      </w:tr>
      <w:tr w14:paraId="0FA959C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DCF0E9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fall_down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D7FCB8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History of falls (0/1)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05BEB3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Binary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2496F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Functional Status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4BE2F1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21.3</w:t>
            </w:r>
          </w:p>
        </w:tc>
      </w:tr>
      <w:tr w14:paraId="2DEC952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BFB0C8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daily_activity_score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048BA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Composite daily activity score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4B01AB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Continuous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148A57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Functional Status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968B79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</w:t>
            </w:r>
          </w:p>
        </w:tc>
      </w:tr>
      <w:tr w14:paraId="50E2623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670066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bmi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7B090D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Body mass index (kg/m²)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C746D7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Continuous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E59EF3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Physical Measurements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C0FE69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50.5</w:t>
            </w:r>
          </w:p>
        </w:tc>
      </w:tr>
      <w:tr w14:paraId="688BAA2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56C81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systo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B0F570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Systolic blood pressure (mmHg)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FD3708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Continuous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283C10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Physical Measurements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7AF048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50.6</w:t>
            </w:r>
          </w:p>
        </w:tc>
      </w:tr>
      <w:tr w14:paraId="1834FFC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433D62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diasto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9AFB96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Diastolic blood pressure (mmHg)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358480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Continuous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94EFD3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Physical Measurements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41361F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50.6</w:t>
            </w:r>
          </w:p>
        </w:tc>
      </w:tr>
      <w:tr w14:paraId="30D0BF5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78EA00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wspeed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28279C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Walking speed (m/s)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831514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Continuous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77FA16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Physical Measurements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A5FE32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52.5</w:t>
            </w:r>
          </w:p>
        </w:tc>
      </w:tr>
      <w:tr w14:paraId="16602A9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7191E6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lgrip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A4AAF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Left-hand grip strength (kg)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91CC7A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Continuous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879AC1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Physical Measurements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B6D32A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50.6</w:t>
            </w:r>
          </w:p>
        </w:tc>
      </w:tr>
      <w:tr w14:paraId="038CAD0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241965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rgrip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469358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Right-hand grip strength (kg)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C54634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Continuous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A38E0F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Physical Measurements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229730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50.6</w:t>
            </w:r>
          </w:p>
        </w:tc>
      </w:tr>
      <w:tr w14:paraId="1DF8A59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848AC0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eyesight_distance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A91E85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Distance vision rating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5AF5B9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Ordinal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D812BF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Sensory Function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DA4A3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21.4</w:t>
            </w:r>
          </w:p>
        </w:tc>
      </w:tr>
      <w:tr w14:paraId="19A11EF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162028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eyesight_close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058DAF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Near vision rating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988ADD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Ordinal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6673B4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Sensory Function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C57348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21.4</w:t>
            </w:r>
          </w:p>
        </w:tc>
      </w:tr>
      <w:tr w14:paraId="3A60AE8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FF3536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hear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6DAC30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Hearing rating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96B3AA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Ordinal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EB2F6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Sensory Function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E06640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21.4</w:t>
            </w:r>
          </w:p>
        </w:tc>
      </w:tr>
      <w:tr w14:paraId="46AF7BE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B9303D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srh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DB3915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Self-rated health (1-5)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3DFD70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Ordinal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8FF9E8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Self-rated Health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9F765A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0.1</w:t>
            </w:r>
          </w:p>
        </w:tc>
      </w:tr>
      <w:tr w14:paraId="3513CD2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1A85C0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social_engagement_score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7568ED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Composite social-engagement score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0CD1F7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Continuous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509155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Social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2CBA1F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</w:t>
            </w:r>
          </w:p>
        </w:tc>
      </w:tr>
      <w:tr w14:paraId="45E6140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573858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wave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B243C0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Survey wave (1-5)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21C6F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Ordinal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FDDCCA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Temporal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758AF5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</w:t>
            </w:r>
          </w:p>
        </w:tc>
      </w:tr>
      <w:tr w14:paraId="54C293B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93BE33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years_since_baseline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44B9F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Years elapsed since baseline visit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090BB3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Continuous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6660C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Temporal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9D0672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</w:t>
            </w:r>
          </w:p>
        </w:tc>
      </w:tr>
      <w:tr w14:paraId="01F0293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B20002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total_visits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AD9891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Total visits for this participant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EFB164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Count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3C92B6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Temporal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42E3F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</w:t>
            </w:r>
          </w:p>
        </w:tc>
      </w:tr>
      <w:tr w14:paraId="7E701BF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B335AC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time_linear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1E808C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Time2Vec linear term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97EEF8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Continuous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FC5B5F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Engineered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54D7A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</w:t>
            </w:r>
          </w:p>
        </w:tc>
      </w:tr>
      <w:tr w14:paraId="166E137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C20F69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time_sin_2y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9AD077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Time2Vec sinusoidal term (2-year period)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09BCB2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Continuous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75AD7D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Engineered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3842C2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</w:t>
            </w:r>
          </w:p>
        </w:tc>
      </w:tr>
      <w:tr w14:paraId="12D919A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4E8A65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time_cos_2y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32BF45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Time2Vec cosinusoidal term (2-year period)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BA54F4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Continuous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E1A0BD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Engineered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2A7BCB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</w:t>
            </w:r>
          </w:p>
        </w:tc>
      </w:tr>
      <w:tr w14:paraId="250B5D3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B5BB81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cognitive_reserve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12B7D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Education × (100 − age)/100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AC8091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Continuous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398BA1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Engineered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1620E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</w:t>
            </w:r>
          </w:p>
        </w:tc>
      </w:tr>
      <w:tr w14:paraId="4C99BCA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5655E3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severe_depression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AF87A4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Indicator for CESD-10 &gt; 10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E87366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Binary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6106E4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Engineered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357E92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</w:t>
            </w:r>
          </w:p>
        </w:tc>
      </w:tr>
      <w:tr w14:paraId="5A3BAE6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3C797A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iadl_impaired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66CE39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Indicator for IADL &gt; 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C34840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Binary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F31C3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Engineered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F08FF4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</w:t>
            </w:r>
          </w:p>
        </w:tc>
      </w:tr>
      <w:tr w14:paraId="0F5F84E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C11088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max_grip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AB6414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max(left grip, right grip)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A36926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Continuous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7847C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Engineered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120947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50.6</w:t>
            </w:r>
          </w:p>
        </w:tc>
      </w:tr>
      <w:tr w14:paraId="448D72A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D2BD1A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hypertension_grade</w:t>
            </w:r>
          </w:p>
        </w:tc>
        <w:tc>
          <w:tcPr>
            <w:tcW w:w="2723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9B949D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Derived hypertension severity grade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8049BE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Ordinal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68949C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Engineered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D4D7AB">
            <w:pPr>
              <w:keepNext/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50.6</w:t>
            </w:r>
          </w:p>
        </w:tc>
      </w:tr>
    </w:tbl>
    <w:p w14:paraId="39A1FBA2">
      <w:pPr>
        <w:spacing w:before="60" w:after="200" w:line="280" w:lineRule="auto"/>
        <w:rPr>
          <w:rFonts w:hint="default" w:ascii="Times New Roman" w:hAnsi="Times New Roman" w:cs="Times New Roman"/>
          <w:i/>
          <w:iCs/>
        </w:rPr>
      </w:pPr>
      <w:r>
        <w:rPr>
          <w:rFonts w:hint="default" w:ascii="Times New Roman" w:hAnsi="Times New Roman" w:eastAsia="Arial" w:cs="Times New Roman"/>
          <w:b/>
          <w:bCs/>
          <w:i/>
          <w:iCs/>
          <w:color w:val="404040"/>
          <w:sz w:val="20"/>
          <w:szCs w:val="20"/>
        </w:rPr>
        <w:t xml:space="preserve">Note: </w:t>
      </w:r>
      <w:r>
        <w:rPr>
          <w:rFonts w:hint="default" w:ascii="Times New Roman" w:hAnsi="Times New Roman" w:eastAsia="Arial" w:cs="Times New Roman"/>
          <w:i/>
          <w:iCs/>
          <w:color w:val="404040"/>
          <w:sz w:val="20"/>
          <w:szCs w:val="20"/>
        </w:rPr>
        <w:t>Missing percentages are computed on the analytic sample (N = 31,570 person-wave observations) after excluding records with missing cognitive or depression data. Continuous features were median-imputed and standardized before modeling; binary/ordinal features were mode-imputed. Variables with high missingness (e.g., bmi, blood pressure, grip strength) were retained because the ensemble model tolerates missingness through feature subsampling, and their predictive signal was verified in cross-validation. The full list includes 45 features combining 35 CHARLS-derived raw variables with 10 engineered features.</w:t>
      </w:r>
    </w:p>
    <w:p w14:paraId="6CF97D63">
      <w:pPr>
        <w:pStyle w:val="2"/>
        <w:spacing w:before="240" w:after="180"/>
        <w:jc w:val="center"/>
        <w:rPr>
          <w:rFonts w:hint="default" w:ascii="Times New Roman" w:hAnsi="Times New Roman" w:cs="Times New Roman"/>
        </w:rPr>
      </w:pPr>
      <w:bookmarkStart w:id="2" w:name="_Toc23925"/>
      <w:r>
        <w:rPr>
          <w:rFonts w:hint="default" w:ascii="Times New Roman" w:hAnsi="Times New Roman" w:eastAsia="Arial" w:cs="Times New Roman"/>
          <w:b/>
          <w:bCs/>
          <w:sz w:val="28"/>
          <w:szCs w:val="28"/>
        </w:rPr>
        <w:t>Table S3. Dose-Response Analysis of Depression Severity and Cognitive Impairment</w:t>
      </w:r>
      <w:bookmarkEnd w:id="2"/>
    </w:p>
    <w:tbl>
      <w:tblPr>
        <w:tblStyle w:val="14"/>
        <w:tblW w:w="9360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10"/>
        <w:gridCol w:w="895"/>
        <w:gridCol w:w="1158"/>
        <w:gridCol w:w="1395"/>
        <w:gridCol w:w="1892"/>
        <w:gridCol w:w="1010"/>
      </w:tblGrid>
      <w:tr w14:paraId="04F3652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3010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C70B3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Depression Severity</w:t>
            </w:r>
          </w:p>
        </w:tc>
        <w:tc>
          <w:tcPr>
            <w:tcW w:w="895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78290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58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13FE8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CI Cases</w:t>
            </w:r>
          </w:p>
        </w:tc>
        <w:tc>
          <w:tcPr>
            <w:tcW w:w="1395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2773E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CI Rate (%)</w:t>
            </w:r>
          </w:p>
        </w:tc>
        <w:tc>
          <w:tcPr>
            <w:tcW w:w="1892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7ABA4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1009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6BFC6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14:paraId="0B71ADF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010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4BA6B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Normal (CESD-10: 0-5)</w:t>
            </w:r>
          </w:p>
        </w:tc>
        <w:tc>
          <w:tcPr>
            <w:tcW w:w="895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B5BBC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12,561</w:t>
            </w:r>
          </w:p>
        </w:tc>
        <w:tc>
          <w:tcPr>
            <w:tcW w:w="1158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F7F6B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2,611</w:t>
            </w:r>
          </w:p>
        </w:tc>
        <w:tc>
          <w:tcPr>
            <w:tcW w:w="1395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803EF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20.8</w:t>
            </w:r>
          </w:p>
        </w:tc>
        <w:tc>
          <w:tcPr>
            <w:tcW w:w="1892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A6971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1.00 (Reference)</w:t>
            </w:r>
          </w:p>
        </w:tc>
        <w:tc>
          <w:tcPr>
            <w:tcW w:w="1009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ACF94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—</w:t>
            </w:r>
          </w:p>
        </w:tc>
      </w:tr>
      <w:tr w14:paraId="5DEDC7B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C8285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Mild (CESD-10: 6-10)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8941C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9,594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2E320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2,827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951A4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29.5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33F4A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1.59 (1.50-1.69)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D64F9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</w:tr>
      <w:tr w14:paraId="78000E7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9C6C2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Moderate (CESD-10: 11-15)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55042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5,117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64612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1,873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991028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36.6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80A0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2.20 (2.05-2.36)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F43E7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</w:tr>
      <w:tr w14:paraId="7F0D64A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D465E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Severe (CESD-10: &gt; 15)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18999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4,298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D5BEE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1,975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216F8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46.0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BF4FE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3.24 (3.01-3.49)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8D8B6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</w:tr>
      <w:tr w14:paraId="484354B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010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BB78A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P for trend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C4866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—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7A75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—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DFB03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—</w:t>
            </w:r>
          </w:p>
        </w:tc>
        <w:tc>
          <w:tcPr>
            <w:tcW w:w="1892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AEF76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—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C21AC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</w:tr>
    </w:tbl>
    <w:p w14:paraId="1BC75C8F">
      <w:pPr>
        <w:spacing w:before="60" w:after="200" w:line="280" w:lineRule="auto"/>
        <w:rPr>
          <w:rFonts w:hint="default" w:ascii="Times New Roman" w:hAnsi="Times New Roman" w:cs="Times New Roman"/>
          <w:i/>
          <w:iCs/>
        </w:rPr>
      </w:pPr>
      <w:r>
        <w:rPr>
          <w:rFonts w:hint="default" w:ascii="Times New Roman" w:hAnsi="Times New Roman" w:eastAsia="Arial" w:cs="Times New Roman"/>
          <w:b/>
          <w:bCs/>
          <w:i/>
          <w:iCs/>
          <w:color w:val="404040"/>
          <w:sz w:val="20"/>
          <w:szCs w:val="20"/>
        </w:rPr>
        <w:t>Note:</w:t>
      </w:r>
      <w:r>
        <w:rPr>
          <w:rFonts w:hint="default" w:ascii="Times New Roman" w:hAnsi="Times New Roman" w:eastAsia="Arial" w:cs="Times New Roman"/>
          <w:i/>
          <w:iCs/>
          <w:color w:val="404040"/>
          <w:sz w:val="20"/>
          <w:szCs w:val="20"/>
        </w:rPr>
        <w:t xml:space="preserve"> CI = cognitive impairment; OR = odds ratio. Odds ratios are unadjusted; Wald confidence intervals are reported. The Cochran–Armitage test was used to assess linear trend. Each one-category increase in depression severity is associated with an additional 8-10 percentage-point absolute increase in cognitive impairment prevalence. Group totals sum to 31,570, matching the analytic sample.</w:t>
      </w:r>
    </w:p>
    <w:p w14:paraId="6E1DCF17">
      <w:pPr>
        <w:pStyle w:val="2"/>
        <w:spacing w:before="240" w:after="180"/>
        <w:jc w:val="center"/>
        <w:rPr>
          <w:rFonts w:hint="default" w:ascii="Times New Roman" w:hAnsi="Times New Roman" w:cs="Times New Roman"/>
        </w:rPr>
      </w:pPr>
      <w:bookmarkStart w:id="3" w:name="_Toc10095"/>
      <w:r>
        <w:rPr>
          <w:rFonts w:hint="default" w:ascii="Times New Roman" w:hAnsi="Times New Roman" w:eastAsia="Arial" w:cs="Times New Roman"/>
          <w:b/>
          <w:bCs/>
          <w:sz w:val="28"/>
          <w:szCs w:val="28"/>
        </w:rPr>
        <w:t>Table S4. BARNN+ Model Hyperparameter Configuration</w:t>
      </w:r>
      <w:bookmarkEnd w:id="3"/>
    </w:p>
    <w:tbl>
      <w:tblPr>
        <w:tblStyle w:val="14"/>
        <w:tblW w:w="9360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65"/>
        <w:gridCol w:w="2188"/>
        <w:gridCol w:w="865"/>
        <w:gridCol w:w="3642"/>
      </w:tblGrid>
      <w:tr w14:paraId="3855671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665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A21D1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Component</w:t>
            </w:r>
          </w:p>
        </w:tc>
        <w:tc>
          <w:tcPr>
            <w:tcW w:w="2188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E2237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865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EEA54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3642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DE5CC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Description</w:t>
            </w:r>
          </w:p>
        </w:tc>
      </w:tr>
      <w:tr w14:paraId="27976A3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74A2D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Ensemble Configuration</w:t>
            </w:r>
          </w:p>
        </w:tc>
        <w:tc>
          <w:tcPr>
            <w:tcW w:w="2188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1ED738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Number of base learners</w:t>
            </w:r>
          </w:p>
        </w:tc>
        <w:tc>
          <w:tcPr>
            <w:tcW w:w="865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C1216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25</w:t>
            </w:r>
          </w:p>
        </w:tc>
        <w:tc>
          <w:tcPr>
            <w:tcW w:w="3642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ECE7D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5 configs × 5 bootstrap</w:t>
            </w:r>
          </w:p>
        </w:tc>
      </w:tr>
      <w:tr w14:paraId="3D3E338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7ABDE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F60BB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Bootstrap iterations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1CE12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E0EFA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Per model configuration, per fold</w:t>
            </w:r>
          </w:p>
        </w:tc>
      </w:tr>
      <w:tr w14:paraId="1224339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BA4A3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AD6B4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Feature subsampling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FECA88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80%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6D865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Random feature selection (applied probabilistically)</w:t>
            </w:r>
          </w:p>
        </w:tc>
      </w:tr>
      <w:tr w14:paraId="12E05C6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7D1CD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HistGradientBoosting (Config 1)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0071D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max_iter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FC598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30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1CCFF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Number of boosting iterations</w:t>
            </w:r>
          </w:p>
        </w:tc>
      </w:tr>
      <w:tr w14:paraId="63650DB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A648C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65608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max_depth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D944B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74659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Maximum tree depth</w:t>
            </w:r>
          </w:p>
        </w:tc>
      </w:tr>
      <w:tr w14:paraId="23CDB55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FB226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4E24C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learning_rate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4DE48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0.08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287B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Shrinkage</w:t>
            </w:r>
          </w:p>
        </w:tc>
      </w:tr>
      <w:tr w14:paraId="40AD01A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F8402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06800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min_samples_leaf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3A7CF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50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98333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Minimum samples per leaf</w:t>
            </w:r>
          </w:p>
        </w:tc>
      </w:tr>
      <w:tr w14:paraId="7185BB2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1C8D2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HistGradientBoosting (Config 2)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00F3A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max_iter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4C0AE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25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37E75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Number of boosting iterations</w:t>
            </w:r>
          </w:p>
        </w:tc>
      </w:tr>
      <w:tr w14:paraId="5B11B94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BCAEB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BA5F0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max_depth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421AA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F276A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Maximum tree depth</w:t>
            </w:r>
          </w:p>
        </w:tc>
      </w:tr>
      <w:tr w14:paraId="295293A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7AF19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6B5AB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learning_rate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83075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0.12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3A34B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Shrinkage</w:t>
            </w:r>
          </w:p>
        </w:tc>
      </w:tr>
      <w:tr w14:paraId="58183AF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63817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E8A6E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min_samples_leaf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91AB7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30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ABBE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Minimum samples per leaf</w:t>
            </w:r>
          </w:p>
        </w:tc>
      </w:tr>
      <w:tr w14:paraId="719E923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D298B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ExtraTrees (Config 1)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A08BF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n_estimators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DE2D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25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90572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Number of trees</w:t>
            </w:r>
          </w:p>
        </w:tc>
      </w:tr>
      <w:tr w14:paraId="0E3AFAE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0C132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78F37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max_depth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F26AF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606D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Maximum tree depth</w:t>
            </w:r>
          </w:p>
        </w:tc>
      </w:tr>
      <w:tr w14:paraId="57F5CAA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7B9B4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CB245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max_features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8CAE3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0.6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5DCD0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Feature fraction per split</w:t>
            </w:r>
          </w:p>
        </w:tc>
      </w:tr>
      <w:tr w14:paraId="6F74D90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E9F048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65A4C8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min_samples_leaf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B47BB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40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D7CC4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Minimum samples per leaf</w:t>
            </w:r>
          </w:p>
        </w:tc>
      </w:tr>
      <w:tr w14:paraId="026A4B0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8B77B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ExtraTrees (Config 2)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2F48E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n_estimators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C5CBE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30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FE54D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Number of trees</w:t>
            </w:r>
          </w:p>
        </w:tc>
      </w:tr>
      <w:tr w14:paraId="56E6F9B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77FCF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CFF12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max_depth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00257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736F5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Maximum tree depth</w:t>
            </w:r>
          </w:p>
        </w:tc>
      </w:tr>
      <w:tr w14:paraId="14E4D67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8D805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1B0BC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max_features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0D48F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0.8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AA5C3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Feature fraction per split</w:t>
            </w:r>
          </w:p>
        </w:tc>
      </w:tr>
      <w:tr w14:paraId="014F94E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E6EFE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3AB10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min_samples_leaf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FA4B2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30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190608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Minimum samples per leaf</w:t>
            </w:r>
          </w:p>
        </w:tc>
      </w:tr>
      <w:tr w14:paraId="6DAF3C7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5AEF6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RandomForest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BC99E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n_estimators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9EAA0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25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0D102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Number of trees</w:t>
            </w:r>
          </w:p>
        </w:tc>
      </w:tr>
      <w:tr w14:paraId="62CD9C5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C3531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5EBAD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max_depth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D9F96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8312B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Maximum tree depth</w:t>
            </w:r>
          </w:p>
        </w:tc>
      </w:tr>
      <w:tr w14:paraId="434FEBE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98476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4ED11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max_features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3D92B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sqrt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99596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Feature selection rule</w:t>
            </w:r>
          </w:p>
        </w:tc>
      </w:tr>
      <w:tr w14:paraId="6DBC410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B7526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ACD96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min_samples_leaf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6A178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35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14732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Minimum samples per leaf</w:t>
            </w:r>
          </w:p>
        </w:tc>
      </w:tr>
      <w:tr w14:paraId="50F809A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42160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Risk Stratification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0CF15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Low-risk threshold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FD7F8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P &lt; 0.25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2FCA9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Low probability cutoff</w:t>
            </w:r>
          </w:p>
        </w:tc>
      </w:tr>
      <w:tr w14:paraId="2043CFE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CD566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F9937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High-risk threshold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665BD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P ≥ 0.55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F1382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High probability cutoff</w:t>
            </w:r>
          </w:p>
        </w:tc>
      </w:tr>
      <w:tr w14:paraId="3718162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665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C5DAB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9461E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Uncertainty threshold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1E138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σ ≥ P90</w:t>
            </w:r>
          </w:p>
        </w:tc>
        <w:tc>
          <w:tcPr>
            <w:tcW w:w="3642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D9DB3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90th percentile of epistemic uncertainty</w:t>
            </w:r>
          </w:p>
        </w:tc>
      </w:tr>
    </w:tbl>
    <w:p w14:paraId="29C2A22E">
      <w:pPr>
        <w:spacing w:before="60" w:after="200" w:line="280" w:lineRule="auto"/>
        <w:rPr>
          <w:rFonts w:hint="default" w:ascii="Times New Roman" w:hAnsi="Times New Roman" w:cs="Times New Roman"/>
          <w:i/>
          <w:iCs/>
        </w:rPr>
      </w:pPr>
      <w:r>
        <w:rPr>
          <w:rFonts w:hint="default" w:ascii="Times New Roman" w:hAnsi="Times New Roman" w:eastAsia="Arial" w:cs="Times New Roman"/>
          <w:b/>
          <w:bCs/>
          <w:i/>
          <w:iCs/>
          <w:color w:val="404040"/>
          <w:sz w:val="20"/>
          <w:szCs w:val="20"/>
        </w:rPr>
        <w:t>Note:</w:t>
      </w:r>
      <w:r>
        <w:rPr>
          <w:rFonts w:hint="default" w:ascii="Times New Roman" w:hAnsi="Times New Roman" w:eastAsia="Arial" w:cs="Times New Roman"/>
          <w:i/>
          <w:iCs/>
          <w:color w:val="404040"/>
          <w:sz w:val="20"/>
          <w:szCs w:val="20"/>
        </w:rPr>
        <w:t xml:space="preserve"> The ensemble combines multiple model families with varying hyperparameter configurations to increase prediction diversity and to enable epistemic-uncertainty quantification through inter-model disagreement. Each configuration is re-fit on 5 bootstrap resamples with probabilistic 80% feature subsampling, producing 25 base learners per fold. The epistemic uncertainty σ is computed as the standard deviation of predicted probabilities across the 25 learners.</w:t>
      </w:r>
    </w:p>
    <w:p w14:paraId="3D7C1F52">
      <w:pPr>
        <w:pStyle w:val="2"/>
        <w:spacing w:before="240" w:after="180"/>
        <w:jc w:val="center"/>
        <w:rPr>
          <w:rFonts w:hint="default" w:ascii="Times New Roman" w:hAnsi="Times New Roman" w:cs="Times New Roman"/>
        </w:rPr>
      </w:pPr>
      <w:bookmarkStart w:id="4" w:name="_Toc17136"/>
      <w:r>
        <w:rPr>
          <w:rFonts w:hint="default" w:ascii="Times New Roman" w:hAnsi="Times New Roman" w:eastAsia="Arial" w:cs="Times New Roman"/>
          <w:b/>
          <w:bCs/>
          <w:sz w:val="28"/>
          <w:szCs w:val="28"/>
        </w:rPr>
        <w:t>Table S5. Subgroup Analysis of the Depression-Cognition Association</w:t>
      </w:r>
      <w:bookmarkEnd w:id="4"/>
    </w:p>
    <w:tbl>
      <w:tblPr>
        <w:tblStyle w:val="14"/>
        <w:tblW w:w="9360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48"/>
        <w:gridCol w:w="1258"/>
        <w:gridCol w:w="913"/>
        <w:gridCol w:w="1621"/>
        <w:gridCol w:w="1412"/>
        <w:gridCol w:w="2208"/>
      </w:tblGrid>
      <w:tr w14:paraId="2721FA0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948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EA7A4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Subgroup</w:t>
            </w:r>
          </w:p>
        </w:tc>
        <w:tc>
          <w:tcPr>
            <w:tcW w:w="1258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E32D1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913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BBD57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1621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F297E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412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A9315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2207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A7F88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P-interaction</w:t>
            </w:r>
          </w:p>
        </w:tc>
      </w:tr>
      <w:tr w14:paraId="711A900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948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55170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Overall</w:t>
            </w:r>
          </w:p>
        </w:tc>
        <w:tc>
          <w:tcPr>
            <w:tcW w:w="1258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5B71A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31,570</w:t>
            </w:r>
          </w:p>
        </w:tc>
        <w:tc>
          <w:tcPr>
            <w:tcW w:w="913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C2BD7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2.07</w:t>
            </w:r>
          </w:p>
        </w:tc>
        <w:tc>
          <w:tcPr>
            <w:tcW w:w="1621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072E7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1.97-2.18</w:t>
            </w:r>
          </w:p>
        </w:tc>
        <w:tc>
          <w:tcPr>
            <w:tcW w:w="1412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C3D70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  <w:tc>
          <w:tcPr>
            <w:tcW w:w="2207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0A92D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—</w:t>
            </w:r>
          </w:p>
        </w:tc>
      </w:tr>
      <w:tr w14:paraId="01B4F5C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02A91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Sex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639F2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8DBC1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0FCDB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3C971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99154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</w:tr>
      <w:tr w14:paraId="3959827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5E414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Female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91A67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13,890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D99F6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1.88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C88E7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1.76-2.02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2D3F4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98C8B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</w:tr>
      <w:tr w14:paraId="1E60382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AB61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Male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1C930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17,680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2DF5D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1.95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638F2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1.81-2.10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8579F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9EB2C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0.512</w:t>
            </w:r>
          </w:p>
        </w:tc>
      </w:tr>
      <w:tr w14:paraId="67FC629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83A82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Age group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20127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F5BE3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118AE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4519D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AFB95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21F611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6F7C2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45-64 years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7E565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11,644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B3FC4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2.04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66F59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1.87-2.22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12B25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C017A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</w:tr>
      <w:tr w14:paraId="37A8954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6C30D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65-74 years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E208D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15,180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74838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2.23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B3655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2.08-2.40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FAD56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4C5D3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</w:tr>
      <w:tr w14:paraId="0B17671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8EFE0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75+ years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32645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4,746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FA6C6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1.91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D3AA68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1.69-2.16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5AAB5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B77EB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0.089</w:t>
            </w:r>
          </w:p>
        </w:tc>
      </w:tr>
      <w:tr w14:paraId="67F47CB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11C0C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Residence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69634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2D288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0FE58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A7B7E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978D7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</w:tr>
      <w:tr w14:paraId="3AB3236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18396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Urban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0B05D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13,823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705F0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2.27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EFE46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2.08-2.47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7A690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BD518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</w:p>
        </w:tc>
      </w:tr>
      <w:tr w14:paraId="61523AC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948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C2F81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Rural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FE201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17,747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EC1AA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1.76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166E4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1.65-1.87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36243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625DF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</w:tr>
    </w:tbl>
    <w:p w14:paraId="5047ADBB">
      <w:pPr>
        <w:spacing w:before="60" w:after="200" w:line="28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Arial" w:cs="Times New Roman"/>
          <w:b/>
          <w:bCs/>
          <w:i/>
          <w:iCs/>
          <w:color w:val="404040"/>
          <w:sz w:val="20"/>
          <w:szCs w:val="20"/>
        </w:rPr>
        <w:t>Note:</w:t>
      </w:r>
      <w:r>
        <w:rPr>
          <w:rFonts w:hint="default" w:ascii="Times New Roman" w:hAnsi="Times New Roman" w:eastAsia="Arial" w:cs="Times New Roman"/>
          <w:i/>
          <w:iCs/>
          <w:color w:val="404040"/>
          <w:sz w:val="20"/>
          <w:szCs w:val="20"/>
        </w:rPr>
        <w:t xml:space="preserve"> OR = odds ratio; CI = confidence interval. P-interaction tests whether the depression-cognition association differs across subgroups. The significant interaction for residence (P &lt; 0.001) indicates that the association is stronger in urban than in rural participants, likely reflecting cultural and healthcare-access heterogeneity. Age categories correctly begin at 45 years (the CHARLS inclusion lower bound), not 60.</w:t>
      </w:r>
    </w:p>
    <w:p w14:paraId="54D0D5E3">
      <w:pPr>
        <w:pStyle w:val="2"/>
        <w:spacing w:before="240" w:after="180"/>
        <w:jc w:val="center"/>
        <w:rPr>
          <w:rFonts w:hint="default" w:ascii="Times New Roman" w:hAnsi="Times New Roman" w:cs="Times New Roman"/>
        </w:rPr>
      </w:pPr>
      <w:bookmarkStart w:id="5" w:name="_Toc2004"/>
      <w:r>
        <w:rPr>
          <w:rFonts w:hint="default" w:ascii="Times New Roman" w:hAnsi="Times New Roman" w:eastAsia="Arial" w:cs="Times New Roman"/>
          <w:b/>
          <w:bCs/>
          <w:sz w:val="28"/>
          <w:szCs w:val="28"/>
        </w:rPr>
        <w:t>Table S6. Risk Stratification Validation and Phenotypic Characteristics</w:t>
      </w:r>
      <w:bookmarkEnd w:id="5"/>
    </w:p>
    <w:tbl>
      <w:tblPr>
        <w:tblStyle w:val="14"/>
        <w:tblW w:w="9360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75"/>
        <w:gridCol w:w="1421"/>
        <w:gridCol w:w="1517"/>
        <w:gridCol w:w="1513"/>
        <w:gridCol w:w="1432"/>
        <w:gridCol w:w="1202"/>
      </w:tblGrid>
      <w:tr w14:paraId="4D07478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275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1B17C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1421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1E2838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Low Risk</w:t>
            </w:r>
          </w:p>
        </w:tc>
        <w:tc>
          <w:tcPr>
            <w:tcW w:w="1517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A1C9C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Medium Risk</w:t>
            </w:r>
          </w:p>
        </w:tc>
        <w:tc>
          <w:tcPr>
            <w:tcW w:w="1513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341FD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High Risk</w:t>
            </w:r>
          </w:p>
        </w:tc>
        <w:tc>
          <w:tcPr>
            <w:tcW w:w="1432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8B7D8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Uncertain</w:t>
            </w:r>
          </w:p>
        </w:tc>
        <w:tc>
          <w:tcPr>
            <w:tcW w:w="1202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2D87A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P</w:t>
            </w:r>
          </w:p>
          <w:p w14:paraId="58DF0FE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(ANOVA)</w:t>
            </w:r>
          </w:p>
        </w:tc>
      </w:tr>
      <w:tr w14:paraId="4E27258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75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766A8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N (%)</w:t>
            </w:r>
          </w:p>
        </w:tc>
        <w:tc>
          <w:tcPr>
            <w:tcW w:w="1421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D34B2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4,418 (14.0%)</w:t>
            </w:r>
          </w:p>
        </w:tc>
        <w:tc>
          <w:tcPr>
            <w:tcW w:w="1517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85D9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13,367 (42.3%)</w:t>
            </w:r>
          </w:p>
        </w:tc>
        <w:tc>
          <w:tcPr>
            <w:tcW w:w="1513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0B642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10,631 (33.7%)</w:t>
            </w:r>
          </w:p>
        </w:tc>
        <w:tc>
          <w:tcPr>
            <w:tcW w:w="1432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6960C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3,158 (10.0%)</w:t>
            </w:r>
          </w:p>
        </w:tc>
        <w:tc>
          <w:tcPr>
            <w:tcW w:w="1202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E8AD6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—</w:t>
            </w:r>
          </w:p>
        </w:tc>
      </w:tr>
      <w:tr w14:paraId="35598D3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CD0AC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CI Rate (%)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2EA3A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4.6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E083D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19.3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BA5A8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53.1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5FF0A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27.3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7D859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</w:tr>
      <w:tr w14:paraId="729C4EC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933EE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Age, years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2AA13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64.9 ± 5.7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F00DE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66.7 ± 6.0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B70C1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70.3 ± 5.8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B564B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67.8 ± 6.2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AC21B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</w:tr>
      <w:tr w14:paraId="5B96458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12CA9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Education, years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38FAE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2.8 ± 1.1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84897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2.2 ± 1.0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DFFED8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1.5 ± 0.9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F354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1.9 ± 1.0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BF88A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</w:tr>
      <w:tr w14:paraId="3E7F317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EACCF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CESD-10 score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FDB07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3.9 ± 2.7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0D50F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6.2 ± 4.1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797AF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12.2 ± 5.8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E6F03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8.3 ± 6.5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1B7BD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</w:tr>
      <w:tr w14:paraId="4FF8AAB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DE0AE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Chronic diseases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0EE3C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0.6 ± 0.8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DC46B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0.8 ± 0.9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2F785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1.0 ± 1.0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29918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0.9 ± 0.9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C105E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</w:tr>
      <w:tr w14:paraId="659D4A0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548F1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IADL score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836AF8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0.2 ± 0.5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C9508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0.5 ± 0.8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E833A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1.2 ± 1.3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9EECC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0.6 ± 0.9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82AB8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</w:tr>
      <w:tr w14:paraId="18A076C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A5911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Cognition score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CBC29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14.1 ± 2.8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1B7D0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11.8 ± 3.2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809F7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8.9 ± 3.4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17553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10.5 ± 3.6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B3132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</w:tr>
      <w:tr w14:paraId="5E305C8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75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D15BD8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Epistemic uncertainty (σ)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DB731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0.028 ± 0.012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05A21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0.038 ± 0.015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B79AC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0.045 ± 0.018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3020C8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0.078 ± 0.021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14492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0.001</w:t>
            </w:r>
          </w:p>
        </w:tc>
      </w:tr>
    </w:tbl>
    <w:p w14:paraId="66717038">
      <w:pPr>
        <w:spacing w:before="60" w:after="200" w:line="28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Arial" w:cs="Times New Roman"/>
          <w:b/>
          <w:bCs/>
          <w:i/>
          <w:iCs/>
          <w:color w:val="404040"/>
          <w:sz w:val="20"/>
          <w:szCs w:val="20"/>
        </w:rPr>
        <w:t>Note:</w:t>
      </w:r>
      <w:r>
        <w:rPr>
          <w:rFonts w:hint="default" w:ascii="Times New Roman" w:hAnsi="Times New Roman" w:eastAsia="Arial" w:cs="Times New Roman"/>
          <w:i/>
          <w:iCs/>
          <w:color w:val="404040"/>
          <w:sz w:val="20"/>
          <w:szCs w:val="20"/>
        </w:rPr>
        <w:t xml:space="preserve"> Values are mean ± SD, or N (%). CI = cognitive impairment; IADL = instrumental activities of daily living. The N and CI rates for the four strata reproduce Table 3 of the main manuscript (total N = 31,570). The uncertain group shows depressive-symptom burden similar to the high-risk group but with paradoxically preserved functional status (lower IADL impairment and higher cognition score), representing complex phenotypes that warrant individualized expert evaluation rather than algorithm-driven risk assignment.</w:t>
      </w:r>
    </w:p>
    <w:p w14:paraId="327E91B9">
      <w:pPr>
        <w:pStyle w:val="2"/>
        <w:spacing w:before="240" w:after="180"/>
        <w:rPr>
          <w:rFonts w:hint="default" w:ascii="Times New Roman" w:hAnsi="Times New Roman" w:cs="Times New Roman"/>
        </w:rPr>
      </w:pPr>
      <w:bookmarkStart w:id="6" w:name="_Toc10206"/>
      <w:r>
        <w:rPr>
          <w:rFonts w:hint="default" w:ascii="Times New Roman" w:hAnsi="Times New Roman" w:eastAsia="Arial" w:cs="Times New Roman"/>
          <w:b/>
          <w:bCs/>
          <w:sz w:val="28"/>
          <w:szCs w:val="28"/>
        </w:rPr>
        <w:t>Table S7. Sensitivity Analysis – Cognitive Impairment Percentile Thresholds</w:t>
      </w:r>
      <w:bookmarkEnd w:id="6"/>
    </w:p>
    <w:p w14:paraId="3607646C">
      <w:pPr>
        <w:spacing w:before="0" w:after="180" w:line="300" w:lineRule="auto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sz w:val="22"/>
          <w:szCs w:val="22"/>
        </w:rPr>
        <w:t>To assess the robustness of our findings to the choice of cognitive impairment threshold, we repeated the primary analysis using the 25th, 31st (primary), and 33rd percentiles of the cognitive-score distribution.</w:t>
      </w:r>
    </w:p>
    <w:tbl>
      <w:tblPr>
        <w:tblStyle w:val="14"/>
        <w:tblW w:w="9360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70"/>
        <w:gridCol w:w="2428"/>
        <w:gridCol w:w="1613"/>
        <w:gridCol w:w="1355"/>
        <w:gridCol w:w="753"/>
        <w:gridCol w:w="1341"/>
      </w:tblGrid>
      <w:tr w14:paraId="068B1C3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0" w:hRule="atLeast"/>
          <w:tblHeader/>
          <w:jc w:val="center"/>
        </w:trPr>
        <w:tc>
          <w:tcPr>
            <w:tcW w:w="1870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EE1CE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Percentile</w:t>
            </w:r>
          </w:p>
        </w:tc>
        <w:tc>
          <w:tcPr>
            <w:tcW w:w="2428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5F7BA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Threshold (score)</w:t>
            </w:r>
          </w:p>
        </w:tc>
        <w:tc>
          <w:tcPr>
            <w:tcW w:w="1613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387B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CI Rate (%)</w:t>
            </w:r>
          </w:p>
        </w:tc>
        <w:tc>
          <w:tcPr>
            <w:tcW w:w="1355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5B540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N with CI</w:t>
            </w:r>
          </w:p>
        </w:tc>
        <w:tc>
          <w:tcPr>
            <w:tcW w:w="753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7DC3C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1341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645FB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95% CI</w:t>
            </w:r>
          </w:p>
        </w:tc>
      </w:tr>
      <w:tr w14:paraId="23828E2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870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CC3C6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25th</w:t>
            </w:r>
          </w:p>
        </w:tc>
        <w:tc>
          <w:tcPr>
            <w:tcW w:w="2428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E84CD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9</w:t>
            </w:r>
          </w:p>
        </w:tc>
        <w:tc>
          <w:tcPr>
            <w:tcW w:w="1613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B22A8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22.3</w:t>
            </w:r>
          </w:p>
        </w:tc>
        <w:tc>
          <w:tcPr>
            <w:tcW w:w="1355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39032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7,038</w:t>
            </w:r>
          </w:p>
        </w:tc>
        <w:tc>
          <w:tcPr>
            <w:tcW w:w="753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1DF82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2.11</w:t>
            </w:r>
          </w:p>
        </w:tc>
        <w:tc>
          <w:tcPr>
            <w:tcW w:w="1341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00352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2.00-2.23</w:t>
            </w:r>
          </w:p>
        </w:tc>
      </w:tr>
      <w:tr w14:paraId="38B4D0A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1BA2A8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31st (Primary)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B1B9E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&lt; 10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4719D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29.4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A4012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9,286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D5F15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2.07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15656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1.97-2.18</w:t>
            </w:r>
          </w:p>
        </w:tc>
      </w:tr>
      <w:tr w14:paraId="7841720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870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EAA61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33rd</w:t>
            </w:r>
          </w:p>
        </w:tc>
        <w:tc>
          <w:tcPr>
            <w:tcW w:w="2428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BCBE9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≤ 10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5D8F3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33.5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6AD2A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10,587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574A2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2.07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8595B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1.97-2.17</w:t>
            </w:r>
          </w:p>
        </w:tc>
      </w:tr>
    </w:tbl>
    <w:p w14:paraId="3B1323F5">
      <w:pPr>
        <w:spacing w:before="60" w:after="200" w:line="280" w:lineRule="auto"/>
        <w:rPr>
          <w:rFonts w:hint="default" w:ascii="Times New Roman" w:hAnsi="Times New Roman" w:cs="Times New Roman"/>
          <w:i/>
          <w:iCs/>
        </w:rPr>
      </w:pPr>
      <w:r>
        <w:rPr>
          <w:rFonts w:hint="default" w:ascii="Times New Roman" w:hAnsi="Times New Roman" w:eastAsia="Arial" w:cs="Times New Roman"/>
          <w:b/>
          <w:bCs/>
          <w:i/>
          <w:iCs/>
          <w:color w:val="404040"/>
          <w:sz w:val="20"/>
          <w:szCs w:val="20"/>
        </w:rPr>
        <w:t>Note:</w:t>
      </w:r>
      <w:r>
        <w:rPr>
          <w:rFonts w:hint="default" w:ascii="Times New Roman" w:hAnsi="Times New Roman" w:eastAsia="Arial" w:cs="Times New Roman"/>
          <w:i/>
          <w:iCs/>
          <w:color w:val="404040"/>
          <w:sz w:val="20"/>
          <w:szCs w:val="20"/>
        </w:rPr>
        <w:t xml:space="preserve"> CI = cognitive impairment; OR = odds ratio (depression vs no depression). Because cognitive scores are discrete, the 31st and 33rd percentile thresholds both fall at a score of 10; a strict "&lt; 10" cutoff yields the 31st-percentile analysis, while an inclusive "≤ 10" cutoff yields the 33rd-percentile analysis. All three thresholds yielded highly consistent depression-cognitive-impairment ORs (2.07-2.11), supporting the robustness of the primary findings. The 31st-percentile cutoff was selected for the primary analysis for comparability with prior CHARLS-based work (Lei et al., 2014).</w:t>
      </w:r>
    </w:p>
    <w:p w14:paraId="139362D6">
      <w:pPr>
        <w:pStyle w:val="2"/>
        <w:spacing w:before="240" w:after="180"/>
        <w:jc w:val="center"/>
        <w:rPr>
          <w:rFonts w:hint="default" w:ascii="Times New Roman" w:hAnsi="Times New Roman" w:cs="Times New Roman"/>
        </w:rPr>
      </w:pPr>
      <w:bookmarkStart w:id="7" w:name="_Toc7373"/>
      <w:r>
        <w:rPr>
          <w:rFonts w:hint="default" w:ascii="Times New Roman" w:hAnsi="Times New Roman" w:eastAsia="Arial" w:cs="Times New Roman"/>
          <w:b/>
          <w:bCs/>
          <w:sz w:val="28"/>
          <w:szCs w:val="28"/>
        </w:rPr>
        <w:t>Table S8. Sensitivity Analysis – Uncertainty Percentile Thresholds</w:t>
      </w:r>
      <w:bookmarkEnd w:id="7"/>
    </w:p>
    <w:p w14:paraId="6EF4E8AA">
      <w:pPr>
        <w:spacing w:before="0" w:after="180" w:line="300" w:lineRule="auto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sz w:val="22"/>
          <w:szCs w:val="22"/>
        </w:rPr>
        <w:t>To evaluate the impact of the uncertainty threshold on risk stratification, we examined the 85th, 90th (primary), and 95th percentiles of the epistemic-uncertainty distribution, each applied to the full analytic sample of 31,570 observations.</w:t>
      </w:r>
    </w:p>
    <w:tbl>
      <w:tblPr>
        <w:tblStyle w:val="14"/>
        <w:tblW w:w="9360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82"/>
        <w:gridCol w:w="1516"/>
        <w:gridCol w:w="1335"/>
        <w:gridCol w:w="1368"/>
        <w:gridCol w:w="2506"/>
        <w:gridCol w:w="1153"/>
      </w:tblGrid>
      <w:tr w14:paraId="7527B9F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482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1B9C0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Percentile</w:t>
            </w:r>
          </w:p>
        </w:tc>
        <w:tc>
          <w:tcPr>
            <w:tcW w:w="1516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7635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Threshold (σ)</w:t>
            </w:r>
          </w:p>
        </w:tc>
        <w:tc>
          <w:tcPr>
            <w:tcW w:w="1335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2D5A9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N Uncertain</w:t>
            </w:r>
          </w:p>
        </w:tc>
        <w:tc>
          <w:tcPr>
            <w:tcW w:w="1368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5BBFC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% Uncertain</w:t>
            </w:r>
          </w:p>
        </w:tc>
        <w:tc>
          <w:tcPr>
            <w:tcW w:w="2506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43086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CI Rate in Uncertain (%)</w:t>
            </w:r>
          </w:p>
        </w:tc>
        <w:tc>
          <w:tcPr>
            <w:tcW w:w="1152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5928B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Pattern</w:t>
            </w:r>
          </w:p>
        </w:tc>
      </w:tr>
      <w:tr w14:paraId="70C33C0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E669B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85th</w:t>
            </w:r>
          </w:p>
        </w:tc>
        <w:tc>
          <w:tcPr>
            <w:tcW w:w="1516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1104A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0.055</w:t>
            </w:r>
          </w:p>
        </w:tc>
        <w:tc>
          <w:tcPr>
            <w:tcW w:w="1335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27730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4,735</w:t>
            </w:r>
          </w:p>
        </w:tc>
        <w:tc>
          <w:tcPr>
            <w:tcW w:w="1368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742B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15.0%</w:t>
            </w:r>
          </w:p>
        </w:tc>
        <w:tc>
          <w:tcPr>
            <w:tcW w:w="2506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6633C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45.8</w:t>
            </w:r>
          </w:p>
        </w:tc>
        <w:tc>
          <w:tcPr>
            <w:tcW w:w="1152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420D8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Consistent</w:t>
            </w:r>
          </w:p>
        </w:tc>
      </w:tr>
      <w:tr w14:paraId="29983C1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FBAE1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90th (Primary)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2DDBA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0.062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24E5A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3,158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048FD8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10.0%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29D26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47.3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C70D2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Consistent</w:t>
            </w:r>
          </w:p>
        </w:tc>
      </w:tr>
      <w:tr w14:paraId="2030ED1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AD1CD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95th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6E67C2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0.072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F26D4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1,578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2807E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5.0%</w:t>
            </w:r>
          </w:p>
        </w:tc>
        <w:tc>
          <w:tcPr>
            <w:tcW w:w="2506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3738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49.1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8E16E6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Consistent</w:t>
            </w:r>
          </w:p>
        </w:tc>
      </w:tr>
    </w:tbl>
    <w:p w14:paraId="33E92120">
      <w:pPr>
        <w:spacing w:before="60" w:after="200" w:line="280" w:lineRule="auto"/>
      </w:pPr>
      <w:r>
        <w:rPr>
          <w:rFonts w:ascii="Arial" w:hAnsi="Arial" w:eastAsia="Arial" w:cs="Arial"/>
          <w:i/>
          <w:iCs/>
          <w:color w:val="404040"/>
          <w:sz w:val="20"/>
          <w:szCs w:val="20"/>
        </w:rPr>
        <w:t>Note: CI = cognitive impairment. σ denotes the standard deviation of predicted probabilities across the 25 ensemble members (epistemic uncertainty). All three thresholds preserved the monotonic Low &lt; Medium &lt; High risk ordering. The 90th-percentile threshold was chosen for the primary analysis to identify the top 10% of predictions with the highest model disagreement, balancing the need to flag unreliable predictions against retaining a practical volume of cases for expert review.</w:t>
      </w:r>
    </w:p>
    <w:p w14:paraId="1491773A">
      <w:pPr>
        <w:pStyle w:val="2"/>
        <w:spacing w:before="240" w:after="180"/>
        <w:jc w:val="center"/>
        <w:rPr>
          <w:rFonts w:hint="default" w:ascii="Times New Roman" w:hAnsi="Times New Roman" w:cs="Times New Roman"/>
        </w:rPr>
      </w:pPr>
      <w:bookmarkStart w:id="8" w:name="_Toc6987"/>
      <w:r>
        <w:rPr>
          <w:rFonts w:hint="default" w:ascii="Times New Roman" w:hAnsi="Times New Roman" w:eastAsia="Arial" w:cs="Times New Roman"/>
          <w:b/>
          <w:bCs/>
          <w:sz w:val="28"/>
          <w:szCs w:val="28"/>
        </w:rPr>
        <w:t>Table S9. Persistent vs Single-Episode Depressive Symptoms and Cognitive Impairment</w:t>
      </w:r>
      <w:bookmarkEnd w:id="8"/>
    </w:p>
    <w:p w14:paraId="455341AC">
      <w:pPr>
        <w:spacing w:before="0" w:after="180" w:line="300" w:lineRule="auto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sz w:val="22"/>
          <w:szCs w:val="22"/>
        </w:rPr>
        <w:t xml:space="preserve">To partially address the role of depression persistence, we classified each participant based on the number of waves in which they met the clinical depression threshold (CESD-10 ≥ 10):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z w:val="22"/>
          <w:szCs w:val="22"/>
          <w:lang w:val="en-US" w:eastAsia="zh-CN"/>
        </w:rPr>
        <w:t>“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sz w:val="22"/>
          <w:szCs w:val="22"/>
        </w:rPr>
        <w:t>Never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z w:val="22"/>
          <w:szCs w:val="22"/>
          <w:lang w:val="en-US" w:eastAsia="zh-CN"/>
        </w:rPr>
        <w:t>”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sz w:val="22"/>
          <w:szCs w:val="22"/>
        </w:rPr>
        <w:t xml:space="preserve"> (0 waves),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z w:val="22"/>
          <w:szCs w:val="22"/>
          <w:lang w:val="en-US" w:eastAsia="zh-CN"/>
        </w:rPr>
        <w:t>“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sz w:val="22"/>
          <w:szCs w:val="22"/>
        </w:rPr>
        <w:t>Single-episode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z w:val="22"/>
          <w:szCs w:val="22"/>
          <w:lang w:val="en-US" w:eastAsia="zh-CN"/>
        </w:rPr>
        <w:t>”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sz w:val="22"/>
          <w:szCs w:val="22"/>
        </w:rPr>
        <w:t xml:space="preserve"> (1 wave), or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z w:val="22"/>
          <w:szCs w:val="22"/>
          <w:lang w:val="en-US" w:eastAsia="zh-CN"/>
        </w:rPr>
        <w:t>“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sz w:val="22"/>
          <w:szCs w:val="22"/>
        </w:rPr>
        <w:t>Persistent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sz w:val="22"/>
          <w:szCs w:val="22"/>
          <w:lang w:val="en-US" w:eastAsia="zh-CN"/>
        </w:rPr>
        <w:t>”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sz w:val="22"/>
          <w:szCs w:val="22"/>
        </w:rPr>
        <w:t xml:space="preserve"> (≥ 2 waves). Odds ratios are unadjusted.</w:t>
      </w:r>
    </w:p>
    <w:tbl>
      <w:tblPr>
        <w:tblStyle w:val="14"/>
        <w:tblW w:w="9360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04"/>
        <w:gridCol w:w="1699"/>
        <w:gridCol w:w="2721"/>
        <w:gridCol w:w="1001"/>
        <w:gridCol w:w="1935"/>
      </w:tblGrid>
      <w:tr w14:paraId="1633882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004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49F275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Depression pattern</w:t>
            </w:r>
          </w:p>
        </w:tc>
        <w:tc>
          <w:tcPr>
            <w:tcW w:w="1699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0C17B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Unique persons</w:t>
            </w:r>
          </w:p>
        </w:tc>
        <w:tc>
          <w:tcPr>
            <w:tcW w:w="2721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67E57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Person-wave observations</w:t>
            </w:r>
          </w:p>
        </w:tc>
        <w:tc>
          <w:tcPr>
            <w:tcW w:w="1001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9D5C1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CI Rate</w:t>
            </w:r>
          </w:p>
          <w:p w14:paraId="23C852C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935" w:type="dxa"/>
            <w:tcBorders>
              <w:top w:val="single" w:color="BFBFBF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077044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OR</w:t>
            </w:r>
          </w:p>
          <w:p w14:paraId="2822B04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sz w:val="20"/>
                <w:szCs w:val="20"/>
              </w:rPr>
              <w:t>(95% CI) vs Never</w:t>
            </w:r>
          </w:p>
        </w:tc>
      </w:tr>
      <w:tr w14:paraId="4B84FD7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004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121B8A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Never depressed</w:t>
            </w:r>
          </w:p>
        </w:tc>
        <w:tc>
          <w:tcPr>
            <w:tcW w:w="1699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9C2FF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6,031</w:t>
            </w:r>
          </w:p>
        </w:tc>
        <w:tc>
          <w:tcPr>
            <w:tcW w:w="2721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3F1DB0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13,911</w:t>
            </w:r>
          </w:p>
        </w:tc>
        <w:tc>
          <w:tcPr>
            <w:tcW w:w="1001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3ECFFF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23.1</w:t>
            </w:r>
          </w:p>
        </w:tc>
        <w:tc>
          <w:tcPr>
            <w:tcW w:w="1935" w:type="dxa"/>
            <w:tcBorders>
              <w:top w:val="single" w:color="BFBFBF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4C520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1.00 (Reference)</w:t>
            </w:r>
          </w:p>
        </w:tc>
      </w:tr>
      <w:tr w14:paraId="4E812BF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872A7D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Single-episode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D5F46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3,712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573EA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8,385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D936EB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34.3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D29CAE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1.74 (1.64-1.85)</w:t>
            </w:r>
          </w:p>
        </w:tc>
      </w:tr>
      <w:tr w14:paraId="4425D93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004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8A60A3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Persistent (≥ 2 waves)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FC0B31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2,751</w:t>
            </w:r>
          </w:p>
        </w:tc>
        <w:tc>
          <w:tcPr>
            <w:tcW w:w="2721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E4B72C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9,274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304A27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34.5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BFBFBF" w:sz="12" w:space="0"/>
              <w:right w:val="nil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902E59">
            <w:pPr>
              <w:snapToGrid w:val="0"/>
              <w:spacing w:before="40" w:after="4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sz w:val="20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sz w:val="20"/>
                <w:szCs w:val="20"/>
              </w:rPr>
              <w:t>1.75 (1.65-1.86)</w:t>
            </w:r>
          </w:p>
        </w:tc>
      </w:tr>
    </w:tbl>
    <w:p w14:paraId="30755ED9">
      <w:pPr>
        <w:spacing w:before="60" w:after="200" w:line="28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Arial" w:cs="Times New Roman"/>
          <w:b/>
          <w:bCs/>
          <w:i/>
          <w:iCs/>
          <w:color w:val="404040"/>
          <w:sz w:val="20"/>
          <w:szCs w:val="20"/>
        </w:rPr>
        <w:t>Note:</w:t>
      </w:r>
      <w:r>
        <w:rPr>
          <w:rFonts w:hint="default" w:ascii="Times New Roman" w:hAnsi="Times New Roman" w:eastAsia="Arial" w:cs="Times New Roman"/>
          <w:i/>
          <w:iCs/>
          <w:color w:val="404040"/>
          <w:sz w:val="20"/>
          <w:szCs w:val="20"/>
        </w:rPr>
        <w:t xml:space="preserve"> CI = cognitive impairment (cognition score below the 31st percentile, adjusted for age and education). The near-identical ORs for single-episode and persistent depression (1.74 vs 1.75) suggest that even a single recorded depressive episode is strongly associated with elevated cognitive-impairment risk; persistence does not substantially amplify the association in this cohort. This analysis is limited by irregular wave spacing and by the inability to distinguish chronic from relapsing-remitting trajectories with only five observation windows.</w:t>
      </w:r>
    </w:p>
    <w:p w14:paraId="753A675B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  <w:bookmarkStart w:id="9" w:name="_Toc12961"/>
    </w:p>
    <w:p w14:paraId="678BDB13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7CFA73CC">
      <w:pPr>
        <w:pStyle w:val="2"/>
        <w:spacing w:before="240" w:after="18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Arial" w:cs="Times New Roman"/>
          <w:b/>
          <w:bCs/>
          <w:sz w:val="28"/>
          <w:szCs w:val="28"/>
        </w:rPr>
        <w:t>Figure S1. Sample Selection Flow Diagram</w:t>
      </w:r>
      <w:bookmarkEnd w:id="9"/>
    </w:p>
    <w:p w14:paraId="3C60412D">
      <w:pPr>
        <w:spacing w:after="120"/>
        <w:jc w:val="center"/>
      </w:pPr>
      <w:r>
        <w:drawing>
          <wp:inline distT="0" distB="0" distL="0" distR="0">
            <wp:extent cx="4000500" cy="50006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A6D9B">
      <w:pPr>
        <w:spacing w:before="60" w:after="200" w:line="28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Arial" w:cs="Times New Roman"/>
          <w:b/>
          <w:bCs/>
          <w:i/>
          <w:iCs/>
          <w:color w:val="404040"/>
          <w:sz w:val="20"/>
          <w:szCs w:val="20"/>
        </w:rPr>
        <w:t>Figure S1.</w:t>
      </w:r>
      <w:r>
        <w:rPr>
          <w:rFonts w:hint="default" w:ascii="Times New Roman" w:hAnsi="Times New Roman" w:eastAsia="Arial" w:cs="Times New Roman"/>
          <w:i/>
          <w:iCs/>
          <w:color w:val="404040"/>
          <w:sz w:val="20"/>
          <w:szCs w:val="20"/>
        </w:rPr>
        <w:t xml:space="preserve"> CONSORT-style flow diagram of participant selection. From the initial pool of N = 49,015 person-wave observations across five CHARLS waves (2011–2020), we sequentially excluded records with missing cognitive assessment (n = 17,008), missing CESD-10 depression score (n = 433), and age outliers outside the 45-100 range (n = 4), yielding the final analytic sample of 31,570 person-wave observations contributed by 12,494 unique participants.</w:t>
      </w:r>
    </w:p>
    <w:p w14:paraId="7B7ECC03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  <w:bookmarkStart w:id="10" w:name="_Toc29728"/>
    </w:p>
    <w:p w14:paraId="76E283BD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620F1FB7">
      <w:pPr>
        <w:pStyle w:val="2"/>
        <w:spacing w:before="240" w:after="180"/>
        <w:jc w:val="both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597AFA56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27BAE41C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4195A21A">
      <w:pPr>
        <w:pStyle w:val="2"/>
        <w:spacing w:before="240" w:after="18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Arial" w:cs="Times New Roman"/>
          <w:b/>
          <w:bCs/>
          <w:sz w:val="28"/>
          <w:szCs w:val="28"/>
        </w:rPr>
        <w:t>Figure S2. Epistemic Uncertainty Analysis</w:t>
      </w:r>
      <w:bookmarkEnd w:id="10"/>
    </w:p>
    <w:p w14:paraId="6581C5C6">
      <w:pPr>
        <w:spacing w:after="120"/>
        <w:jc w:val="center"/>
      </w:pPr>
      <w:r>
        <w:drawing>
          <wp:inline distT="0" distB="0" distL="0" distR="0">
            <wp:extent cx="5524500" cy="21907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B03FE">
      <w:pPr>
        <w:spacing w:before="60" w:after="200" w:line="28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Arial" w:cs="Times New Roman"/>
          <w:b/>
          <w:bCs/>
          <w:i/>
          <w:iCs/>
          <w:color w:val="404040"/>
          <w:sz w:val="20"/>
          <w:szCs w:val="20"/>
        </w:rPr>
        <w:t>Figure S2.</w:t>
      </w:r>
      <w:r>
        <w:rPr>
          <w:rFonts w:hint="default" w:ascii="Times New Roman" w:hAnsi="Times New Roman" w:eastAsia="Arial" w:cs="Times New Roman"/>
          <w:i/>
          <w:iCs/>
          <w:color w:val="404040"/>
          <w:sz w:val="20"/>
          <w:szCs w:val="20"/>
        </w:rPr>
        <w:t xml:space="preserve"> (A) Distribution of epistemic uncertainty (σ) across all predictions. The right-skewed distribution indicates that most predictions carry low uncertainty, with a small proportion exceeding the 90th-percentile threshold (σ ≥ 0.062, red dashed line). (B) Relationship between epistemic uncertainty and prediction error. The strong positive correlation (r = 0.651, P &lt; 0.001) confirms that higher uncertainty estimates reliably flag lower prediction confidence, validating the uncertainty quantification procedure.</w:t>
      </w:r>
    </w:p>
    <w:p w14:paraId="0C23F65E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  <w:bookmarkStart w:id="11" w:name="_Toc6477"/>
    </w:p>
    <w:p w14:paraId="119B602E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4BD9D514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48F8F75B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613492B0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50762275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182CC548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0A683326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77EE96BB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6A4F1051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3F26A988">
      <w:pPr>
        <w:pStyle w:val="2"/>
        <w:spacing w:before="240" w:after="18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Arial" w:cs="Times New Roman"/>
          <w:b/>
          <w:bCs/>
          <w:sz w:val="28"/>
          <w:szCs w:val="28"/>
        </w:rPr>
        <w:t>Figure S3. Feature Importance Ranking</w:t>
      </w:r>
      <w:bookmarkEnd w:id="11"/>
    </w:p>
    <w:p w14:paraId="58CB5C1D">
      <w:pPr>
        <w:spacing w:after="120"/>
        <w:jc w:val="center"/>
      </w:pPr>
      <w:r>
        <w:drawing>
          <wp:inline distT="0" distB="0" distL="0" distR="0">
            <wp:extent cx="5334000" cy="33337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98383">
      <w:pPr>
        <w:spacing w:before="60" w:after="200" w:line="280" w:lineRule="auto"/>
        <w:rPr>
          <w:rFonts w:hint="default" w:ascii="Times New Roman" w:hAnsi="Times New Roman" w:cs="Times New Roman"/>
          <w:i/>
          <w:iCs/>
        </w:rPr>
      </w:pPr>
      <w:r>
        <w:rPr>
          <w:rFonts w:hint="default" w:ascii="Times New Roman" w:hAnsi="Times New Roman" w:eastAsia="Arial" w:cs="Times New Roman"/>
          <w:b/>
          <w:bCs/>
          <w:i/>
          <w:iCs/>
          <w:color w:val="404040"/>
          <w:sz w:val="20"/>
          <w:szCs w:val="20"/>
        </w:rPr>
        <w:t>Figure S3.</w:t>
      </w:r>
      <w:r>
        <w:rPr>
          <w:rFonts w:hint="default" w:ascii="Times New Roman" w:hAnsi="Times New Roman" w:eastAsia="Arial" w:cs="Times New Roman"/>
          <w:i/>
          <w:iCs/>
          <w:color w:val="404040"/>
          <w:sz w:val="20"/>
          <w:szCs w:val="20"/>
        </w:rPr>
        <w:t xml:space="preserve"> Top 15 features ranked by absolute correlation with cognitive impairment. CESD-10 depression score, age, and education level emerge as the three most informative predictors, which is consistent with the SHAP-based analysis shown in Figure 2 of the main manuscript. Colour intensity reflects correlation magnitude: red &gt; 0.15, orange 0.10-0.15, blue &lt; 0.10.</w:t>
      </w:r>
    </w:p>
    <w:p w14:paraId="38AA686C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  <w:bookmarkStart w:id="12" w:name="_Toc11323"/>
    </w:p>
    <w:p w14:paraId="0F8FCFDE">
      <w:pPr>
        <w:pStyle w:val="2"/>
        <w:spacing w:before="240" w:after="180"/>
        <w:jc w:val="both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05E57995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1C460EAC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0D6ECD14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5BF9124F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0E579744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140F6508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7D50A7BF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4A0438B5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6A186CD3">
      <w:pPr>
        <w:pStyle w:val="2"/>
        <w:spacing w:before="240" w:after="180"/>
        <w:jc w:val="center"/>
        <w:rPr>
          <w:rFonts w:hint="default" w:ascii="Times New Roman" w:hAnsi="Times New Roman" w:eastAsia="Arial" w:cs="Times New Roman"/>
          <w:b/>
          <w:bCs/>
          <w:sz w:val="28"/>
          <w:szCs w:val="28"/>
        </w:rPr>
      </w:pPr>
    </w:p>
    <w:p w14:paraId="35AD1C8A">
      <w:pPr>
        <w:pStyle w:val="2"/>
        <w:spacing w:before="240" w:after="18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Arial" w:cs="Times New Roman"/>
          <w:b/>
          <w:bCs/>
          <w:sz w:val="28"/>
          <w:szCs w:val="28"/>
        </w:rPr>
        <w:t>Figure S4. 5-Fold Cross-Validation ROC Curves</w:t>
      </w:r>
      <w:bookmarkEnd w:id="12"/>
    </w:p>
    <w:p w14:paraId="1E526C97">
      <w:pPr>
        <w:spacing w:after="120"/>
        <w:jc w:val="center"/>
      </w:pPr>
      <w:r>
        <w:drawing>
          <wp:inline distT="0" distB="0" distL="0" distR="0">
            <wp:extent cx="4286250" cy="43815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76FEC">
      <w:pPr>
        <w:spacing w:before="60" w:after="200" w:line="28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Arial" w:cs="Times New Roman"/>
          <w:b/>
          <w:bCs/>
          <w:i/>
          <w:iCs/>
          <w:color w:val="404040"/>
          <w:sz w:val="20"/>
          <w:szCs w:val="20"/>
        </w:rPr>
        <w:t>Figure S4.</w:t>
      </w:r>
      <w:r>
        <w:rPr>
          <w:rFonts w:hint="default" w:ascii="Times New Roman" w:hAnsi="Times New Roman" w:eastAsia="Arial" w:cs="Times New Roman"/>
          <w:i/>
          <w:iCs/>
          <w:color w:val="404040"/>
          <w:sz w:val="20"/>
          <w:szCs w:val="20"/>
        </w:rPr>
        <w:t xml:space="preserve"> Receiver operating characteristic (ROC) curves for the BARNN+ ensemble across 5 stratified folds. Individual fold AUCs ranged from 0.771 to 0.787 (thin lines), with a mean AUC of 0.779 ± 0.008 (bold red line with 95% confidence band). The narrow confidence interval demonstrates strong model stability and generalisability across random data partitions.</w:t>
      </w:r>
    </w:p>
    <w:sectPr>
      <w:pgSz w:w="12240" w:h="15840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36B96D45"/>
    <w:rsid w:val="4D1A43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Arial" w:cs="Arial"/>
      <w:sz w:val="22"/>
      <w:szCs w:val="22"/>
    </w:rPr>
  </w:style>
  <w:style w:type="paragraph" w:styleId="2">
    <w:name w:val="heading 1"/>
    <w:next w:val="1"/>
    <w:qFormat/>
    <w:uiPriority w:val="0"/>
    <w:pPr>
      <w:spacing w:before="240" w:after="180"/>
      <w:outlineLvl w:val="0"/>
    </w:pPr>
    <w:rPr>
      <w:rFonts w:ascii="Arial" w:hAnsi="Arial" w:eastAsia="Arial" w:cs="Arial"/>
      <w:b/>
      <w:bCs/>
      <w:sz w:val="28"/>
      <w:szCs w:val="28"/>
    </w:rPr>
  </w:style>
  <w:style w:type="paragraph" w:styleId="3">
    <w:name w:val="heading 2"/>
    <w:next w:val="1"/>
    <w:qFormat/>
    <w:uiPriority w:val="0"/>
    <w:rPr>
      <w:rFonts w:ascii="Arial" w:hAnsi="Arial" w:eastAsia="Arial" w:cs="Arial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Arial" w:cs="Arial"/>
      <w:i/>
      <w:iCs/>
      <w:color w:val="2E74B5"/>
      <w:sz w:val="22"/>
      <w:szCs w:val="22"/>
    </w:rPr>
  </w:style>
  <w:style w:type="paragraph" w:styleId="6">
    <w:name w:val="heading 5"/>
    <w:next w:val="1"/>
    <w:qFormat/>
    <w:uiPriority w:val="0"/>
    <w:rPr>
      <w:rFonts w:ascii="Arial" w:hAnsi="Arial" w:eastAsia="Arial" w:cs="Arial"/>
      <w:color w:val="2E74B5"/>
      <w:sz w:val="22"/>
      <w:szCs w:val="22"/>
    </w:rPr>
  </w:style>
  <w:style w:type="paragraph" w:styleId="7">
    <w:name w:val="heading 6"/>
    <w:next w:val="1"/>
    <w:qFormat/>
    <w:uiPriority w:val="0"/>
    <w:rPr>
      <w:rFonts w:ascii="Arial" w:hAnsi="Arial" w:eastAsia="Arial" w:cs="Arial"/>
      <w:color w:val="1F4D78"/>
      <w:sz w:val="22"/>
      <w:szCs w:val="22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endnote text"/>
    <w:link w:val="21"/>
    <w:semiHidden/>
    <w:unhideWhenUsed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footnote text"/>
    <w:link w:val="20"/>
    <w:semiHidden/>
    <w:unhideWhenUsed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paragraph" w:styleId="13">
    <w:name w:val="Title"/>
    <w:qFormat/>
    <w:uiPriority w:val="0"/>
    <w:rPr>
      <w:rFonts w:ascii="Arial" w:hAnsi="Arial" w:eastAsia="Arial" w:cs="Arial"/>
      <w:sz w:val="56"/>
      <w:szCs w:val="56"/>
    </w:rPr>
  </w:style>
  <w:style w:type="character" w:styleId="16">
    <w:name w:val="endnote reference"/>
    <w:semiHidden/>
    <w:unhideWhenUsed/>
    <w:qFormat/>
    <w:uiPriority w:val="99"/>
    <w:rPr>
      <w:vertAlign w:val="superscript"/>
    </w:rPr>
  </w:style>
  <w:style w:type="character" w:styleId="17">
    <w:name w:val="Hyperlink"/>
    <w:unhideWhenUsed/>
    <w:qFormat/>
    <w:uiPriority w:val="99"/>
    <w:rPr>
      <w:color w:val="0563C1"/>
      <w:u w:val="single"/>
    </w:rPr>
  </w:style>
  <w:style w:type="character" w:styleId="18">
    <w:name w:val="footnote reference"/>
    <w:semiHidden/>
    <w:unhideWhenUsed/>
    <w:qFormat/>
    <w:uiPriority w:val="99"/>
    <w:rPr>
      <w:vertAlign w:val="superscript"/>
    </w:rPr>
  </w:style>
  <w:style w:type="paragraph" w:styleId="19">
    <w:name w:val="List Paragraph"/>
    <w:qFormat/>
    <w:uiPriority w:val="0"/>
    <w:rPr>
      <w:rFonts w:ascii="Arial" w:hAnsi="Arial" w:eastAsia="Arial" w:cs="Arial"/>
      <w:sz w:val="22"/>
      <w:szCs w:val="22"/>
    </w:rPr>
  </w:style>
  <w:style w:type="character" w:customStyle="1" w:styleId="20">
    <w:name w:val="Footnote Text Char"/>
    <w:link w:val="12"/>
    <w:semiHidden/>
    <w:unhideWhenUsed/>
    <w:qFormat/>
    <w:uiPriority w:val="99"/>
    <w:rPr>
      <w:sz w:val="20"/>
      <w:szCs w:val="20"/>
    </w:rPr>
  </w:style>
  <w:style w:type="character" w:customStyle="1" w:styleId="21">
    <w:name w:val="Endnote Text Char"/>
    <w:link w:val="10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781</Words>
  <Characters>4903</Characters>
  <TotalTime>4</TotalTime>
  <ScaleCrop>false</ScaleCrop>
  <LinksUpToDate>false</LinksUpToDate>
  <CharactersWithSpaces>5351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2026-04-18T14:55:00Z</dcterms:created>
  <dc:creator>Un-named</dc:creator>
  <cp:lastModifiedBy>白昼</cp:lastModifiedBy>
  <dcterms:modified xsi:type="dcterms:W3CDTF">2026-04-19T07:22:26Z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eyJoZGlkIjoiNTM5OTJmMDY0YjZjYzE0ODc5NGY3OWI5MWVjNzdjNmIiLCJ1c2VySWQiOiIxNjEwNDQ3MjAyIn0=</vt:lpwstr>
  </property>
  <property fmtid="{D5CDD505-2E9C-101B-9397-08002B2CF9AE}" pid="3" name="KSOProductBuildVer">
    <vt:lpwstr>2052-12.1.0.25225</vt:lpwstr>
  </property>
  <property fmtid="{D5CDD505-2E9C-101B-9397-08002B2CF9AE}" pid="4" name="ICV">
    <vt:lpwstr>8BB04607FE9D48D3A8AE43BD7A7BEA18_13</vt:lpwstr>
  </property>
</Properties>
</file>