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300" w:lineRule="auto"/>
      </w:pPr>
      <w:r>
        <w:rPr>
          <w:b/>
          <w:bCs/>
          <w:sz w:val="28"/>
          <w:szCs w:val="28"/>
        </w:rPr>
        <w:t xml:space="preserve">SUPPLEMENTARY MATERIAL</w:t>
      </w:r>
    </w:p>
    <w:p>
      <w:pPr>
        <w:spacing w:after="40" w:line="276" w:lineRule="auto"/>
      </w:pPr>
      <w:r>
        <w:rPr>
          <w:b/>
          <w:bCs/>
        </w:rPr>
        <w:t xml:space="preserve">Supplementary material for: </w:t>
      </w:r>
      <w:r>
        <w:rPr>
          <w:i/>
          <w:iCs/>
        </w:rPr>
        <w:t xml:space="preserve">Development and Validation of a Proxy Case Mix Index for Indian Hospitals Without Diagnosis-Related Group Coding: A Composite Five-Component Model</w:t>
      </w:r>
    </w:p>
    <w:p>
      <w:pPr>
        <w:pBdr>
          <w:bottom w:val="single" w:color="999999" w:sz="6" w:space="6"/>
        </w:pBdr>
        <w:spacing w:after="200" w:line="276" w:lineRule="auto"/>
      </w:pPr>
      <w:r>
        <w:t xml:space="preserve">Warrier AR, Antony J, Anitha Devi TS.</w:t>
      </w:r>
    </w:p>
    <w:p>
      <w:pPr>
        <w:pStyle w:val="Heading1"/>
        <w:spacing w:after="120" w:before="120"/>
      </w:pPr>
      <w:r>
        <w:t xml:space="preserve">S1. TRIPOD Checklist (Abridged)</w:t>
      </w:r>
    </w:p>
    <w:p>
      <w:pPr>
        <w:spacing w:after="120" w:line="360" w:lineRule="auto"/>
        <w:jc w:val="both"/>
      </w:pPr>
      <w:r>
        <w:t xml:space="preserve">The following items from the TRIPOD checklist for prediction model development studies (Type 1a) are addressed in the manuscript: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Title and abstract:</w:t>
      </w:r>
      <w:r>
        <w:t xml:space="preserve"> Identifies development study, target population, and outcome (Title page, Abstract)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Introduction:</w:t>
      </w:r>
      <w:r>
        <w:t xml:space="preserve"> Background, objectives, and rationale for the model (Section 1)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Source of data:</w:t>
      </w:r>
      <w:r>
        <w:t xml:space="preserve"> Prospective and retrospective data collection described (Section 2.2)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Participants:</w:t>
      </w:r>
      <w:r>
        <w:t xml:space="preserve"> Eligibility criteria, settings, and dates (Section 2.4)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Outcome:</w:t>
      </w:r>
      <w:r>
        <w:t xml:space="preserve"> Definition and measurement of the Proxy CMI (Section 2.3)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Predictors:</w:t>
      </w:r>
      <w:r>
        <w:t xml:space="preserve"> All five components described with measurement methods (Section 2.3.1)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Sample size:</w:t>
      </w:r>
      <w:r>
        <w:t xml:space="preserve"> Justification provided (Section 2.4)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Methods — Statistical analysis:</w:t>
      </w:r>
      <w:r>
        <w:t xml:space="preserve"> Methods for model specification and performance (Section 2.6)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Results — Participants:</w:t>
      </w:r>
      <w:r>
        <w:t xml:space="preserve"> Sample characteristics (Section 3.1)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Results — Model development:</w:t>
      </w:r>
      <w:r>
        <w:t xml:space="preserve"> Full formula and weights presented (Section 2.3)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Results — Model performance:</w:t>
      </w:r>
      <w:r>
        <w:t xml:space="preserve"> Preliminary descriptive analysis (Section 3.2–3.5)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Discussion:</w:t>
      </w:r>
      <w:r>
        <w:t xml:space="preserve"> Interpretation, limitations, and implications (Section 4)</w:t>
      </w:r>
    </w:p>
    <w:p>
      <w:pPr>
        <w:pStyle w:val="Heading1"/>
        <w:spacing w:after="120" w:before="240"/>
      </w:pPr>
      <w:r>
        <w:t xml:space="preserve">S2. STROBE Checklist (Abridged)</w:t>
      </w:r>
    </w:p>
    <w:p>
      <w:pPr>
        <w:spacing w:after="120" w:line="360" w:lineRule="auto"/>
        <w:jc w:val="both"/>
      </w:pPr>
      <w:r>
        <w:t xml:space="preserve">Key STROBE items addressed: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Study design:</w:t>
      </w:r>
      <w:r>
        <w:t xml:space="preserve"> Stated in title and methods (Section 2.1)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Setting:</w:t>
      </w:r>
      <w:r>
        <w:t xml:space="preserve"> Location, dates, periods of recruitment described (Section 2.2)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Participants:</w:t>
      </w:r>
      <w:r>
        <w:t xml:space="preserve"> Eligibility criteria, sources, and methods of follow-up (Section 2.4)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Variables:</w:t>
      </w:r>
      <w:r>
        <w:t xml:space="preserve"> All variables defined with measurement methods (Section 2.3)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Data sources:</w:t>
      </w:r>
      <w:r>
        <w:t xml:space="preserve"> Hospital information system, billing records, ICU registers (Section 2.4)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Statistical methods:</w:t>
      </w:r>
      <w:r>
        <w:t xml:space="preserve"> Described for each validity domain (Section 2.6)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Results:</w:t>
      </w:r>
      <w:r>
        <w:t xml:space="preserve"> Descriptive data, outcome data, and main results presented (Section 3)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Limitations:</w:t>
      </w:r>
      <w:r>
        <w:t xml:space="preserve"> Addressed comprehensively (Section 4.5)</w:t>
      </w:r>
    </w:p>
    <w:p>
      <w:pPr>
        <w:pStyle w:val="ListParagraph"/>
        <w:numPr>
          <w:ilvl w:val="0"/>
          <w:numId w:val="2"/>
        </w:numPr>
        <w:spacing w:after="80" w:line="300" w:lineRule="auto"/>
      </w:pPr>
      <w:r>
        <w:rPr>
          <w:b/>
          <w:bCs/>
        </w:rPr>
        <w:t xml:space="preserve">Generalisability:</w:t>
      </w:r>
      <w:r>
        <w:t xml:space="preserve"> Discussed with multi-centric plan (Section 4.6)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2026-06-28T16:38:31.892Z</dcterms:created>
  <dcterms:modified xsi:type="dcterms:W3CDTF">2026-06-28T16:38:31.892Z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