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A60A6" w14:textId="77777777" w:rsidR="00082589" w:rsidRPr="00082589" w:rsidRDefault="00082589" w:rsidP="00082589">
      <w:pPr>
        <w:spacing w:before="100" w:beforeAutospacing="1" w:after="100" w:afterAutospacing="1" w:line="240" w:lineRule="auto"/>
        <w:jc w:val="both"/>
        <w:outlineLvl w:val="1"/>
        <w:rPr>
          <w:rFonts w:ascii="Helvetica" w:eastAsia="Times New Roman" w:hAnsi="Helvetica" w:cs="Times New Roman"/>
          <w:b/>
          <w:bCs/>
          <w:kern w:val="0"/>
          <w:sz w:val="36"/>
          <w:szCs w:val="36"/>
          <w14:ligatures w14:val="none"/>
        </w:rPr>
      </w:pPr>
      <w:r w:rsidRPr="00082589">
        <w:rPr>
          <w:rFonts w:ascii="Helvetica" w:eastAsia="Times New Roman" w:hAnsi="Helvetica" w:cs="Times New Roman"/>
          <w:b/>
          <w:bCs/>
          <w:kern w:val="0"/>
          <w:sz w:val="36"/>
          <w:szCs w:val="36"/>
          <w14:ligatures w14:val="none"/>
        </w:rPr>
        <w:t>Supplementary Methods</w:t>
      </w:r>
    </w:p>
    <w:p w14:paraId="2E1AB3FF" w14:textId="77777777" w:rsidR="00082589" w:rsidRPr="006E11E9" w:rsidRDefault="00082589" w:rsidP="00082589">
      <w:pPr>
        <w:spacing w:before="100" w:beforeAutospacing="1" w:after="100" w:afterAutospacing="1" w:line="240" w:lineRule="auto"/>
        <w:jc w:val="both"/>
        <w:outlineLvl w:val="2"/>
        <w:rPr>
          <w:rFonts w:ascii="Helvetica" w:eastAsia="Times New Roman" w:hAnsi="Helvetica" w:cs="Times New Roman"/>
          <w:b/>
          <w:bCs/>
          <w:kern w:val="0"/>
          <w:sz w:val="28"/>
          <w:szCs w:val="28"/>
          <w14:ligatures w14:val="none"/>
        </w:rPr>
      </w:pPr>
      <w:r w:rsidRPr="006E11E9">
        <w:rPr>
          <w:rFonts w:ascii="Helvetica" w:eastAsia="Times New Roman" w:hAnsi="Helvetica" w:cs="Times New Roman"/>
          <w:b/>
          <w:bCs/>
          <w:kern w:val="0"/>
          <w:sz w:val="28"/>
          <w:szCs w:val="28"/>
          <w14:ligatures w14:val="none"/>
        </w:rPr>
        <w:t>Anchor baseline window selection</w:t>
      </w:r>
    </w:p>
    <w:p w14:paraId="5178027F" w14:textId="77777777" w:rsidR="00082589" w:rsidRPr="00082589" w:rsidRDefault="00082589" w:rsidP="00082589">
      <w:pPr>
        <w:spacing w:after="120" w:line="240" w:lineRule="auto"/>
        <w:jc w:val="both"/>
        <w:rPr>
          <w:rFonts w:ascii="Helvetica" w:eastAsia="Times New Roman" w:hAnsi="Helvetica" w:cs="Times New Roman"/>
          <w:kern w:val="0"/>
          <w14:ligatures w14:val="none"/>
        </w:rPr>
      </w:pPr>
      <w:r w:rsidRPr="00082589">
        <w:rPr>
          <w:rFonts w:ascii="Helvetica" w:eastAsia="Times New Roman" w:hAnsi="Helvetica" w:cs="Times New Roman"/>
          <w:kern w:val="0"/>
          <w14:ligatures w14:val="none"/>
        </w:rPr>
        <w:t xml:space="preserve">Because the inertial state-space formulation relies on cumulative integration of observations over time, estimates derived from the earliest frames of each scan are inherently unstable and sensitive to transient effects. </w:t>
      </w:r>
      <w:proofErr w:type="gramStart"/>
      <w:r w:rsidRPr="00082589">
        <w:rPr>
          <w:rFonts w:ascii="Helvetica" w:eastAsia="Times New Roman" w:hAnsi="Helvetica" w:cs="Times New Roman"/>
          <w:kern w:val="0"/>
          <w14:ligatures w14:val="none"/>
        </w:rPr>
        <w:t>In particular, early</w:t>
      </w:r>
      <w:proofErr w:type="gramEnd"/>
      <w:r w:rsidRPr="00082589">
        <w:rPr>
          <w:rFonts w:ascii="Helvetica" w:eastAsia="Times New Roman" w:hAnsi="Helvetica" w:cs="Times New Roman"/>
          <w:kern w:val="0"/>
          <w14:ligatures w14:val="none"/>
        </w:rPr>
        <w:t xml:space="preserve"> time points provide too few samples to establish a reliable cumulative reference and are more susceptible to scanner settling and magnetization equilibration effects. To address this, we define an anchor baseline window at the beginning of each scan that serves as a stable reference configuration for subsequent cumulative evaluation.</w:t>
      </w:r>
    </w:p>
    <w:p w14:paraId="04049935" w14:textId="01F02A40" w:rsidR="00082589" w:rsidRPr="00082589" w:rsidRDefault="00082589" w:rsidP="00082589">
      <w:pPr>
        <w:spacing w:after="120" w:line="240" w:lineRule="auto"/>
        <w:jc w:val="both"/>
        <w:rPr>
          <w:rFonts w:ascii="Helvetica" w:eastAsia="Times New Roman" w:hAnsi="Helvetica" w:cs="Times New Roman"/>
          <w:kern w:val="0"/>
          <w14:ligatures w14:val="none"/>
        </w:rPr>
      </w:pPr>
      <w:r w:rsidRPr="00082589">
        <w:rPr>
          <w:rFonts w:ascii="Helvetica" w:eastAsia="Times New Roman" w:hAnsi="Helvetica" w:cs="Times New Roman"/>
          <w:kern w:val="0"/>
          <w14:ligatures w14:val="none"/>
        </w:rPr>
        <w:t>For resting-state fMRI data, meaningful low-frequency BOLD fluctuations occur on the order of tens of seconds due to the application of a low-pass filter at 0.01 Hz. The corresponding −3 dB cutoff of this filter occurs at approximately 88 s, indicating the minimum temporal window required to capture a representative baseline of intrinsic fluctuations</w:t>
      </w:r>
      <w:r w:rsidR="007045B7" w:rsidRPr="007045B7">
        <w:rPr>
          <w:rFonts w:ascii="Helvetica" w:hAnsi="Helvetica"/>
        </w:rPr>
        <w:fldChar w:fldCharType="begin">
          <w:fldData xml:space="preserve">PEVuZE5vdGU+PENpdGU+PEF1dGhvcj5GYWdoaXJpPC9BdXRob3I+PFllYXI+MjAyMTwvWWVhcj48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</w:fldData>
        </w:fldChar>
      </w:r>
      <w:r w:rsidR="00BE6D58">
        <w:rPr>
          <w:rFonts w:ascii="Helvetica" w:hAnsi="Helvetica"/>
        </w:rPr>
        <w:instrText xml:space="preserve"> ADDIN EN.CITE </w:instrText>
      </w:r>
      <w:r w:rsidR="00BE6D58">
        <w:rPr>
          <w:rFonts w:ascii="Helvetica" w:hAnsi="Helvetica"/>
        </w:rPr>
        <w:fldChar w:fldCharType="begin">
          <w:fldData xml:space="preserve">PEVuZE5vdGU+PENpdGU+PEF1dGhvcj5GYWdoaXJpPC9BdXRob3I+PFllYXI+MjAyMTwvWWVhcj48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</w:fldData>
        </w:fldChar>
      </w:r>
      <w:r w:rsidR="00BE6D58">
        <w:rPr>
          <w:rFonts w:ascii="Helvetica" w:hAnsi="Helvetica"/>
        </w:rPr>
        <w:instrText xml:space="preserve"> ADDIN EN.CITE.DATA </w:instrText>
      </w:r>
      <w:r w:rsidR="00BE6D58">
        <w:rPr>
          <w:rFonts w:ascii="Helvetica" w:hAnsi="Helvetica"/>
        </w:rPr>
      </w:r>
      <w:r w:rsidR="00BE6D58">
        <w:rPr>
          <w:rFonts w:ascii="Helvetica" w:hAnsi="Helvetica"/>
        </w:rPr>
        <w:fldChar w:fldCharType="end"/>
      </w:r>
      <w:r w:rsidR="007045B7" w:rsidRPr="007045B7">
        <w:rPr>
          <w:rFonts w:ascii="Helvetica" w:hAnsi="Helvetica"/>
        </w:rPr>
      </w:r>
      <w:r w:rsidR="007045B7" w:rsidRPr="007045B7">
        <w:rPr>
          <w:rFonts w:ascii="Helvetica" w:hAnsi="Helvetica"/>
        </w:rPr>
        <w:fldChar w:fldCharType="separate"/>
      </w:r>
      <w:r w:rsidR="00BE6D58" w:rsidRPr="00BE6D58">
        <w:rPr>
          <w:rFonts w:ascii="Helvetica" w:hAnsi="Helvetica"/>
          <w:noProof/>
          <w:vertAlign w:val="superscript"/>
        </w:rPr>
        <w:t>1-5</w:t>
      </w:r>
      <w:r w:rsidR="007045B7" w:rsidRPr="007045B7">
        <w:rPr>
          <w:rFonts w:ascii="Helvetica" w:hAnsi="Helvetica"/>
        </w:rPr>
        <w:fldChar w:fldCharType="end"/>
      </w:r>
      <w:r w:rsidRPr="007045B7">
        <w:rPr>
          <w:rFonts w:ascii="Helvetica" w:eastAsia="Times New Roman" w:hAnsi="Helvetica" w:cs="Times New Roman"/>
          <w:kern w:val="0"/>
          <w14:ligatures w14:val="none"/>
        </w:rPr>
        <w:t xml:space="preserve">. </w:t>
      </w:r>
      <w:r w:rsidRPr="00082589">
        <w:rPr>
          <w:rFonts w:ascii="Helvetica" w:eastAsia="Times New Roman" w:hAnsi="Helvetica" w:cs="Times New Roman"/>
          <w:kern w:val="0"/>
          <w14:ligatures w14:val="none"/>
        </w:rPr>
        <w:t>Accordingly, after discarding the initial 10 s of data to allow scanner magnetization to reach equilibrium, we define the anchor baseline using the subsequent 88 s of data. This window provides sufficient temporal support to establish a stable reference configuration while minimizing contamination from early transient effects.</w:t>
      </w:r>
    </w:p>
    <w:p w14:paraId="3F763C47" w14:textId="77777777" w:rsidR="00082589" w:rsidRPr="00082589" w:rsidRDefault="00082589" w:rsidP="00082589">
      <w:pPr>
        <w:spacing w:after="120" w:line="240" w:lineRule="auto"/>
        <w:jc w:val="both"/>
        <w:rPr>
          <w:rFonts w:ascii="Helvetica" w:eastAsia="Times New Roman" w:hAnsi="Helvetica" w:cs="Times New Roman"/>
          <w:kern w:val="0"/>
          <w14:ligatures w14:val="none"/>
        </w:rPr>
      </w:pPr>
      <w:r w:rsidRPr="00082589">
        <w:rPr>
          <w:rFonts w:ascii="Helvetica" w:eastAsia="Times New Roman" w:hAnsi="Helvetica" w:cs="Times New Roman"/>
          <w:kern w:val="0"/>
          <w14:ligatures w14:val="none"/>
        </w:rPr>
        <w:t>Importantly, the anchor baseline does not imply the existence of a shared resting task, cognitive state, or baseline across individuals. Rather, it functions solely as a within-subject reference against which later observations are evaluated. Subsequent deviations are therefore interpreted relative to each subject’s own initial configuration, allowing the cumulative framework to assess whether new fluctuations reinforce or overcome the running configuration implied by prior activity.</w:t>
      </w:r>
    </w:p>
    <w:p w14:paraId="1C3C5934" w14:textId="376709C1" w:rsidR="0045715A" w:rsidRPr="006E11E9" w:rsidRDefault="00082589" w:rsidP="00082589">
      <w:pPr>
        <w:spacing w:after="120" w:line="240" w:lineRule="auto"/>
        <w:jc w:val="both"/>
        <w:rPr>
          <w:rFonts w:ascii="Helvetica" w:eastAsia="Times New Roman" w:hAnsi="Helvetica" w:cs="Times New Roman"/>
          <w:kern w:val="0"/>
          <w14:ligatures w14:val="none"/>
        </w:rPr>
      </w:pPr>
      <w:r w:rsidRPr="00082589">
        <w:rPr>
          <w:rFonts w:ascii="Helvetica" w:eastAsia="Times New Roman" w:hAnsi="Helvetica" w:cs="Times New Roman"/>
          <w:kern w:val="0"/>
          <w14:ligatures w14:val="none"/>
        </w:rPr>
        <w:t>All dynamic time warping parameters, filtering procedures, and numerical choices associated with</w:t>
      </w:r>
      <w:r>
        <w:rPr>
          <w:rFonts w:ascii="Helvetica" w:eastAsia="Times New Roman" w:hAnsi="Helvetica" w:cs="Times New Roman"/>
          <w:kern w:val="0"/>
          <w14:ligatures w14:val="none"/>
        </w:rPr>
        <w:t xml:space="preserve"> the</w:t>
      </w:r>
      <w:r w:rsidRPr="00082589">
        <w:rPr>
          <w:rFonts w:ascii="Helvetica" w:eastAsia="Times New Roman" w:hAnsi="Helvetica" w:cs="Times New Roman"/>
          <w:kern w:val="0"/>
          <w14:ligatures w14:val="none"/>
        </w:rPr>
        <w:t xml:space="preserve"> anchor construction are held constant across subjects and groups.</w:t>
      </w:r>
    </w:p>
    <w:p w14:paraId="3EF973D4" w14:textId="0332F5E0" w:rsidR="006E11E9" w:rsidRPr="006E11E9" w:rsidRDefault="006E11E9" w:rsidP="00BE6D58">
      <w:pPr>
        <w:spacing w:before="100" w:beforeAutospacing="1" w:after="100" w:afterAutospacing="1" w:line="240" w:lineRule="auto"/>
        <w:jc w:val="both"/>
        <w:rPr>
          <w:rFonts w:ascii="Helvetica" w:hAnsi="Helvetica"/>
          <w:b/>
          <w:bCs/>
          <w:sz w:val="28"/>
          <w:szCs w:val="28"/>
        </w:rPr>
      </w:pPr>
      <w:r w:rsidRPr="006E11E9">
        <w:rPr>
          <w:rFonts w:ascii="Helvetica" w:hAnsi="Helvetica"/>
          <w:b/>
          <w:bCs/>
          <w:sz w:val="28"/>
          <w:szCs w:val="28"/>
        </w:rPr>
        <w:t>DTW</w:t>
      </w:r>
      <w:r w:rsidR="00BE6D58">
        <w:rPr>
          <w:rFonts w:ascii="Helvetica" w:hAnsi="Helvetica"/>
          <w:b/>
          <w:bCs/>
          <w:sz w:val="28"/>
          <w:szCs w:val="28"/>
        </w:rPr>
        <w:t>-based observation trajectory for the ISSM</w:t>
      </w:r>
    </w:p>
    <w:p w14:paraId="17203A4D" w14:textId="3C749946" w:rsidR="006E11E9" w:rsidRDefault="006E11E9" w:rsidP="006E11E9">
      <w:pPr>
        <w:spacing w:after="120" w:line="240" w:lineRule="auto"/>
        <w:jc w:val="both"/>
        <w:rPr>
          <w:rFonts w:ascii="Helvetica" w:hAnsi="Helvetica"/>
        </w:rPr>
      </w:pPr>
      <w:r w:rsidRPr="006E11E9">
        <w:rPr>
          <w:rFonts w:ascii="Helvetica" w:hAnsi="Helvetica"/>
        </w:rPr>
        <w:t>In this work, dynamic time warping (DTW) is used to define the observed trajectory</w:t>
      </w:r>
      <w:r>
        <w:rPr>
          <w:rFonts w:ascii="Helvetica" w:eastAsiaTheme="minorEastAsia" w:hAnsi="Helvetica"/>
        </w:rPr>
        <w:t xml:space="preserve"> </w:t>
      </w:r>
      <w:r w:rsidRPr="006E11E9">
        <w:rPr>
          <w:rFonts w:ascii="Helvetica" w:hAnsi="Helvetica"/>
        </w:rPr>
        <w:t>within the inertial state-space model (ISSM), providing a time-resolved measure of deviation between evolving interregional BOLD amplitude profiles. DTW serves as an observational instantiation of the ISSM, supplying the displacement-like signal from which latent state evolution and functional inertia are subsequently derived.</w:t>
      </w:r>
    </w:p>
    <w:p w14:paraId="74313FCA" w14:textId="1C55A1DF" w:rsidR="00BE6D58" w:rsidRPr="00BE6D58" w:rsidRDefault="00BE6D58" w:rsidP="00BE6D58">
      <w:pPr>
        <w:spacing w:after="120" w:line="240" w:lineRule="auto"/>
        <w:jc w:val="both"/>
        <w:rPr>
          <w:rFonts w:ascii="Helvetica" w:hAnsi="Helvetica"/>
        </w:rPr>
      </w:pPr>
      <w:r w:rsidRPr="00BE6D58">
        <w:rPr>
          <w:rFonts w:ascii="Helvetica" w:hAnsi="Helvetica"/>
        </w:rPr>
        <w:t xml:space="preserve">For each subject, DTW was applied to pairs of post-equilibrium BOLD amplitude time series </w:t>
      </w:r>
      <m:oMath>
        <m:r>
          <w:rPr>
            <w:rFonts w:ascii="Cambria Math" w:hAnsi="Cambria Math"/>
          </w:rPr>
          <m:t>x(t)</m:t>
        </m:r>
      </m:oMath>
      <w:r>
        <w:rPr>
          <w:rFonts w:ascii="Helvetica" w:eastAsiaTheme="minorEastAsia" w:hAnsi="Helvetica"/>
        </w:rPr>
        <w:t xml:space="preserve"> </w:t>
      </w:r>
      <w:r w:rsidRPr="00BE6D58">
        <w:rPr>
          <w:rFonts w:ascii="Helvetica" w:hAnsi="Helvetica"/>
        </w:rPr>
        <w:t xml:space="preserve">and </w:t>
      </w:r>
      <m:oMath>
        <m:r>
          <w:rPr>
            <w:rFonts w:ascii="Cambria Math" w:hAnsi="Cambria Math"/>
          </w:rPr>
          <m:t>y(t)</m:t>
        </m:r>
      </m:oMath>
      <w:r w:rsidRPr="00BE6D58">
        <w:rPr>
          <w:rFonts w:ascii="Helvetica" w:hAnsi="Helvetica"/>
        </w:rPr>
        <w:t xml:space="preserve">, each of length </w:t>
      </w:r>
      <m:oMath>
        <m:r>
          <w:rPr>
            <w:rFonts w:ascii="Cambria Math" w:hAnsi="Cambria Math"/>
          </w:rPr>
          <m:t>N</m:t>
        </m:r>
      </m:oMath>
      <w:r w:rsidRPr="00BE6D58">
        <w:rPr>
          <w:rFonts w:ascii="Helvetica" w:hAnsi="Helvetica"/>
        </w:rPr>
        <w:t xml:space="preserve">. DTW distances were computed using a Sakoe–Chiba constraint window with half-width </w:t>
      </w:r>
      <m:oMath>
        <m:r>
          <w:rPr>
            <w:rFonts w:ascii="Cambria Math" w:hAnsi="Cambria Math"/>
          </w:rPr>
          <m:t>w</m:t>
        </m:r>
      </m:oMath>
      <w:r w:rsidRPr="006E11E9">
        <w:rPr>
          <w:rFonts w:ascii="Helvetica" w:hAnsi="Helvetica"/>
        </w:rPr>
        <w:fldChar w:fldCharType="begin"/>
      </w:r>
      <w:r>
        <w:rPr>
          <w:rFonts w:ascii="Helvetica" w:hAnsi="Helvetica"/>
        </w:rPr>
        <w:instrText xml:space="preserve"> ADDIN EN.CITE &lt;EndNote&gt;&lt;Cite&gt;&lt;Author&gt;Paliwal&lt;/Author&gt;&lt;Year&gt;1982&lt;/Year&gt;&lt;RecNum&gt;31&lt;/RecNum&gt;&lt;DisplayText&gt;&lt;style face="superscript"&gt;6&lt;/style&gt;&lt;/DisplayText&gt;&lt;record&gt;&lt;rec-number&gt;31&lt;/rec-number&gt;&lt;foreign-keys&gt;&lt;key app="EN" db-id="dfxzs5axftpvr3e9svox5v05v59v5v0wa9p0" timestamp="1699652266"&gt;31&lt;/key&gt;&lt;/foreign-keys&gt;&lt;ref-type name="Journal Article"&gt;17&lt;/ref-type&gt;&lt;contributors&gt;&lt;authors&gt;&lt;author&gt;Paliwal, K. K.&lt;/author&gt;&lt;author&gt;Agarwal, Anant&lt;/author&gt;&lt;author&gt;Sinha, Sarvajit S.&lt;/author&gt;&lt;/authors&gt;&lt;/contributors&gt;&lt;titles&gt;&lt;title&gt;A modification over Sakoe and Chiba&amp;apos;s dynamic time warping algorithm for isolated word recognition&lt;/title&gt;&lt;secondary-title&gt;Signal Processing&lt;/secondary-title&gt;&lt;/titles&gt;&lt;periodical&gt;&lt;full-title&gt;Signal Processing&lt;/full-title&gt;&lt;/periodical&gt;&lt;pages&gt;329-333&lt;/pages&gt;&lt;volume&gt;4&lt;/volume&gt;&lt;number&gt;4&lt;/number&gt;&lt;keywords&gt;&lt;keyword&gt;Speech&lt;/keyword&gt;&lt;keyword&gt;isolated word recognition&lt;/keyword&gt;&lt;keyword&gt;dynamic time warping&lt;/keyword&gt;&lt;/keywords&gt;&lt;dates&gt;&lt;year&gt;1982&lt;/year&gt;&lt;pub-dates&gt;&lt;date&gt;1982/07/01/&lt;/date&gt;&lt;/pub-dates&gt;&lt;/dates&gt;&lt;isbn&gt;0165-1684&lt;/isbn&gt;&lt;urls&gt;&lt;related-urls&gt;&lt;url&gt;https://www.sciencedirect.com/science/article/pii/0165168482900093&lt;/url&gt;&lt;/related-urls&gt;&lt;/urls&gt;&lt;electronic-resource-num&gt;https://doi.org/10.1016/0165-1684(82)90009-3&lt;/electronic-resource-num&gt;&lt;/record&gt;&lt;/Cite&gt;&lt;/EndNote&gt;</w:instrText>
      </w:r>
      <w:r w:rsidRPr="006E11E9">
        <w:rPr>
          <w:rFonts w:ascii="Helvetica" w:hAnsi="Helvetica"/>
        </w:rPr>
        <w:fldChar w:fldCharType="separate"/>
      </w:r>
      <w:r w:rsidRPr="00BE6D58">
        <w:rPr>
          <w:rFonts w:ascii="Helvetica" w:hAnsi="Helvetica"/>
          <w:noProof/>
          <w:vertAlign w:val="superscript"/>
        </w:rPr>
        <w:t>6</w:t>
      </w:r>
      <w:r w:rsidRPr="006E11E9">
        <w:rPr>
          <w:rFonts w:ascii="Helvetica" w:hAnsi="Helvetica"/>
        </w:rPr>
        <w:fldChar w:fldCharType="end"/>
      </w:r>
      <w:r w:rsidRPr="00BE6D58">
        <w:rPr>
          <w:rFonts w:ascii="Helvetica" w:hAnsi="Helvetica"/>
        </w:rPr>
        <w:t>, selected to match the duration of the anchor baseline window (see Supplementary Methods: Anchor baseline window). This constraint limits temporal alignment to physiologically plausible lags while preserving sensitivity to low-frequency fluctuations characteristic of resting-state dynamics</w:t>
      </w:r>
      <w:r>
        <w:rPr>
          <w:rFonts w:ascii="Helvetica" w:hAnsi="Helvetica"/>
        </w:rPr>
        <w:fldChar w:fldCharType="begin"/>
      </w:r>
      <w:r>
        <w:rPr>
          <w:rFonts w:ascii="Helvetica" w:hAnsi="Helvetica"/>
        </w:rPr>
        <w:instrText xml:space="preserve"> ADDIN EN.CITE &lt;EndNote&gt;&lt;Cite&gt;&lt;Author&gt;Meszlényi&lt;/Author&gt;&lt;Year&gt;2017&lt;/Year&gt;&lt;RecNum&gt;2584&lt;/RecNum&gt;&lt;DisplayText&gt;&lt;style face="superscript"&gt;7&lt;/style&gt;&lt;/DisplayText&gt;&lt;record&gt;&lt;rec-number&gt;2584&lt;/rec-number&gt;&lt;foreign-keys&gt;&lt;key app="EN" db-id="50wxdpzd9vd5r7e9t5b595djrfpttrxw9avp" timestamp="1758172458"&gt;2584&lt;/key&gt;&lt;/foreign-keys&gt;&lt;ref-type name="Journal Article"&gt;17&lt;/ref-type&gt;&lt;contributors&gt;&lt;authors&gt;&lt;author&gt;Meszlényi, Regina J&lt;/author&gt;&lt;author&gt;Hermann, Petra&lt;/author&gt;&lt;author&gt;Buza, Krisztian&lt;/author&gt;&lt;author&gt;Gál, Viktor&lt;/author&gt;&lt;author&gt;Vidnyánszky, Zoltán&lt;/author&gt;&lt;/authors&gt;&lt;/contributors&gt;&lt;titles&gt;&lt;title&gt;Resting state fMRI functional connectivity analysis using dynamic time warping&lt;/title&gt;&lt;secondary-title&gt;Frontiers in neuroscience&lt;/secondary-title&gt;&lt;/titles&gt;&lt;periodical&gt;&lt;full-title&gt;Frontiers in neuroscience&lt;/full-title&gt;&lt;/periodical&gt;&lt;pages&gt;75&lt;/pages&gt;&lt;volume&gt;11&lt;/volume&gt;&lt;dates&gt;&lt;year&gt;2017&lt;/year&gt;&lt;/dates&gt;&lt;isbn&gt;1662-453X&lt;/isbn&gt;&lt;urls&gt;&lt;/urls&gt;&lt;/record&gt;&lt;/Cite&gt;&lt;/EndNote&gt;</w:instrText>
      </w:r>
      <w:r>
        <w:rPr>
          <w:rFonts w:ascii="Helvetica" w:hAnsi="Helvetica"/>
        </w:rPr>
        <w:fldChar w:fldCharType="separate"/>
      </w:r>
      <w:r w:rsidRPr="00BE6D58">
        <w:rPr>
          <w:rFonts w:ascii="Helvetica" w:hAnsi="Helvetica"/>
          <w:noProof/>
          <w:vertAlign w:val="superscript"/>
        </w:rPr>
        <w:t>7</w:t>
      </w:r>
      <w:r>
        <w:rPr>
          <w:rFonts w:ascii="Helvetica" w:hAnsi="Helvetica"/>
        </w:rPr>
        <w:fldChar w:fldCharType="end"/>
      </w:r>
      <w:r w:rsidRPr="00BE6D58">
        <w:rPr>
          <w:rFonts w:ascii="Helvetica" w:hAnsi="Helvetica"/>
        </w:rPr>
        <w:t>.</w:t>
      </w:r>
    </w:p>
    <w:p w14:paraId="02DD651C" w14:textId="14ADC293" w:rsidR="006E11E9" w:rsidRPr="006E11E9" w:rsidRDefault="00BE6D58" w:rsidP="006E11E9">
      <w:pPr>
        <w:spacing w:after="120" w:line="240" w:lineRule="auto"/>
        <w:jc w:val="both"/>
        <w:rPr>
          <w:rFonts w:ascii="Helvetica" w:hAnsi="Helvetica"/>
        </w:rPr>
      </w:pPr>
      <w:r w:rsidRPr="00BE6D58">
        <w:rPr>
          <w:rFonts w:ascii="Helvetica" w:hAnsi="Helvetica"/>
        </w:rPr>
        <w:t>The local cost function was defined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70"/>
      </w:tblGrid>
      <w:tr w:rsidR="006E11E9" w:rsidRPr="006E11E9" w14:paraId="729945D8" w14:textId="77777777" w:rsidTr="00132908">
        <w:trPr>
          <w:jc w:val="center"/>
        </w:trPr>
        <w:tc>
          <w:tcPr>
            <w:tcW w:w="8800" w:type="dxa"/>
            <w:vAlign w:val="center"/>
          </w:tcPr>
          <w:p w14:paraId="027C9587" w14:textId="43D7D5D6" w:rsidR="006E11E9" w:rsidRPr="006E11E9" w:rsidRDefault="00000000" w:rsidP="00FA2582">
            <w:pPr>
              <w:spacing w:after="120"/>
              <w:jc w:val="center"/>
              <w:rPr>
                <w:rFonts w:ascii="Helvetica" w:hAnsi="Helvetica"/>
              </w:rPr>
            </w:pPr>
            <m:oMath>
              <m:sSub>
                <m:sSubPr>
                  <m:ctrlPr>
                    <w:rPr>
                      <w:rFonts w:ascii="Cambria Math" w:hAnsi="Cambria Math"/>
                      <w:i/>
                    </w:rPr>
                  </m:ctrlPr>
                </m:sSubPr>
                <m:e>
                  <m:r>
                    <w:rPr>
                      <w:rFonts w:ascii="Cambria Math" w:hAnsi="Cambria Math"/>
                    </w:rPr>
                    <m:t>λ</m:t>
                  </m:r>
                </m:e>
                <m:sub>
                  <m:r>
                    <w:rPr>
                      <w:rFonts w:ascii="Cambria Math" w:hAnsi="Cambria Math"/>
                    </w:rPr>
                    <m:t>γ</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j</m:t>
                      </m:r>
                    </m:sub>
                  </m:sSub>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e>
                  </m:d>
                </m:e>
                <m:sup>
                  <m:r>
                    <w:rPr>
                      <w:rFonts w:ascii="Cambria Math" w:hAnsi="Cambria Math"/>
                    </w:rPr>
                    <m:t>γ</m:t>
                  </m:r>
                </m:sup>
              </m:sSup>
            </m:oMath>
            <w:r w:rsidR="00FA2582">
              <w:rPr>
                <w:rFonts w:ascii="Helvetica" w:eastAsiaTheme="minorEastAsia" w:hAnsi="Helvetica"/>
              </w:rPr>
              <w:t>,</w:t>
            </w:r>
          </w:p>
        </w:tc>
        <w:tc>
          <w:tcPr>
            <w:tcW w:w="550" w:type="dxa"/>
            <w:vAlign w:val="center"/>
          </w:tcPr>
          <w:p w14:paraId="008111EC" w14:textId="352E9076" w:rsidR="006E11E9" w:rsidRPr="006E11E9" w:rsidRDefault="006E11E9" w:rsidP="006E11E9">
            <w:pPr>
              <w:spacing w:after="120"/>
              <w:jc w:val="both"/>
              <w:rPr>
                <w:rFonts w:ascii="Helvetica" w:hAnsi="Helvetica"/>
              </w:rPr>
            </w:pPr>
            <w:r w:rsidRPr="006E11E9">
              <w:rPr>
                <w:rFonts w:ascii="Helvetica" w:hAnsi="Helvetica"/>
              </w:rPr>
              <w:t>(</w:t>
            </w:r>
            <w:r w:rsidR="005A1E25">
              <w:rPr>
                <w:rFonts w:ascii="Helvetica" w:hAnsi="Helvetica"/>
              </w:rPr>
              <w:t>S</w:t>
            </w:r>
            <w:r w:rsidRPr="006E11E9">
              <w:rPr>
                <w:rFonts w:ascii="Helvetica" w:hAnsi="Helvetica"/>
              </w:rPr>
              <w:t>1)</w:t>
            </w:r>
          </w:p>
        </w:tc>
      </w:tr>
    </w:tbl>
    <w:p w14:paraId="1FBC758B" w14:textId="7A63728F" w:rsidR="00BC3E8E" w:rsidRDefault="00BC3E8E" w:rsidP="006E11E9">
      <w:pPr>
        <w:spacing w:after="120" w:line="240" w:lineRule="auto"/>
        <w:jc w:val="both"/>
        <w:rPr>
          <w:rFonts w:ascii="Helvetica" w:hAnsi="Helvetica"/>
        </w:rPr>
      </w:pPr>
      <w:r w:rsidRPr="00BC3E8E">
        <w:rPr>
          <w:rFonts w:ascii="Helvetica" w:hAnsi="Helvetica"/>
        </w:rPr>
        <w:t xml:space="preserve">where </w:t>
      </w:r>
      <m:oMath>
        <m:r>
          <w:rPr>
            <w:rFonts w:ascii="Cambria Math" w:hAnsi="Cambria Math"/>
          </w:rPr>
          <m:t>γ=1.5</m:t>
        </m:r>
      </m:oMath>
      <w:r w:rsidRPr="00BC3E8E">
        <w:rPr>
          <w:rFonts w:ascii="Helvetica" w:hAnsi="Helvetica"/>
        </w:rPr>
        <w:t xml:space="preserve">. This exponent was chosen based on prior work demonstrating optimal test–retest reliability and sensitivity to </w:t>
      </w:r>
      <w:r>
        <w:rPr>
          <w:rFonts w:ascii="Helvetica" w:hAnsi="Helvetica"/>
        </w:rPr>
        <w:t>clinical relevance</w:t>
      </w:r>
      <w:r w:rsidRPr="00BC3E8E">
        <w:rPr>
          <w:rFonts w:ascii="Helvetica" w:hAnsi="Helvetica"/>
        </w:rPr>
        <w:t xml:space="preserve"> using this value</w:t>
      </w:r>
      <w:r w:rsidRPr="006E11E9">
        <w:rPr>
          <w:rFonts w:ascii="Helvetica" w:hAnsi="Helvetica"/>
        </w:rPr>
        <w:fldChar w:fldCharType="begin"/>
      </w:r>
      <w:r>
        <w:rPr>
          <w:rFonts w:ascii="Helvetica" w:hAnsi="Helvetica"/>
        </w:rPr>
        <w:instrText xml:space="preserve"> ADDIN EN.CITE &lt;EndNote&gt;&lt;Cite&gt;&lt;Author&gt;Wiafe&lt;/Author&gt;&lt;Year&gt;2025&lt;/Year&gt;&lt;RecNum&gt;476&lt;/RecNum&gt;&lt;DisplayText&gt;&lt;style face="superscript"&gt;8&lt;/style&gt;&lt;/DisplayText&gt;&lt;record&gt;&lt;rec-number&gt;476&lt;/rec-number&gt;&lt;foreign-keys&gt;&lt;key app="EN" db-id="dfxzs5axftpvr3e9svox5v05v59v5v0wa9p0" timestamp="1747005865"&gt;476&lt;/key&gt;&lt;/foreign-keys&gt;&lt;ref-type name="Journal Article"&gt;17&lt;/ref-type&gt;&lt;contributors&gt;&lt;authors&gt;&lt;author&gt;Wiafe, Sir-Lord&lt;/author&gt;&lt;author&gt;Kinsey, Spencer&lt;/author&gt;&lt;author&gt;Soleimani, Najme&lt;/author&gt;&lt;author&gt;Nsafoa, Raymond O&lt;/author&gt;&lt;author&gt;Khasayeva, Nigar&lt;/author&gt;&lt;author&gt;Harikumar, Amritha&lt;/author&gt;&lt;author&gt;Miller, Robyn&lt;/author&gt;&lt;author&gt;Calhoun, Vince D&lt;/author&gt;&lt;/authors&gt;&lt;/contributors&gt;&lt;titles&gt;&lt;title&gt;Mapping Dynamic Metabolic Energy Distribution in Brain Networks using fMRI: A Novel Dynamic Time Warping Framework&lt;/title&gt;&lt;secondary-title&gt;bioRxiv&lt;/secondary-title&gt;&lt;/titles&gt;&lt;periodical&gt;&lt;full-title&gt;bioRxiv&lt;/full-title&gt;&lt;/periodical&gt;&lt;pages&gt;2025.03. 20.644399&lt;/pages&gt;&lt;dates&gt;&lt;year&gt;2025&lt;/year&gt;&lt;/dates&gt;&lt;urls&gt;&lt;/urls&gt;&lt;/record&gt;&lt;/Cite&gt;&lt;/EndNote&gt;</w:instrText>
      </w:r>
      <w:r w:rsidRPr="006E11E9">
        <w:rPr>
          <w:rFonts w:ascii="Helvetica" w:hAnsi="Helvetica"/>
        </w:rPr>
        <w:fldChar w:fldCharType="separate"/>
      </w:r>
      <w:r w:rsidRPr="00BE6D58">
        <w:rPr>
          <w:rFonts w:ascii="Helvetica" w:hAnsi="Helvetica"/>
          <w:noProof/>
          <w:vertAlign w:val="superscript"/>
        </w:rPr>
        <w:t>8</w:t>
      </w:r>
      <w:r w:rsidRPr="006E11E9">
        <w:rPr>
          <w:rFonts w:ascii="Helvetica" w:hAnsi="Helvetica"/>
        </w:rPr>
        <w:fldChar w:fldCharType="end"/>
      </w:r>
      <w:r>
        <w:rPr>
          <w:rFonts w:ascii="Helvetica" w:hAnsi="Helvetica"/>
        </w:rPr>
        <w:t>.</w:t>
      </w:r>
    </w:p>
    <w:p w14:paraId="7D19741B" w14:textId="19542BE8" w:rsidR="006E11E9" w:rsidRPr="006E11E9" w:rsidRDefault="006E11E9" w:rsidP="006E11E9">
      <w:pPr>
        <w:spacing w:after="120" w:line="240" w:lineRule="auto"/>
        <w:jc w:val="both"/>
        <w:rPr>
          <w:rFonts w:ascii="Helvetica" w:hAnsi="Helvetica"/>
        </w:rPr>
      </w:pPr>
      <w:r w:rsidRPr="006E11E9">
        <w:rPr>
          <w:rFonts w:ascii="Helvetica" w:hAnsi="Helvetica"/>
        </w:rPr>
        <w:t xml:space="preserve">The cumulative cost matrix </w:t>
      </w:r>
      <m:oMath>
        <m:sSub>
          <m:sSubPr>
            <m:ctrlPr>
              <w:rPr>
                <w:rFonts w:ascii="Cambria Math" w:hAnsi="Cambria Math"/>
                <w:i/>
              </w:rPr>
            </m:ctrlPr>
          </m:sSubPr>
          <m:e>
            <m:r>
              <w:rPr>
                <w:rFonts w:ascii="Cambria Math" w:hAnsi="Cambria Math"/>
              </w:rPr>
              <m:t>CM</m:t>
            </m:r>
          </m:e>
          <m:sub>
            <m:r>
              <w:rPr>
                <w:rFonts w:ascii="Cambria Math" w:hAnsi="Cambria Math"/>
              </w:rPr>
              <m:t>(i,j)</m:t>
            </m:r>
          </m:sub>
        </m:sSub>
      </m:oMath>
      <w:r w:rsidR="00BC3E8E">
        <w:rPr>
          <w:rFonts w:ascii="Helvetica" w:eastAsiaTheme="minorEastAsia" w:hAnsi="Helvetica"/>
        </w:rPr>
        <w:t xml:space="preserve"> </w:t>
      </w:r>
      <w:r w:rsidR="00BC3E8E">
        <w:t xml:space="preserve">for indices satisfying </w:t>
      </w:r>
      <m:oMath>
        <m:r>
          <m:rPr>
            <m:sty m:val="p"/>
          </m:rPr>
          <w:rPr>
            <w:rFonts w:ascii="Cambria Math" w:hAnsi="Cambria Math"/>
          </w:rPr>
          <m:t>∣</m:t>
        </m:r>
        <m:r>
          <w:rPr>
            <w:rFonts w:ascii="Cambria Math" w:hAnsi="Cambria Math"/>
          </w:rPr>
          <m:t>i-j</m:t>
        </m:r>
        <m:r>
          <m:rPr>
            <m:sty m:val="p"/>
          </m:rPr>
          <w:rPr>
            <w:rFonts w:ascii="Cambria Math" w:hAnsi="Cambria Math"/>
          </w:rPr>
          <m:t>∣</m:t>
        </m:r>
        <m:r>
          <w:rPr>
            <w:rFonts w:ascii="Cambria Math" w:hAnsi="Cambria Math"/>
          </w:rPr>
          <m:t>≤w</m:t>
        </m:r>
      </m:oMath>
      <w:r w:rsidR="00BC3E8E">
        <w:t>was constructed recursively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70"/>
      </w:tblGrid>
      <w:tr w:rsidR="006E11E9" w:rsidRPr="006E11E9" w14:paraId="74BCEFC6" w14:textId="77777777" w:rsidTr="00132908">
        <w:trPr>
          <w:jc w:val="center"/>
        </w:trPr>
        <w:tc>
          <w:tcPr>
            <w:tcW w:w="8803" w:type="dxa"/>
            <w:vAlign w:val="center"/>
          </w:tcPr>
          <w:p w14:paraId="548818EF" w14:textId="39BB4F97" w:rsidR="006E11E9" w:rsidRPr="006E11E9" w:rsidRDefault="00000000" w:rsidP="00FA2582">
            <w:pPr>
              <w:spacing w:after="120"/>
              <w:jc w:val="center"/>
              <w:rPr>
                <w:rFonts w:ascii="Helvetica" w:hAnsi="Helvetica"/>
              </w:rPr>
            </w:pPr>
            <m:oMath>
              <m:sSub>
                <m:sSubPr>
                  <m:ctrlPr>
                    <w:rPr>
                      <w:rFonts w:ascii="Cambria Math" w:hAnsi="Cambria Math"/>
                      <w:i/>
                    </w:rPr>
                  </m:ctrlPr>
                </m:sSubPr>
                <m:e>
                  <m:r>
                    <w:rPr>
                      <w:rFonts w:ascii="Cambria Math" w:hAnsi="Cambria Math"/>
                    </w:rPr>
                    <m:t>CM</m:t>
                  </m:r>
                </m:e>
                <m:sub>
                  <m:r>
                    <w:rPr>
                      <w:rFonts w:ascii="Cambria Math" w:hAnsi="Cambria Math"/>
                    </w:rPr>
                    <m:t>(i,j)ϵ</m:t>
                  </m:r>
                  <m:d>
                    <m:dPr>
                      <m:begChr m:val="{"/>
                      <m:endChr m:val="}"/>
                      <m:ctrlPr>
                        <w:rPr>
                          <w:rFonts w:ascii="Cambria Math" w:hAnsi="Cambria Math"/>
                        </w:rPr>
                      </m:ctrlPr>
                    </m:dPr>
                    <m:e>
                      <m:d>
                        <m:dPr>
                          <m:begChr m:val="|"/>
                          <m:endChr m:val="|"/>
                          <m:ctrlPr>
                            <w:rPr>
                              <w:rFonts w:ascii="Cambria Math" w:hAnsi="Cambria Math"/>
                              <w:i/>
                            </w:rPr>
                          </m:ctrlPr>
                        </m:dPr>
                        <m:e>
                          <m:r>
                            <w:rPr>
                              <w:rFonts w:ascii="Cambria Math" w:hAnsi="Cambria Math"/>
                            </w:rPr>
                            <m:t>i-j</m:t>
                          </m:r>
                        </m:e>
                      </m:d>
                      <m:r>
                        <w:rPr>
                          <w:rFonts w:ascii="Cambria Math" w:hAnsi="Cambria Math"/>
                        </w:rPr>
                        <m:t xml:space="preserve"> ≤ w</m:t>
                      </m:r>
                    </m:e>
                  </m:d>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γ</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j</m:t>
                      </m:r>
                    </m:sub>
                  </m:sSub>
                </m:e>
              </m:d>
              <m:r>
                <w:rPr>
                  <w:rFonts w:ascii="Cambria Math" w:hAnsi="Cambria Math"/>
                </w:rPr>
                <m:t>+min</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CM</m:t>
                          </m:r>
                        </m:e>
                        <m:sub>
                          <m:r>
                            <w:rPr>
                              <w:rFonts w:ascii="Cambria Math" w:hAnsi="Cambria Math"/>
                            </w:rPr>
                            <m:t>DTW</m:t>
                          </m:r>
                          <m:d>
                            <m:dPr>
                              <m:ctrlPr>
                                <w:rPr>
                                  <w:rFonts w:ascii="Cambria Math" w:hAnsi="Cambria Math"/>
                                  <w:i/>
                                </w:rPr>
                              </m:ctrlPr>
                            </m:dPr>
                            <m:e>
                              <m:r>
                                <w:rPr>
                                  <w:rFonts w:ascii="Cambria Math" w:hAnsi="Cambria Math"/>
                                </w:rPr>
                                <m:t>i-1,j-1</m:t>
                              </m:r>
                            </m:e>
                          </m:d>
                        </m:sub>
                      </m:sSub>
                    </m:e>
                    <m:e>
                      <m:sSub>
                        <m:sSubPr>
                          <m:ctrlPr>
                            <w:rPr>
                              <w:rFonts w:ascii="Cambria Math" w:hAnsi="Cambria Math"/>
                              <w:i/>
                            </w:rPr>
                          </m:ctrlPr>
                        </m:sSubPr>
                        <m:e>
                          <m:r>
                            <w:rPr>
                              <w:rFonts w:ascii="Cambria Math" w:hAnsi="Cambria Math"/>
                            </w:rPr>
                            <m:t>CM</m:t>
                          </m:r>
                        </m:e>
                        <m:sub>
                          <m:r>
                            <w:rPr>
                              <w:rFonts w:ascii="Cambria Math" w:hAnsi="Cambria Math"/>
                            </w:rPr>
                            <m:t>DTW</m:t>
                          </m:r>
                          <m:d>
                            <m:dPr>
                              <m:ctrlPr>
                                <w:rPr>
                                  <w:rFonts w:ascii="Cambria Math" w:hAnsi="Cambria Math"/>
                                  <w:i/>
                                </w:rPr>
                              </m:ctrlPr>
                            </m:dPr>
                            <m:e>
                              <m:r>
                                <w:rPr>
                                  <w:rFonts w:ascii="Cambria Math" w:hAnsi="Cambria Math"/>
                                </w:rPr>
                                <m:t>i-1,j</m:t>
                              </m:r>
                            </m:e>
                          </m:d>
                        </m:sub>
                      </m:sSub>
                    </m:e>
                    <m:e>
                      <m:sSub>
                        <m:sSubPr>
                          <m:ctrlPr>
                            <w:rPr>
                              <w:rFonts w:ascii="Cambria Math" w:hAnsi="Cambria Math"/>
                              <w:i/>
                            </w:rPr>
                          </m:ctrlPr>
                        </m:sSubPr>
                        <m:e>
                          <m:r>
                            <w:rPr>
                              <w:rFonts w:ascii="Cambria Math" w:hAnsi="Cambria Math"/>
                            </w:rPr>
                            <m:t>CM</m:t>
                          </m:r>
                        </m:e>
                        <m:sub>
                          <m:r>
                            <w:rPr>
                              <w:rFonts w:ascii="Cambria Math" w:hAnsi="Cambria Math"/>
                            </w:rPr>
                            <m:t>DTW</m:t>
                          </m:r>
                          <m:d>
                            <m:dPr>
                              <m:ctrlPr>
                                <w:rPr>
                                  <w:rFonts w:ascii="Cambria Math" w:hAnsi="Cambria Math"/>
                                  <w:i/>
                                </w:rPr>
                              </m:ctrlPr>
                            </m:dPr>
                            <m:e>
                              <m:r>
                                <w:rPr>
                                  <w:rFonts w:ascii="Cambria Math" w:hAnsi="Cambria Math"/>
                                </w:rPr>
                                <m:t>i,j-1</m:t>
                              </m:r>
                            </m:e>
                          </m:d>
                        </m:sub>
                      </m:sSub>
                    </m:e>
                  </m:eqArr>
                </m:e>
              </m:d>
            </m:oMath>
            <w:r w:rsidR="00FA2582">
              <w:rPr>
                <w:rFonts w:ascii="Helvetica" w:eastAsiaTheme="minorEastAsia" w:hAnsi="Helvetica"/>
              </w:rPr>
              <w:t>.</w:t>
            </w:r>
          </w:p>
        </w:tc>
        <w:tc>
          <w:tcPr>
            <w:tcW w:w="547" w:type="dxa"/>
            <w:vAlign w:val="center"/>
          </w:tcPr>
          <w:p w14:paraId="04315CAC" w14:textId="5668CE84" w:rsidR="006E11E9" w:rsidRPr="006E11E9" w:rsidRDefault="006E11E9" w:rsidP="006E11E9">
            <w:pPr>
              <w:spacing w:after="120"/>
              <w:jc w:val="both"/>
              <w:rPr>
                <w:rFonts w:ascii="Helvetica" w:hAnsi="Helvetica"/>
              </w:rPr>
            </w:pPr>
            <w:r w:rsidRPr="006E11E9">
              <w:rPr>
                <w:rFonts w:ascii="Helvetica" w:hAnsi="Helvetica"/>
              </w:rPr>
              <w:t>(</w:t>
            </w:r>
            <w:r w:rsidR="005A1E25">
              <w:rPr>
                <w:rFonts w:ascii="Helvetica" w:hAnsi="Helvetica"/>
              </w:rPr>
              <w:t>S</w:t>
            </w:r>
            <w:r w:rsidRPr="006E11E9">
              <w:rPr>
                <w:rFonts w:ascii="Helvetica" w:hAnsi="Helvetica"/>
              </w:rPr>
              <w:t>2)</w:t>
            </w:r>
          </w:p>
        </w:tc>
      </w:tr>
    </w:tbl>
    <w:p w14:paraId="0F476F1A" w14:textId="7C8858CF" w:rsidR="006E11E9" w:rsidRPr="006E11E9" w:rsidRDefault="00BC3E8E" w:rsidP="006E11E9">
      <w:pPr>
        <w:spacing w:after="120" w:line="240" w:lineRule="auto"/>
        <w:jc w:val="both"/>
        <w:rPr>
          <w:rFonts w:ascii="Helvetica" w:hAnsi="Helvetica"/>
        </w:rPr>
      </w:pPr>
      <w:r w:rsidRPr="00BC3E8E">
        <w:rPr>
          <w:rFonts w:ascii="Helvetica" w:hAnsi="Helvetica"/>
        </w:rPr>
        <w:t xml:space="preserve">After completion of the cumulative cost matrix, the optimal warping path </w:t>
      </w:r>
      <m:oMath>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x</m:t>
                </m:r>
              </m:sub>
            </m:sSub>
            <m:r>
              <w:rPr>
                <w:rFonts w:ascii="Cambria Math" w:hAnsi="Cambria Math"/>
              </w:rPr>
              <m:t>(τ),</m:t>
            </m:r>
            <m:sSub>
              <m:sSubPr>
                <m:ctrlPr>
                  <w:rPr>
                    <w:rFonts w:ascii="Cambria Math" w:hAnsi="Cambria Math"/>
                  </w:rPr>
                </m:ctrlPr>
              </m:sSubPr>
              <m:e>
                <m:r>
                  <w:rPr>
                    <w:rFonts w:ascii="Cambria Math" w:hAnsi="Cambria Math"/>
                  </w:rPr>
                  <m:t>φ</m:t>
                </m:r>
              </m:e>
              <m:sub>
                <m:r>
                  <w:rPr>
                    <w:rFonts w:ascii="Cambria Math" w:hAnsi="Cambria Math"/>
                  </w:rPr>
                  <m:t>y</m:t>
                </m:r>
              </m:sub>
            </m:sSub>
            <m:r>
              <w:rPr>
                <w:rFonts w:ascii="Cambria Math" w:hAnsi="Cambria Math"/>
              </w:rPr>
              <m:t>(τ)</m:t>
            </m:r>
          </m:e>
        </m:d>
      </m:oMath>
      <w:r w:rsidRPr="00BC3E8E">
        <w:rPr>
          <w:rFonts w:ascii="Helvetica" w:hAnsi="Helvetica"/>
        </w:rPr>
        <w:t xml:space="preserve">, with length </w:t>
      </w:r>
      <m:oMath>
        <m:d>
          <m:dPr>
            <m:begChr m:val="|"/>
            <m:endChr m:val="|"/>
            <m:ctrlPr>
              <w:rPr>
                <w:rFonts w:ascii="Cambria Math" w:hAnsi="Cambria Math"/>
                <w:i/>
              </w:rPr>
            </m:ctrlPr>
          </m:dPr>
          <m:e>
            <m:r>
              <w:rPr>
                <w:rFonts w:ascii="Cambria Math" w:hAnsi="Cambria Math"/>
              </w:rPr>
              <m:t>τ</m:t>
            </m:r>
          </m:e>
        </m:d>
        <m:r>
          <w:rPr>
            <w:rFonts w:ascii="Cambria Math" w:hAnsi="Cambria Math"/>
          </w:rPr>
          <m:t>≥N</m:t>
        </m:r>
      </m:oMath>
      <w:r w:rsidRPr="00BC3E8E">
        <w:rPr>
          <w:rFonts w:ascii="Helvetica" w:hAnsi="Helvetica"/>
        </w:rPr>
        <w:t>, was obtained by standard backtracking. From this path, a time-resolved DTW distance was defined as</w:t>
      </w:r>
    </w:p>
    <w:tbl>
      <w:tblPr>
        <w:tblStyle w:val="TableGrid"/>
        <w:tblW w:w="9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4"/>
        <w:gridCol w:w="670"/>
      </w:tblGrid>
      <w:tr w:rsidR="006E11E9" w:rsidRPr="006E11E9" w14:paraId="0B66A5C4" w14:textId="77777777" w:rsidTr="00132908">
        <w:trPr>
          <w:trHeight w:val="398"/>
          <w:jc w:val="center"/>
        </w:trPr>
        <w:tc>
          <w:tcPr>
            <w:tcW w:w="8742" w:type="dxa"/>
            <w:vAlign w:val="center"/>
          </w:tcPr>
          <w:p w14:paraId="427DE8C6" w14:textId="55E12E5B" w:rsidR="006E11E9" w:rsidRPr="006E11E9" w:rsidRDefault="00000000" w:rsidP="00FA2582">
            <w:pPr>
              <w:spacing w:after="120"/>
              <w:jc w:val="center"/>
              <w:rPr>
                <w:rFonts w:ascii="Helvetica" w:hAnsi="Helvetica"/>
              </w:rPr>
            </w:pPr>
            <m:oMath>
              <m:sSub>
                <m:sSubPr>
                  <m:ctrlPr>
                    <w:rPr>
                      <w:rFonts w:ascii="Cambria Math" w:hAnsi="Cambria Math"/>
                      <w:i/>
                    </w:rPr>
                  </m:ctrlPr>
                </m:sSubPr>
                <m:e>
                  <m:r>
                    <w:rPr>
                      <w:rFonts w:ascii="Cambria Math" w:hAnsi="Cambria Math"/>
                    </w:rPr>
                    <m:t>D</m:t>
                  </m:r>
                </m:e>
                <m:sub>
                  <m:r>
                    <w:rPr>
                      <w:rFonts w:ascii="Cambria Math" w:hAnsi="Cambria Math"/>
                    </w:rPr>
                    <m:t>tr</m:t>
                  </m:r>
                </m:sub>
              </m:sSub>
              <m:r>
                <m:rPr>
                  <m:sty m:val="bi"/>
                </m:rPr>
                <w:rPr>
                  <w:rFonts w:ascii="Cambria Math" w:hAnsi="Cambria Math"/>
                </w:rPr>
                <m:t>(</m:t>
              </m:r>
              <m:r>
                <w:rPr>
                  <w:rFonts w:ascii="Cambria Math" w:hAnsi="Cambria Math"/>
                </w:rPr>
                <m:t>τ</m:t>
              </m:r>
              <m:r>
                <m:rPr>
                  <m:sty m:val="bi"/>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x</m:t>
                              </m:r>
                            </m:sub>
                          </m:sSub>
                          <m:d>
                            <m:dPr>
                              <m:ctrlPr>
                                <w:rPr>
                                  <w:rFonts w:ascii="Cambria Math" w:hAnsi="Cambria Math"/>
                                  <w:i/>
                                </w:rPr>
                              </m:ctrlPr>
                            </m:dPr>
                            <m:e>
                              <m:r>
                                <w:rPr>
                                  <w:rFonts w:ascii="Cambria Math" w:hAnsi="Cambria Math"/>
                                </w:rPr>
                                <m:t>τ</m:t>
                              </m:r>
                            </m:e>
                          </m:d>
                        </m:e>
                      </m:d>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y</m:t>
                              </m:r>
                            </m:sub>
                          </m:sSub>
                          <m:d>
                            <m:dPr>
                              <m:ctrlPr>
                                <w:rPr>
                                  <w:rFonts w:ascii="Cambria Math" w:hAnsi="Cambria Math"/>
                                  <w:i/>
                                </w:rPr>
                              </m:ctrlPr>
                            </m:dPr>
                            <m:e>
                              <m:r>
                                <w:rPr>
                                  <w:rFonts w:ascii="Cambria Math" w:hAnsi="Cambria Math"/>
                                </w:rPr>
                                <m:t>τ</m:t>
                              </m:r>
                            </m:e>
                          </m:d>
                        </m:e>
                      </m:d>
                    </m:e>
                  </m:d>
                </m:e>
                <m:sup>
                  <m:r>
                    <w:rPr>
                      <w:rFonts w:ascii="Cambria Math" w:hAnsi="Cambria Math"/>
                    </w:rPr>
                    <m:t>γ</m:t>
                  </m:r>
                </m:sup>
              </m:sSup>
            </m:oMath>
            <w:r w:rsidR="00FA2582">
              <w:rPr>
                <w:rFonts w:ascii="Helvetica" w:eastAsiaTheme="minorEastAsia" w:hAnsi="Helvetica"/>
              </w:rPr>
              <w:t>.</w:t>
            </w:r>
          </w:p>
        </w:tc>
        <w:tc>
          <w:tcPr>
            <w:tcW w:w="592" w:type="dxa"/>
            <w:vAlign w:val="center"/>
          </w:tcPr>
          <w:p w14:paraId="7357D3D6" w14:textId="0DC77B04" w:rsidR="006E11E9" w:rsidRPr="006E11E9" w:rsidRDefault="006E11E9" w:rsidP="006E11E9">
            <w:pPr>
              <w:spacing w:after="120"/>
              <w:jc w:val="both"/>
              <w:rPr>
                <w:rFonts w:ascii="Helvetica" w:hAnsi="Helvetica"/>
              </w:rPr>
            </w:pPr>
            <w:r w:rsidRPr="006E11E9">
              <w:rPr>
                <w:rFonts w:ascii="Helvetica" w:hAnsi="Helvetica"/>
              </w:rPr>
              <w:t>(</w:t>
            </w:r>
            <w:r w:rsidR="005A1E25">
              <w:rPr>
                <w:rFonts w:ascii="Helvetica" w:hAnsi="Helvetica"/>
              </w:rPr>
              <w:t>S</w:t>
            </w:r>
            <w:r w:rsidRPr="006E11E9">
              <w:rPr>
                <w:rFonts w:ascii="Helvetica" w:hAnsi="Helvetica"/>
              </w:rPr>
              <w:t>3)</w:t>
            </w:r>
          </w:p>
        </w:tc>
      </w:tr>
    </w:tbl>
    <w:p w14:paraId="1BDD16EC" w14:textId="074579D8" w:rsidR="00FA2582" w:rsidRDefault="00FA2582" w:rsidP="006E11E9">
      <w:pPr>
        <w:spacing w:after="120" w:line="240" w:lineRule="auto"/>
        <w:jc w:val="both"/>
        <w:rPr>
          <w:rFonts w:ascii="Helvetica" w:hAnsi="Helvetica"/>
        </w:rPr>
      </w:pPr>
      <w:r w:rsidRPr="00FA2582">
        <w:rPr>
          <w:rFonts w:ascii="Helvetica" w:hAnsi="Helvetica"/>
        </w:rPr>
        <w:t xml:space="preserve">To obtain a uniformly sampled distance trajectory, </w:t>
      </w:r>
      <m:oMath>
        <m:sSub>
          <m:sSubPr>
            <m:ctrlPr>
              <w:rPr>
                <w:rFonts w:ascii="Cambria Math" w:hAnsi="Cambria Math"/>
              </w:rPr>
            </m:ctrlPr>
          </m:sSubPr>
          <m:e>
            <m:r>
              <w:rPr>
                <w:rFonts w:ascii="Cambria Math" w:hAnsi="Cambria Math"/>
              </w:rPr>
              <m:t>D</m:t>
            </m:r>
          </m:e>
          <m:sub>
            <m:r>
              <m:rPr>
                <m:sty m:val="p"/>
              </m:rPr>
              <w:rPr>
                <w:rFonts w:ascii="Cambria Math" w:hAnsi="Cambria Math"/>
              </w:rPr>
              <m:t>tr</m:t>
            </m:r>
          </m:sub>
        </m:sSub>
        <m:r>
          <w:rPr>
            <w:rFonts w:ascii="Cambria Math" w:hAnsi="Cambria Math"/>
          </w:rPr>
          <m:t>(τ)</m:t>
        </m:r>
      </m:oMath>
      <w:r w:rsidRPr="00FA2582">
        <w:rPr>
          <w:rFonts w:ascii="Helvetica" w:hAnsi="Helvetica"/>
        </w:rPr>
        <w:t xml:space="preserve">was resampled at integer time indices </w:t>
      </w:r>
      <m:oMath>
        <m:r>
          <w:rPr>
            <w:rFonts w:ascii="Cambria Math" w:hAnsi="Cambria Math"/>
          </w:rPr>
          <m:t>i=1,…,N</m:t>
        </m:r>
      </m:oMath>
      <w:r>
        <w:rPr>
          <w:rFonts w:ascii="Helvetica" w:eastAsiaTheme="minorEastAsia" w:hAnsi="Helvetica"/>
        </w:rPr>
        <w:t xml:space="preserve"> </w:t>
      </w:r>
      <w:r w:rsidRPr="00FA2582">
        <w:rPr>
          <w:rFonts w:ascii="Helvetica" w:hAnsi="Helvetica"/>
        </w:rPr>
        <w:t xml:space="preserve">using a piecewise cubic Hermite interpolating polynomial (PCHIP), yielding </w:t>
      </w:r>
      <m:oMath>
        <m:sSubSup>
          <m:sSubSupPr>
            <m:ctrlPr>
              <w:rPr>
                <w:rFonts w:ascii="Cambria Math" w:hAnsi="Cambria Math"/>
              </w:rPr>
            </m:ctrlPr>
          </m:sSubSupPr>
          <m:e>
            <m:r>
              <w:rPr>
                <w:rFonts w:ascii="Cambria Math" w:hAnsi="Cambria Math"/>
              </w:rPr>
              <m:t>D</m:t>
            </m:r>
          </m:e>
          <m:sub>
            <m:r>
              <m:rPr>
                <m:sty m:val="p"/>
              </m:rPr>
              <w:rPr>
                <w:rFonts w:ascii="Cambria Math" w:hAnsi="Cambria Math"/>
              </w:rPr>
              <m:t>tr</m:t>
            </m:r>
          </m:sub>
          <m:sup>
            <m:r>
              <m:rPr>
                <m:sty m:val="p"/>
              </m:rPr>
              <w:rPr>
                <w:rFonts w:ascii="Cambria Math" w:hAnsi="Cambria Math"/>
              </w:rPr>
              <m:t>pchip</m:t>
            </m:r>
          </m:sup>
        </m:sSubSup>
        <m:r>
          <w:rPr>
            <w:rFonts w:ascii="Cambria Math" w:hAnsi="Cambria Math"/>
          </w:rPr>
          <m:t>(i)</m:t>
        </m:r>
      </m:oMath>
      <w:r w:rsidR="0018437A" w:rsidRPr="0018437A">
        <w:rPr>
          <w:rFonts w:ascii="Helvetica" w:hAnsi="Helvetica"/>
          <w:bCs/>
        </w:rPr>
        <w:t xml:space="preserve"> </w:t>
      </w:r>
      <w:r w:rsidR="0018437A" w:rsidRPr="006E11E9">
        <w:rPr>
          <w:rFonts w:ascii="Helvetica" w:hAnsi="Helvetica"/>
          <w:bCs/>
        </w:rPr>
        <w:fldChar w:fldCharType="begin"/>
      </w:r>
      <w:r w:rsidR="0018437A">
        <w:rPr>
          <w:rFonts w:ascii="Helvetica" w:hAnsi="Helvetica"/>
          <w:bCs/>
        </w:rPr>
        <w:instrText xml:space="preserve"> ADDIN EN.CITE &lt;EndNote&gt;&lt;Cite&gt;&lt;Author&gt;Wiafe&lt;/Author&gt;&lt;Year&gt;2025&lt;/Year&gt;&lt;RecNum&gt;476&lt;/RecNum&gt;&lt;DisplayText&gt;&lt;style face="superscript"&gt;8&lt;/style&gt;&lt;/DisplayText&gt;&lt;record&gt;&lt;rec-number&gt;476&lt;/rec-number&gt;&lt;foreign-keys&gt;&lt;key app="EN" db-id="dfxzs5axftpvr3e9svox5v05v59v5v0wa9p0" timestamp="1747005865"&gt;476&lt;/key&gt;&lt;/foreign-keys&gt;&lt;ref-type name="Journal Article"&gt;17&lt;/ref-type&gt;&lt;contributors&gt;&lt;authors&gt;&lt;author&gt;Wiafe, Sir-Lord&lt;/author&gt;&lt;author&gt;Kinsey, Spencer&lt;/author&gt;&lt;author&gt;Soleimani, Najme&lt;/author&gt;&lt;author&gt;Nsafoa, Raymond O&lt;/author&gt;&lt;author&gt;Khasayeva, Nigar&lt;/author&gt;&lt;author&gt;Harikumar, Amritha&lt;/author&gt;&lt;author&gt;Miller, Robyn&lt;/author&gt;&lt;author&gt;Calhoun, Vince D&lt;/author&gt;&lt;/authors&gt;&lt;/contributors&gt;&lt;titles&gt;&lt;title&gt;Mapping Dynamic Metabolic Energy Distribution in Brain Networks using fMRI: A Novel Dynamic Time Warping Framework&lt;/title&gt;&lt;secondary-title&gt;bioRxiv&lt;/secondary-title&gt;&lt;/titles&gt;&lt;periodical&gt;&lt;full-title&gt;bioRxiv&lt;/full-title&gt;&lt;/periodical&gt;&lt;pages&gt;2025.03. 20.644399&lt;/pages&gt;&lt;dates&gt;&lt;year&gt;2025&lt;/year&gt;&lt;/dates&gt;&lt;urls&gt;&lt;/urls&gt;&lt;/record&gt;&lt;/Cite&gt;&lt;/EndNote&gt;</w:instrText>
      </w:r>
      <w:r w:rsidR="0018437A" w:rsidRPr="006E11E9">
        <w:rPr>
          <w:rFonts w:ascii="Helvetica" w:hAnsi="Helvetica"/>
          <w:bCs/>
        </w:rPr>
        <w:fldChar w:fldCharType="separate"/>
      </w:r>
      <w:r w:rsidR="0018437A" w:rsidRPr="00BE6D58">
        <w:rPr>
          <w:rFonts w:ascii="Helvetica" w:hAnsi="Helvetica"/>
          <w:bCs/>
          <w:noProof/>
          <w:vertAlign w:val="superscript"/>
        </w:rPr>
        <w:t>8</w:t>
      </w:r>
      <w:r w:rsidR="0018437A" w:rsidRPr="006E11E9">
        <w:rPr>
          <w:rFonts w:ascii="Helvetica" w:hAnsi="Helvetica"/>
        </w:rPr>
        <w:fldChar w:fldCharType="end"/>
      </w:r>
      <w:r w:rsidR="0018437A">
        <w:rPr>
          <w:rFonts w:ascii="Helvetica" w:hAnsi="Helvetica"/>
        </w:rPr>
        <w:t>.</w:t>
      </w:r>
    </w:p>
    <w:p w14:paraId="102D68BF" w14:textId="7EBFF691" w:rsidR="006E11E9" w:rsidRPr="006E11E9" w:rsidRDefault="00AC0232" w:rsidP="006E11E9">
      <w:pPr>
        <w:spacing w:after="120" w:line="240" w:lineRule="auto"/>
        <w:jc w:val="both"/>
        <w:rPr>
          <w:rFonts w:ascii="Helvetica" w:hAnsi="Helvetica"/>
        </w:rPr>
      </w:pPr>
      <w:r>
        <w:t xml:space="preserve">Finally, for each time point </w:t>
      </w:r>
      <m:oMath>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a</m:t>
            </m:r>
          </m:sub>
        </m:sSub>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a</m:t>
            </m:r>
          </m:sub>
        </m:sSub>
      </m:oMath>
      <w:r>
        <w:rPr>
          <w:rFonts w:eastAsiaTheme="minorEastAsia"/>
        </w:rPr>
        <w:t xml:space="preserve"> </w:t>
      </w:r>
      <w:r>
        <w:t>denotes the end of the anchor baseline window, the cumulative trajectory was defined as the running cumulative average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70"/>
      </w:tblGrid>
      <w:tr w:rsidR="006E11E9" w:rsidRPr="006E11E9" w14:paraId="2220D45E" w14:textId="77777777" w:rsidTr="00132908">
        <w:trPr>
          <w:trHeight w:val="608"/>
          <w:jc w:val="center"/>
        </w:trPr>
        <w:tc>
          <w:tcPr>
            <w:tcW w:w="8840" w:type="dxa"/>
            <w:vAlign w:val="center"/>
          </w:tcPr>
          <w:p w14:paraId="39181E4F" w14:textId="40ACAB38" w:rsidR="006E11E9" w:rsidRPr="006E11E9" w:rsidRDefault="00AC0232" w:rsidP="006E11E9">
            <w:pPr>
              <w:spacing w:after="120"/>
              <w:jc w:val="both"/>
              <w:rPr>
                <w:rFonts w:ascii="Helvetica" w:hAnsi="Helvetica"/>
              </w:rPr>
            </w:pPr>
            <m:oMathPara>
              <m:oMathParaPr>
                <m:jc m:val="center"/>
              </m:oMathParaPr>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t</m:t>
                    </m:r>
                  </m:sup>
                  <m:e>
                    <m:sSubSup>
                      <m:sSubSupPr>
                        <m:ctrlPr>
                          <w:rPr>
                            <w:rFonts w:ascii="Cambria Math" w:hAnsi="Cambria Math"/>
                            <w:i/>
                          </w:rPr>
                        </m:ctrlPr>
                      </m:sSubSupPr>
                      <m:e>
                        <m:r>
                          <w:rPr>
                            <w:rFonts w:ascii="Cambria Math" w:hAnsi="Cambria Math"/>
                          </w:rPr>
                          <m:t>D</m:t>
                        </m:r>
                      </m:e>
                      <m:sub>
                        <m:r>
                          <w:rPr>
                            <w:rFonts w:ascii="Cambria Math" w:hAnsi="Cambria Math"/>
                          </w:rPr>
                          <m:t>tr</m:t>
                        </m:r>
                      </m:sub>
                      <m:sup>
                        <m:r>
                          <w:rPr>
                            <w:rFonts w:ascii="Cambria Math" w:hAnsi="Cambria Math"/>
                          </w:rPr>
                          <m:t>pchip</m:t>
                        </m:r>
                      </m:sup>
                    </m:sSubSup>
                    <m:d>
                      <m:dPr>
                        <m:ctrlPr>
                          <w:rPr>
                            <w:rFonts w:ascii="Cambria Math" w:hAnsi="Cambria Math"/>
                            <w:b/>
                            <w:i/>
                          </w:rPr>
                        </m:ctrlPr>
                      </m:dPr>
                      <m:e>
                        <m:r>
                          <w:rPr>
                            <w:rFonts w:ascii="Cambria Math" w:hAnsi="Cambria Math"/>
                          </w:rPr>
                          <m:t>i</m:t>
                        </m:r>
                      </m:e>
                    </m:d>
                  </m:e>
                </m:nary>
                <m:r>
                  <w:rPr>
                    <w:rFonts w:ascii="Cambria Math" w:hAnsi="Cambria Math"/>
                  </w:rPr>
                  <m:t>.</m:t>
                </m:r>
              </m:oMath>
            </m:oMathPara>
          </w:p>
        </w:tc>
        <w:tc>
          <w:tcPr>
            <w:tcW w:w="510" w:type="dxa"/>
            <w:vAlign w:val="center"/>
          </w:tcPr>
          <w:p w14:paraId="6D4F9C01" w14:textId="38C712DC" w:rsidR="006E11E9" w:rsidRPr="006E11E9" w:rsidRDefault="006E11E9" w:rsidP="006E11E9">
            <w:pPr>
              <w:spacing w:after="120"/>
              <w:jc w:val="both"/>
              <w:rPr>
                <w:rFonts w:ascii="Helvetica" w:hAnsi="Helvetica"/>
              </w:rPr>
            </w:pPr>
            <w:r w:rsidRPr="006E11E9">
              <w:rPr>
                <w:rFonts w:ascii="Helvetica" w:hAnsi="Helvetica"/>
              </w:rPr>
              <w:t>(</w:t>
            </w:r>
            <w:r w:rsidR="005A1E25">
              <w:rPr>
                <w:rFonts w:ascii="Helvetica" w:hAnsi="Helvetica"/>
              </w:rPr>
              <w:t>S</w:t>
            </w:r>
            <w:r w:rsidRPr="006E11E9">
              <w:rPr>
                <w:rFonts w:ascii="Helvetica" w:hAnsi="Helvetica"/>
              </w:rPr>
              <w:t>4)</w:t>
            </w:r>
          </w:p>
        </w:tc>
      </w:tr>
    </w:tbl>
    <w:p w14:paraId="607FD351" w14:textId="6DAA6947" w:rsidR="006E11E9" w:rsidRDefault="00AC0232" w:rsidP="006E11E9">
      <w:pPr>
        <w:spacing w:after="120" w:line="240" w:lineRule="auto"/>
        <w:jc w:val="both"/>
        <w:rPr>
          <w:rFonts w:ascii="Helvetica" w:hAnsi="Helvetica"/>
        </w:rPr>
      </w:pPr>
      <w:r w:rsidRPr="00AC0232">
        <w:rPr>
          <w:rFonts w:ascii="Helvetica" w:hAnsi="Helvetica"/>
        </w:rPr>
        <w:t xml:space="preserve">This cumulative DTW trajectory constitutes the observed signal </w:t>
      </w:r>
      <m:oMath>
        <m:r>
          <w:rPr>
            <w:rFonts w:ascii="Cambria Math" w:hAnsi="Cambria Math"/>
          </w:rPr>
          <m:t>y(t)</m:t>
        </m:r>
      </m:oMath>
      <w:r w:rsidR="00C21980">
        <w:rPr>
          <w:rFonts w:ascii="Helvetica" w:eastAsiaTheme="minorEastAsia" w:hAnsi="Helvetica"/>
        </w:rPr>
        <w:t xml:space="preserve"> </w:t>
      </w:r>
      <w:r w:rsidRPr="00AC0232">
        <w:rPr>
          <w:rFonts w:ascii="Helvetica" w:hAnsi="Helvetica"/>
        </w:rPr>
        <w:t>in the inertial state-space model. Latent state evolution and functional inertia measures were then derived from this trajectory as described in the main Methods.</w:t>
      </w:r>
    </w:p>
    <w:p w14:paraId="7E0927A5" w14:textId="0601C15D" w:rsidR="00C308FD" w:rsidRDefault="00C308FD" w:rsidP="00C308FD">
      <w:pPr>
        <w:spacing w:before="100" w:beforeAutospacing="1" w:after="100" w:afterAutospacing="1" w:line="240" w:lineRule="auto"/>
        <w:jc w:val="both"/>
        <w:rPr>
          <w:rFonts w:ascii="Helvetica" w:hAnsi="Helvetica"/>
          <w:b/>
          <w:bCs/>
          <w:sz w:val="28"/>
          <w:szCs w:val="28"/>
        </w:rPr>
      </w:pPr>
      <w:r>
        <w:rPr>
          <w:rFonts w:ascii="Helvetica" w:hAnsi="Helvetica"/>
          <w:b/>
          <w:bCs/>
          <w:sz w:val="28"/>
          <w:szCs w:val="28"/>
        </w:rPr>
        <w:t xml:space="preserve">Estimation </w:t>
      </w:r>
      <w:r w:rsidRPr="00C308FD">
        <w:rPr>
          <w:rFonts w:ascii="Helvetica" w:hAnsi="Helvetica"/>
          <w:b/>
          <w:bCs/>
          <w:sz w:val="28"/>
          <w:szCs w:val="28"/>
        </w:rPr>
        <w:t xml:space="preserve">of the </w:t>
      </w:r>
      <w:r>
        <w:rPr>
          <w:rFonts w:ascii="Helvetica" w:hAnsi="Helvetica"/>
          <w:b/>
          <w:bCs/>
          <w:sz w:val="28"/>
          <w:szCs w:val="28"/>
        </w:rPr>
        <w:t>FII using DTW</w:t>
      </w:r>
    </w:p>
    <w:p w14:paraId="6B9F8751" w14:textId="1D72AB73" w:rsidR="00C308FD" w:rsidRDefault="00697F93" w:rsidP="00C308FD">
      <w:pPr>
        <w:jc w:val="both"/>
        <w:rPr>
          <w:rFonts w:ascii="Helvetica" w:hAnsi="Helvetica"/>
        </w:rPr>
      </w:pPr>
      <w:r w:rsidRPr="00697F93">
        <w:rPr>
          <w:rFonts w:ascii="Helvetica" w:hAnsi="Helvetica"/>
        </w:rPr>
        <w:t xml:space="preserve">For each cumulative DTW trajectory </w:t>
      </w:r>
      <m:oMath>
        <m:r>
          <w:rPr>
            <w:rFonts w:ascii="Cambria Math" w:hAnsi="Cambria Math"/>
          </w:rPr>
          <m:t>c(t)</m:t>
        </m:r>
      </m:oMath>
      <w:r w:rsidRPr="00697F93">
        <w:rPr>
          <w:rFonts w:ascii="Helvetica" w:hAnsi="Helvetica"/>
        </w:rPr>
        <w:t xml:space="preserve">, the FII was estimated as the temporal derivative of the latent trajectory. Because direct differencing amplifies high-frequency noise, temporal smoothing was applied </w:t>
      </w:r>
      <w:r>
        <w:rPr>
          <w:rFonts w:ascii="Helvetica" w:hAnsi="Helvetica"/>
        </w:rPr>
        <w:t>before</w:t>
      </w:r>
      <w:r w:rsidRPr="00697F93">
        <w:rPr>
          <w:rFonts w:ascii="Helvetica" w:hAnsi="Helvetica"/>
        </w:rPr>
        <w:t xml:space="preserve"> differentiation to obtain a robust estimate of moment-to-moment reconfiguration.</w:t>
      </w:r>
      <w:r>
        <w:rPr>
          <w:rFonts w:ascii="Helvetica" w:hAnsi="Helvetica"/>
        </w:rPr>
        <w:t xml:space="preserve"> </w:t>
      </w:r>
      <w:r w:rsidRPr="00697F93">
        <w:rPr>
          <w:rFonts w:ascii="Helvetica" w:hAnsi="Helvetica"/>
        </w:rPr>
        <w:t xml:space="preserve">Specifically, a Gaussian filter was applied to each cumulative trajectory to obtain a smoothed trajectory </w:t>
      </w:r>
      <m:oMath>
        <m:acc>
          <m:accPr>
            <m:chr m:val="̃"/>
            <m:ctrlPr>
              <w:rPr>
                <w:rFonts w:ascii="Cambria Math" w:hAnsi="Cambria Math"/>
              </w:rPr>
            </m:ctrlPr>
          </m:accPr>
          <m:e>
            <m:r>
              <w:rPr>
                <w:rFonts w:ascii="Cambria Math" w:hAnsi="Cambria Math"/>
              </w:rPr>
              <m:t>c</m:t>
            </m:r>
          </m:e>
        </m:acc>
        <m:r>
          <w:rPr>
            <w:rFonts w:ascii="Cambria Math" w:hAnsi="Cambria Math"/>
          </w:rPr>
          <m:t>(t)</m:t>
        </m:r>
      </m:oMath>
      <w:r w:rsidRPr="00697F93">
        <w:rPr>
          <w:rFonts w:ascii="Helvetica" w:hAnsi="Helvetica"/>
        </w:rPr>
        <w:t xml:space="preserve">. The filter bandwidth was selected in a data-driven manner based on the frequency content of </w:t>
      </w:r>
      <m:oMath>
        <m:r>
          <w:rPr>
            <w:rFonts w:ascii="Cambria Math" w:hAnsi="Cambria Math"/>
          </w:rPr>
          <m:t>c(t)</m:t>
        </m:r>
      </m:oMath>
      <w:r w:rsidRPr="00697F93">
        <w:rPr>
          <w:rFonts w:ascii="Helvetica" w:hAnsi="Helvetica"/>
        </w:rPr>
        <w:t xml:space="preserve">. The mean power spectral density (PSD) of the cumulative trajectories was computed across subjects, and the frequency </w:t>
      </w:r>
      <m:oMath>
        <m:sSub>
          <m:sSubPr>
            <m:ctrlPr>
              <w:rPr>
                <w:rFonts w:ascii="Cambria Math" w:hAnsi="Cambria Math"/>
              </w:rPr>
            </m:ctrlPr>
          </m:sSubPr>
          <m:e>
            <m:r>
              <w:rPr>
                <w:rFonts w:ascii="Cambria Math" w:hAnsi="Cambria Math"/>
              </w:rPr>
              <m:t>f</m:t>
            </m:r>
          </m:e>
          <m:sub>
            <m:r>
              <w:rPr>
                <w:rFonts w:ascii="Cambria Math" w:hAnsi="Cambria Math"/>
              </w:rPr>
              <m:t>p</m:t>
            </m:r>
          </m:sub>
        </m:sSub>
      </m:oMath>
      <w:r>
        <w:rPr>
          <w:rFonts w:ascii="Helvetica" w:eastAsiaTheme="minorEastAsia" w:hAnsi="Helvetica"/>
        </w:rPr>
        <w:t xml:space="preserve"> </w:t>
      </w:r>
      <w:r w:rsidRPr="00697F93">
        <w:rPr>
          <w:rFonts w:ascii="Helvetica" w:hAnsi="Helvetica"/>
        </w:rPr>
        <w:t xml:space="preserve">at </w:t>
      </w:r>
      <w:r w:rsidR="00666C37">
        <w:rPr>
          <w:rFonts w:ascii="Helvetica" w:hAnsi="Helvetica"/>
        </w:rPr>
        <w:t>the elbow of the power log of th</w:t>
      </w:r>
      <w:r w:rsidRPr="00697F93">
        <w:rPr>
          <w:rFonts w:ascii="Helvetica" w:hAnsi="Helvetica"/>
        </w:rPr>
        <w:t>e PSD was identified. This frequency was used as the −3 dB (half-power) cutoff of the Gaussian filter.</w:t>
      </w:r>
    </w:p>
    <w:p w14:paraId="71581E20" w14:textId="3711DAA1" w:rsidR="00697F93" w:rsidRDefault="00697F93" w:rsidP="00C308FD">
      <w:pPr>
        <w:jc w:val="both"/>
        <w:rPr>
          <w:rFonts w:ascii="Helvetica" w:hAnsi="Helvetica"/>
        </w:rPr>
      </w:pPr>
      <w:r w:rsidRPr="00697F93">
        <w:rPr>
          <w:rFonts w:ascii="Helvetica" w:hAnsi="Helvetica"/>
        </w:rPr>
        <w:t>The frequency response of the Gaussian filter is given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70"/>
      </w:tblGrid>
      <w:tr w:rsidR="00697F93" w:rsidRPr="006E11E9" w14:paraId="507AAAF6" w14:textId="77777777" w:rsidTr="00132908">
        <w:trPr>
          <w:trHeight w:val="798"/>
          <w:jc w:val="center"/>
        </w:trPr>
        <w:tc>
          <w:tcPr>
            <w:tcW w:w="8827" w:type="dxa"/>
            <w:vAlign w:val="center"/>
          </w:tcPr>
          <w:p w14:paraId="04898FFD" w14:textId="21DD1E97" w:rsidR="00697F93" w:rsidRPr="006E11E9" w:rsidRDefault="00000000" w:rsidP="00A178B7">
            <w:pPr>
              <w:spacing w:after="120"/>
              <w:jc w:val="both"/>
              <w:rPr>
                <w:rFonts w:ascii="Helvetica" w:hAnsi="Helvetica"/>
              </w:rP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H</m:t>
                        </m:r>
                        <m:d>
                          <m:dPr>
                            <m:ctrlPr>
                              <w:rPr>
                                <w:rFonts w:ascii="Cambria Math" w:hAnsi="Cambria Math"/>
                                <w:i/>
                              </w:rPr>
                            </m:ctrlPr>
                          </m:dPr>
                          <m:e>
                            <m:r>
                              <w:rPr>
                                <w:rFonts w:ascii="Cambria Math" w:hAnsi="Cambria Math"/>
                              </w:rPr>
                              <m:t>f</m:t>
                            </m:r>
                          </m:e>
                        </m:d>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πf</m:t>
                            </m:r>
                            <m:sSub>
                              <m:sSubPr>
                                <m:ctrlPr>
                                  <w:rPr>
                                    <w:rFonts w:ascii="Cambria Math" w:hAnsi="Cambria Math"/>
                                    <w:i/>
                                  </w:rPr>
                                </m:ctrlPr>
                              </m:sSubPr>
                              <m:e>
                                <m:r>
                                  <w:rPr>
                                    <w:rFonts w:ascii="Cambria Math" w:hAnsi="Cambria Math"/>
                                  </w:rPr>
                                  <m:t>σ</m:t>
                                </m:r>
                              </m:e>
                              <m:sub>
                                <m:r>
                                  <w:rPr>
                                    <w:rFonts w:ascii="Cambria Math" w:hAnsi="Cambria Math"/>
                                  </w:rPr>
                                  <m:t>t</m:t>
                                </m:r>
                              </m:sub>
                            </m:sSub>
                          </m:e>
                        </m:d>
                      </m:e>
                      <m:sup>
                        <m:r>
                          <w:rPr>
                            <w:rFonts w:ascii="Cambria Math" w:hAnsi="Cambria Math"/>
                          </w:rPr>
                          <m:t>2</m:t>
                        </m:r>
                      </m:sup>
                    </m:sSup>
                  </m:sup>
                </m:sSup>
                <m:r>
                  <w:rPr>
                    <w:rFonts w:ascii="Cambria Math" w:hAnsi="Cambria Math"/>
                  </w:rPr>
                  <m:t>,</m:t>
                </m:r>
              </m:oMath>
            </m:oMathPara>
          </w:p>
        </w:tc>
        <w:tc>
          <w:tcPr>
            <w:tcW w:w="523" w:type="dxa"/>
            <w:vAlign w:val="center"/>
          </w:tcPr>
          <w:p w14:paraId="2C6597BB" w14:textId="482B438F" w:rsidR="00697F93" w:rsidRPr="006E11E9" w:rsidRDefault="00697F93" w:rsidP="00A178B7">
            <w:pPr>
              <w:spacing w:after="120"/>
              <w:jc w:val="both"/>
              <w:rPr>
                <w:rFonts w:ascii="Helvetica" w:hAnsi="Helvetica"/>
              </w:rPr>
            </w:pPr>
            <w:r w:rsidRPr="006E11E9">
              <w:rPr>
                <w:rFonts w:ascii="Helvetica" w:hAnsi="Helvetica"/>
              </w:rPr>
              <w:t>(</w:t>
            </w:r>
            <w:r w:rsidR="005A1E25">
              <w:rPr>
                <w:rFonts w:ascii="Helvetica" w:hAnsi="Helvetica"/>
              </w:rPr>
              <w:t>S</w:t>
            </w:r>
            <w:r>
              <w:rPr>
                <w:rFonts w:ascii="Helvetica" w:hAnsi="Helvetica"/>
              </w:rPr>
              <w:t>5</w:t>
            </w:r>
            <w:r w:rsidRPr="006E11E9">
              <w:rPr>
                <w:rFonts w:ascii="Helvetica" w:hAnsi="Helvetica"/>
              </w:rPr>
              <w:t>)</w:t>
            </w:r>
          </w:p>
        </w:tc>
      </w:tr>
    </w:tbl>
    <w:p w14:paraId="21A71616" w14:textId="5E27D51D" w:rsidR="00697F93" w:rsidRDefault="00697F93" w:rsidP="00C308FD">
      <w:pPr>
        <w:jc w:val="both"/>
        <w:rPr>
          <w:rFonts w:ascii="Helvetica" w:hAnsi="Helvetica"/>
        </w:rPr>
      </w:pPr>
      <w:r w:rsidRPr="00697F93">
        <w:rPr>
          <w:rFonts w:ascii="Helvetica" w:hAnsi="Helvetica"/>
        </w:rPr>
        <w:t xml:space="preserve">where </w:t>
      </w:r>
      <m:oMath>
        <m:sSub>
          <m:sSubPr>
            <m:ctrlPr>
              <w:rPr>
                <w:rFonts w:ascii="Cambria Math" w:hAnsi="Cambria Math"/>
              </w:rPr>
            </m:ctrlPr>
          </m:sSubPr>
          <m:e>
            <m:r>
              <w:rPr>
                <w:rFonts w:ascii="Cambria Math" w:hAnsi="Cambria Math"/>
              </w:rPr>
              <m:t>σ</m:t>
            </m:r>
          </m:e>
          <m:sub>
            <m:r>
              <w:rPr>
                <w:rFonts w:ascii="Cambria Math" w:hAnsi="Cambria Math"/>
              </w:rPr>
              <m:t>t</m:t>
            </m:r>
          </m:sub>
        </m:sSub>
      </m:oMath>
      <w:r w:rsidRPr="00697F93">
        <w:rPr>
          <w:rFonts w:ascii="Helvetica" w:hAnsi="Helvetica"/>
        </w:rPr>
        <w:t xml:space="preserve">denotes the temporal standard deviation of the filter. Setting </w:t>
      </w:r>
      <m:oMath>
        <m:r>
          <m:rPr>
            <m:sty m:val="p"/>
          </m:rPr>
          <w:rPr>
            <w:rFonts w:ascii="Cambria Math" w:hAnsi="Cambria Math"/>
          </w:rPr>
          <m:t>∣</m:t>
        </m:r>
        <m:r>
          <w:rPr>
            <w:rFonts w:ascii="Cambria Math" w:hAnsi="Cambria Math"/>
          </w:rPr>
          <m:t>H(</m:t>
        </m:r>
        <m:sSub>
          <m:sSubPr>
            <m:ctrlPr>
              <w:rPr>
                <w:rFonts w:ascii="Cambria Math" w:hAnsi="Cambria Math"/>
              </w:rPr>
            </m:ctrlPr>
          </m:sSubPr>
          <m:e>
            <m:r>
              <w:rPr>
                <w:rFonts w:ascii="Cambria Math" w:hAnsi="Cambria Math"/>
              </w:rPr>
              <m:t>f</m:t>
            </m:r>
          </m:e>
          <m:sub>
            <m:r>
              <w:rPr>
                <w:rFonts w:ascii="Cambria Math" w:hAnsi="Cambria Math"/>
              </w:rPr>
              <m:t>p</m:t>
            </m:r>
          </m:sub>
        </m:sSub>
        <m: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=1</m:t>
        </m:r>
        <m:r>
          <m:rPr>
            <m:sty m:val="p"/>
          </m:rPr>
          <w:rPr>
            <w:rFonts w:ascii="Cambria Math" w:hAnsi="Cambria Math"/>
          </w:rPr>
          <m:t>/</m:t>
        </m:r>
        <m:r>
          <w:rPr>
            <w:rFonts w:ascii="Cambria Math" w:hAnsi="Cambria Math"/>
          </w:rPr>
          <m:t>2</m:t>
        </m:r>
      </m:oMath>
      <w:r>
        <w:rPr>
          <w:rFonts w:ascii="Helvetica" w:eastAsiaTheme="minorEastAsia" w:hAnsi="Helvetica"/>
        </w:rPr>
        <w:t xml:space="preserve"> </w:t>
      </w:r>
      <w:r w:rsidRPr="00697F93">
        <w:rPr>
          <w:rFonts w:ascii="Helvetica" w:hAnsi="Helvetica"/>
        </w:rPr>
        <w:t>yields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70"/>
      </w:tblGrid>
      <w:tr w:rsidR="00697F93" w:rsidRPr="006E11E9" w14:paraId="1F2F0E5D" w14:textId="77777777" w:rsidTr="00132908">
        <w:trPr>
          <w:trHeight w:val="798"/>
          <w:jc w:val="center"/>
        </w:trPr>
        <w:tc>
          <w:tcPr>
            <w:tcW w:w="8827" w:type="dxa"/>
            <w:vAlign w:val="center"/>
          </w:tcPr>
          <w:p w14:paraId="39E77A12" w14:textId="3D36FE10" w:rsidR="00697F93" w:rsidRPr="006E11E9" w:rsidRDefault="00000000" w:rsidP="00A178B7">
            <w:pPr>
              <w:spacing w:after="120"/>
              <w:jc w:val="both"/>
              <w:rPr>
                <w:rFonts w:ascii="Helvetica" w:hAnsi="Helvetica"/>
              </w:rPr>
            </w:pPr>
            <m:oMathPara>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num>
                      <m:den>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sSubSup>
                          <m:sSubSupPr>
                            <m:ctrlPr>
                              <w:rPr>
                                <w:rFonts w:ascii="Cambria Math" w:hAnsi="Cambria Math"/>
                                <w:i/>
                              </w:rPr>
                            </m:ctrlPr>
                          </m:sSubSupPr>
                          <m:e>
                            <m:r>
                              <w:rPr>
                                <w:rFonts w:ascii="Cambria Math" w:hAnsi="Cambria Math"/>
                              </w:rPr>
                              <m:t>f</m:t>
                            </m:r>
                          </m:e>
                          <m:sub>
                            <m:r>
                              <w:rPr>
                                <w:rFonts w:ascii="Cambria Math" w:hAnsi="Cambria Math"/>
                              </w:rPr>
                              <m:t>p</m:t>
                            </m:r>
                          </m:sub>
                          <m:sup>
                            <m:r>
                              <w:rPr>
                                <w:rFonts w:ascii="Cambria Math" w:hAnsi="Cambria Math"/>
                              </w:rPr>
                              <m:t>2</m:t>
                            </m:r>
                          </m:sup>
                        </m:sSubSup>
                      </m:den>
                    </m:f>
                  </m:e>
                </m:rad>
                <m:r>
                  <w:rPr>
                    <w:rFonts w:ascii="Cambria Math" w:hAnsi="Cambria Math"/>
                  </w:rPr>
                  <m:t xml:space="preserve"> .</m:t>
                </m:r>
              </m:oMath>
            </m:oMathPara>
          </w:p>
        </w:tc>
        <w:tc>
          <w:tcPr>
            <w:tcW w:w="523" w:type="dxa"/>
            <w:vAlign w:val="center"/>
          </w:tcPr>
          <w:p w14:paraId="0042D697" w14:textId="3ECBA349" w:rsidR="00697F93" w:rsidRPr="006E11E9" w:rsidRDefault="00697F93" w:rsidP="00A178B7">
            <w:pPr>
              <w:spacing w:after="120"/>
              <w:jc w:val="both"/>
              <w:rPr>
                <w:rFonts w:ascii="Helvetica" w:hAnsi="Helvetica"/>
              </w:rPr>
            </w:pPr>
            <w:r w:rsidRPr="006E11E9">
              <w:rPr>
                <w:rFonts w:ascii="Helvetica" w:hAnsi="Helvetica"/>
              </w:rPr>
              <w:t>(</w:t>
            </w:r>
            <w:r w:rsidR="005A1E25">
              <w:rPr>
                <w:rFonts w:ascii="Helvetica" w:hAnsi="Helvetica"/>
              </w:rPr>
              <w:t>S</w:t>
            </w:r>
            <w:r>
              <w:rPr>
                <w:rFonts w:ascii="Helvetica" w:hAnsi="Helvetica"/>
              </w:rPr>
              <w:t>6</w:t>
            </w:r>
            <w:r w:rsidRPr="006E11E9">
              <w:rPr>
                <w:rFonts w:ascii="Helvetica" w:hAnsi="Helvetica"/>
              </w:rPr>
              <w:t>)</w:t>
            </w:r>
          </w:p>
        </w:tc>
      </w:tr>
    </w:tbl>
    <w:p w14:paraId="40A66085" w14:textId="307FB4AC" w:rsidR="00697F93" w:rsidRDefault="00697F93" w:rsidP="00C308FD">
      <w:pPr>
        <w:jc w:val="both"/>
        <w:rPr>
          <w:rFonts w:ascii="Helvetica" w:hAnsi="Helvetica"/>
        </w:rPr>
      </w:pPr>
      <w:r w:rsidRPr="00697F93">
        <w:rPr>
          <w:rFonts w:ascii="Helvetica" w:hAnsi="Helvetica"/>
        </w:rPr>
        <w:t>The corresponding full width at half maximum (FWHM) in the time domain was computed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70"/>
      </w:tblGrid>
      <w:tr w:rsidR="00697F93" w:rsidRPr="006E11E9" w14:paraId="7FD4FEEE" w14:textId="77777777" w:rsidTr="00132908">
        <w:trPr>
          <w:trHeight w:val="845"/>
          <w:jc w:val="center"/>
        </w:trPr>
        <w:tc>
          <w:tcPr>
            <w:tcW w:w="8803" w:type="dxa"/>
            <w:vAlign w:val="center"/>
          </w:tcPr>
          <w:p w14:paraId="38E1AF67" w14:textId="28D70B00" w:rsidR="00697F93" w:rsidRPr="00697F93" w:rsidRDefault="00697F93" w:rsidP="00A178B7">
            <w:pPr>
              <w:spacing w:after="120"/>
              <w:jc w:val="both"/>
              <w:rPr>
                <w:rFonts w:ascii="Helvetica" w:hAnsi="Helvetica"/>
                <w:i/>
              </w:rPr>
            </w:pPr>
            <m:oMathPara>
              <m:oMath>
                <m:r>
                  <w:rPr>
                    <w:rFonts w:ascii="Cambria Math" w:hAnsi="Cambria Math"/>
                  </w:rPr>
                  <m:t>FWHM=2</m:t>
                </m:r>
                <m:rad>
                  <m:radPr>
                    <m:degHide m:val="1"/>
                    <m:ctrlPr>
                      <w:rPr>
                        <w:rFonts w:ascii="Cambria Math" w:hAnsi="Cambria Math"/>
                        <w:i/>
                      </w:rPr>
                    </m:ctrlPr>
                  </m:radPr>
                  <m:deg/>
                  <m:e>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e>
                </m:rad>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 xml:space="preserve"> </m:t>
                </m:r>
                <m:r>
                  <w:rPr>
                    <w:rFonts w:ascii="Cambria Math" w:eastAsiaTheme="minorEastAsia" w:hAnsi="Cambria Math"/>
                  </w:rPr>
                  <m:t>,</m:t>
                </m:r>
              </m:oMath>
            </m:oMathPara>
          </w:p>
        </w:tc>
        <w:tc>
          <w:tcPr>
            <w:tcW w:w="547" w:type="dxa"/>
            <w:vAlign w:val="center"/>
          </w:tcPr>
          <w:p w14:paraId="4512DDD5" w14:textId="2543F54C" w:rsidR="00697F93" w:rsidRPr="006E11E9" w:rsidRDefault="00697F93" w:rsidP="00A178B7">
            <w:pPr>
              <w:spacing w:after="120"/>
              <w:jc w:val="both"/>
              <w:rPr>
                <w:rFonts w:ascii="Helvetica" w:hAnsi="Helvetica"/>
              </w:rPr>
            </w:pPr>
            <w:r w:rsidRPr="006E11E9">
              <w:rPr>
                <w:rFonts w:ascii="Helvetica" w:hAnsi="Helvetica"/>
              </w:rPr>
              <w:t>(</w:t>
            </w:r>
            <w:r w:rsidR="005A1E25">
              <w:rPr>
                <w:rFonts w:ascii="Helvetica" w:hAnsi="Helvetica"/>
              </w:rPr>
              <w:t>S</w:t>
            </w:r>
            <w:r>
              <w:rPr>
                <w:rFonts w:ascii="Helvetica" w:hAnsi="Helvetica"/>
              </w:rPr>
              <w:t>7</w:t>
            </w:r>
            <w:r w:rsidRPr="006E11E9">
              <w:rPr>
                <w:rFonts w:ascii="Helvetica" w:hAnsi="Helvetica"/>
              </w:rPr>
              <w:t>)</w:t>
            </w:r>
          </w:p>
        </w:tc>
      </w:tr>
    </w:tbl>
    <w:p w14:paraId="1E4EE600" w14:textId="19760FAD" w:rsidR="00697F93" w:rsidRDefault="00697F93" w:rsidP="00C308FD">
      <w:pPr>
        <w:jc w:val="both"/>
        <w:rPr>
          <w:rFonts w:ascii="Helvetica" w:hAnsi="Helvetica"/>
        </w:rPr>
      </w:pPr>
      <w:r w:rsidRPr="00697F93">
        <w:rPr>
          <w:rFonts w:ascii="Helvetica" w:hAnsi="Helvetica"/>
        </w:rPr>
        <w:t>and converted to samples based on the repetition time (TR) of the acquisition.</w:t>
      </w:r>
      <w:r>
        <w:rPr>
          <w:rFonts w:ascii="Helvetica" w:hAnsi="Helvetica"/>
        </w:rPr>
        <w:t xml:space="preserve"> </w:t>
      </w:r>
      <w:r w:rsidRPr="00697F93">
        <w:rPr>
          <w:rFonts w:ascii="Helvetica" w:hAnsi="Helvetica"/>
        </w:rPr>
        <w:t xml:space="preserve">The smoothed cumulative trajectory </w:t>
      </w:r>
      <m:oMath>
        <m:acc>
          <m:accPr>
            <m:chr m:val="̃"/>
            <m:ctrlPr>
              <w:rPr>
                <w:rFonts w:ascii="Cambria Math" w:hAnsi="Cambria Math"/>
              </w:rPr>
            </m:ctrlPr>
          </m:accPr>
          <m:e>
            <m:r>
              <w:rPr>
                <w:rFonts w:ascii="Cambria Math" w:hAnsi="Cambria Math"/>
              </w:rPr>
              <m:t>c</m:t>
            </m:r>
          </m:e>
        </m:acc>
        <m:r>
          <w:rPr>
            <w:rFonts w:ascii="Cambria Math" w:hAnsi="Cambria Math"/>
          </w:rPr>
          <m:t>(t)</m:t>
        </m:r>
      </m:oMath>
      <w:r>
        <w:rPr>
          <w:rFonts w:ascii="Helvetica" w:eastAsiaTheme="minorEastAsia" w:hAnsi="Helvetica"/>
        </w:rPr>
        <w:t xml:space="preserve"> </w:t>
      </w:r>
      <w:r w:rsidRPr="00697F93">
        <w:rPr>
          <w:rFonts w:ascii="Helvetica" w:hAnsi="Helvetica"/>
        </w:rPr>
        <w:t>was then differentiated using first differences,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670"/>
      </w:tblGrid>
      <w:tr w:rsidR="00697F93" w:rsidRPr="006E11E9" w14:paraId="59EF978F" w14:textId="77777777" w:rsidTr="00132908">
        <w:trPr>
          <w:trHeight w:val="499"/>
          <w:jc w:val="center"/>
        </w:trPr>
        <w:tc>
          <w:tcPr>
            <w:tcW w:w="8828" w:type="dxa"/>
            <w:vAlign w:val="center"/>
          </w:tcPr>
          <w:p w14:paraId="305856BA" w14:textId="2FD94DE3" w:rsidR="00697F93" w:rsidRPr="006E11E9" w:rsidRDefault="00000000" w:rsidP="00697F93">
            <w:pPr>
              <w:spacing w:after="120"/>
              <w:jc w:val="center"/>
              <w:rPr>
                <w:rFonts w:ascii="Helvetica" w:hAnsi="Helvetica"/>
              </w:rPr>
            </w:pPr>
            <m:oMathPara>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m:t>
                    </m:r>
                  </m:e>
                </m:d>
                <m:r>
                  <w:rPr>
                    <w:rFonts w:ascii="Cambria Math" w:hAnsi="Cambria Math"/>
                  </w:rPr>
                  <m:t xml:space="preserve">= </m:t>
                </m:r>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t-1</m:t>
                    </m:r>
                  </m:e>
                </m:d>
                <m:r>
                  <w:rPr>
                    <w:rFonts w:ascii="Cambria Math" w:hAnsi="Cambria Math"/>
                  </w:rPr>
                  <m:t xml:space="preserve"> </m:t>
                </m:r>
                <m:r>
                  <w:rPr>
                    <w:rFonts w:ascii="Cambria Math" w:eastAsiaTheme="minorEastAsia" w:hAnsi="Cambria Math"/>
                  </w:rPr>
                  <m:t>,</m:t>
                </m:r>
              </m:oMath>
            </m:oMathPara>
          </w:p>
        </w:tc>
        <w:tc>
          <w:tcPr>
            <w:tcW w:w="522" w:type="dxa"/>
            <w:vAlign w:val="center"/>
          </w:tcPr>
          <w:p w14:paraId="4803EEDE" w14:textId="3B262CEA" w:rsidR="00697F93" w:rsidRPr="006E11E9" w:rsidRDefault="00697F93" w:rsidP="00A178B7">
            <w:pPr>
              <w:spacing w:after="120"/>
              <w:jc w:val="both"/>
              <w:rPr>
                <w:rFonts w:ascii="Helvetica" w:hAnsi="Helvetica"/>
              </w:rPr>
            </w:pPr>
            <w:r w:rsidRPr="006E11E9">
              <w:rPr>
                <w:rFonts w:ascii="Helvetica" w:hAnsi="Helvetica"/>
              </w:rPr>
              <w:t>(</w:t>
            </w:r>
            <w:r w:rsidR="005A1E25">
              <w:rPr>
                <w:rFonts w:ascii="Helvetica" w:hAnsi="Helvetica"/>
              </w:rPr>
              <w:t>S</w:t>
            </w:r>
            <w:r>
              <w:rPr>
                <w:rFonts w:ascii="Helvetica" w:hAnsi="Helvetica"/>
              </w:rPr>
              <w:t>8</w:t>
            </w:r>
            <w:r w:rsidRPr="006E11E9">
              <w:rPr>
                <w:rFonts w:ascii="Helvetica" w:hAnsi="Helvetica"/>
              </w:rPr>
              <w:t>)</w:t>
            </w:r>
          </w:p>
        </w:tc>
      </w:tr>
    </w:tbl>
    <w:p w14:paraId="6B3C4139" w14:textId="0C10A883" w:rsidR="00697F93" w:rsidRDefault="00697F93" w:rsidP="00C308FD">
      <w:pPr>
        <w:jc w:val="both"/>
        <w:rPr>
          <w:rFonts w:ascii="Helvetica" w:hAnsi="Helvetica"/>
        </w:rPr>
      </w:pPr>
      <w:r w:rsidRPr="00697F93">
        <w:rPr>
          <w:rFonts w:ascii="Helvetica" w:hAnsi="Helvetica"/>
        </w:rPr>
        <w:t xml:space="preserve">to obtain the FII. For the present dataset (TR = 2 s), this procedure yielded a Gaussian filter with FWHM of </w:t>
      </w:r>
      <w:r w:rsidR="00B31003">
        <w:rPr>
          <w:rFonts w:ascii="Helvetica" w:hAnsi="Helvetica"/>
        </w:rPr>
        <w:t>4</w:t>
      </w:r>
      <w:r w:rsidRPr="00697F93">
        <w:rPr>
          <w:rFonts w:ascii="Helvetica" w:hAnsi="Helvetica"/>
        </w:rPr>
        <w:t xml:space="preserve"> samples</w:t>
      </w:r>
      <w:r w:rsidR="00772767">
        <w:rPr>
          <w:rFonts w:ascii="Helvetica" w:hAnsi="Helvetica"/>
        </w:rPr>
        <w:t xml:space="preserve"> (Supplementary Fig. 1)</w:t>
      </w:r>
      <w:r w:rsidRPr="00697F93">
        <w:rPr>
          <w:rFonts w:ascii="Helvetica" w:hAnsi="Helvetica"/>
        </w:rPr>
        <w:t>.</w:t>
      </w:r>
      <w:r>
        <w:rPr>
          <w:rFonts w:ascii="Helvetica" w:hAnsi="Helvetica"/>
        </w:rPr>
        <w:t xml:space="preserve"> </w:t>
      </w:r>
    </w:p>
    <w:p w14:paraId="7DC85EDD" w14:textId="66D6EE3D" w:rsidR="00704182" w:rsidRDefault="00704182" w:rsidP="00C308FD">
      <w:pPr>
        <w:jc w:val="both"/>
        <w:rPr>
          <w:rFonts w:ascii="Helvetica" w:hAnsi="Helvetica"/>
        </w:rPr>
      </w:pPr>
      <w:r w:rsidRPr="00704182">
        <w:rPr>
          <w:rFonts w:ascii="Helvetica" w:hAnsi="Helvetica"/>
        </w:rPr>
        <w:t>Because DTW distances are accumulated over time, the sign of the discrete derivative reflects whether the cumulative deformation cost is increasing or decreasing, corresponding to divergence from or convergence toward the running configuration, respectively. For interpretability, the discrete derivative was multiplied by −1 so that positive values correspond to convergence and negative values to divergence, without altering the magnitude of the effect. Temporal smoothing suppresses high-frequency noise while preserving meaningful reconfiguration events, yielding a stable estimate of functional inertia.</w:t>
      </w:r>
    </w:p>
    <w:p w14:paraId="796958EA" w14:textId="6921ED7A" w:rsidR="008D6BC9" w:rsidRDefault="00E13936" w:rsidP="008D6BC9">
      <w:pPr>
        <w:spacing w:before="100" w:beforeAutospacing="1" w:after="100" w:afterAutospacing="1" w:line="240" w:lineRule="auto"/>
        <w:jc w:val="both"/>
        <w:rPr>
          <w:rFonts w:ascii="Helvetica" w:hAnsi="Helvetica"/>
          <w:b/>
          <w:bCs/>
          <w:sz w:val="28"/>
          <w:szCs w:val="28"/>
        </w:rPr>
      </w:pPr>
      <w:r>
        <w:rPr>
          <w:rFonts w:ascii="Helvetica" w:hAnsi="Helvetica"/>
          <w:b/>
          <w:bCs/>
          <w:sz w:val="28"/>
          <w:szCs w:val="28"/>
        </w:rPr>
        <w:t xml:space="preserve">Time-averaged </w:t>
      </w:r>
      <w:r w:rsidR="005A1E25" w:rsidRPr="005A1E25">
        <w:rPr>
          <w:rFonts w:ascii="Helvetica" w:hAnsi="Helvetica"/>
          <w:b/>
          <w:bCs/>
          <w:sz w:val="28"/>
          <w:szCs w:val="28"/>
        </w:rPr>
        <w:t>FIIM and Mediation Analysis</w:t>
      </w:r>
    </w:p>
    <w:p w14:paraId="19DE1F74" w14:textId="01D6255E" w:rsidR="008D6BC9" w:rsidRPr="00C308FD" w:rsidRDefault="005A1E25" w:rsidP="00C308FD">
      <w:pPr>
        <w:jc w:val="both"/>
        <w:rPr>
          <w:rFonts w:ascii="Helvetica" w:hAnsi="Helvetica"/>
        </w:rPr>
      </w:pPr>
      <w:r w:rsidRPr="005A1E25">
        <w:rPr>
          <w:rFonts w:ascii="Helvetica" w:hAnsi="Helvetica"/>
        </w:rPr>
        <w:t xml:space="preserve">To </w:t>
      </w:r>
      <w:r w:rsidR="00E13936">
        <w:rPr>
          <w:rFonts w:ascii="Helvetica" w:hAnsi="Helvetica"/>
        </w:rPr>
        <w:t xml:space="preserve">summarize the overall strength of inertia across the scan, we </w:t>
      </w:r>
      <w:r w:rsidRPr="005A1E25">
        <w:rPr>
          <w:rFonts w:ascii="Helvetica" w:hAnsi="Helvetica"/>
        </w:rPr>
        <w:t xml:space="preserve">quantify </w:t>
      </w:r>
      <w:r w:rsidR="00E13936">
        <w:rPr>
          <w:rFonts w:ascii="Helvetica" w:hAnsi="Helvetica"/>
        </w:rPr>
        <w:t xml:space="preserve">the time-averaged </w:t>
      </w:r>
      <w:r w:rsidRPr="005A1E25">
        <w:rPr>
          <w:rFonts w:ascii="Helvetica" w:hAnsi="Helvetica"/>
        </w:rPr>
        <w:t>functional inertia</w:t>
      </w:r>
      <w:r w:rsidR="00E13936">
        <w:rPr>
          <w:rFonts w:ascii="Helvetica" w:hAnsi="Helvetica"/>
        </w:rPr>
        <w:t xml:space="preserve"> index magnitude </w:t>
      </w:r>
      <w:r w:rsidRPr="005A1E25">
        <w:rPr>
          <w:rFonts w:ascii="Helvetica" w:hAnsi="Helvetica"/>
        </w:rPr>
        <w:t>by averaging it across time</w:t>
      </w:r>
      <w:r w:rsidR="00E13936">
        <w:rPr>
          <w:rFonts w:ascii="Helvetica" w:hAnsi="Helvetica"/>
        </w:rPr>
        <w:t xml:space="preserve"> </w:t>
      </w:r>
      <w:r w:rsidRPr="005A1E25">
        <w:rPr>
          <w:rFonts w:ascii="Helvetica" w:hAnsi="Helvetica"/>
        </w:rPr>
        <w:t xml:space="preserve">for each participant. Specifically, </w:t>
      </w:r>
      <w:r w:rsidR="00E13936">
        <w:rPr>
          <w:rFonts w:ascii="Helvetica" w:hAnsi="Helvetica"/>
        </w:rPr>
        <w:t>time-averaged whole-brain</w:t>
      </w:r>
      <w:r w:rsidRPr="005A1E25">
        <w:rPr>
          <w:rFonts w:ascii="Helvetica" w:hAnsi="Helvetica"/>
        </w:rPr>
        <w:t xml:space="preserve"> FIIM was computed as the temporal mean of the absolute value of the discrete derivative of the cumulative trajectory: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621"/>
      </w:tblGrid>
      <w:tr w:rsidR="00DC1888" w:rsidRPr="00840AB4" w14:paraId="2CA6DC85" w14:textId="77777777" w:rsidTr="00132908">
        <w:trPr>
          <w:trHeight w:val="499"/>
          <w:jc w:val="center"/>
        </w:trPr>
        <w:tc>
          <w:tcPr>
            <w:tcW w:w="8729" w:type="dxa"/>
            <w:vAlign w:val="center"/>
          </w:tcPr>
          <w:p w14:paraId="09319CFA" w14:textId="1868AE97" w:rsidR="00DC1888" w:rsidRPr="00840AB4" w:rsidRDefault="00DC1888" w:rsidP="00A178B7">
            <w:pPr>
              <w:spacing w:after="160" w:line="259" w:lineRule="auto"/>
              <w:rPr>
                <w:rFonts w:cs="Helvetica"/>
              </w:rPr>
            </w:pPr>
            <m:oMathPara>
              <m:oMath>
                <m:r>
                  <w:rPr>
                    <w:rFonts w:ascii="Cambria Math" w:hAnsi="Cambria Math" w:cs="Helvetica"/>
                  </w:rPr>
                  <m:t>FII</m:t>
                </m:r>
                <m:sSub>
                  <m:sSubPr>
                    <m:ctrlPr>
                      <w:rPr>
                        <w:rFonts w:ascii="Cambria Math" w:hAnsi="Cambria Math" w:cs="Helvetica"/>
                        <w:i/>
                      </w:rPr>
                    </m:ctrlPr>
                  </m:sSubPr>
                  <m:e>
                    <m:r>
                      <w:rPr>
                        <w:rFonts w:ascii="Cambria Math" w:hAnsi="Cambria Math" w:cs="Helvetica"/>
                      </w:rPr>
                      <m:t>M</m:t>
                    </m:r>
                  </m:e>
                  <m:sub>
                    <m:r>
                      <w:rPr>
                        <w:rFonts w:ascii="Cambria Math" w:hAnsi="Cambria Math" w:cs="Helvetica"/>
                      </w:rPr>
                      <m:t>wb</m:t>
                    </m:r>
                  </m:sub>
                </m:sSub>
                <m:r>
                  <w:rPr>
                    <w:rFonts w:ascii="Cambria Math" w:hAnsi="Cambria Math" w:cs="Helvetica"/>
                  </w:rPr>
                  <m:t>=</m:t>
                </m:r>
                <m:f>
                  <m:fPr>
                    <m:ctrlPr>
                      <w:rPr>
                        <w:rFonts w:ascii="Cambria Math" w:hAnsi="Cambria Math" w:cs="Helvetica"/>
                        <w:i/>
                      </w:rPr>
                    </m:ctrlPr>
                  </m:fPr>
                  <m:num>
                    <m:r>
                      <w:rPr>
                        <w:rFonts w:ascii="Cambria Math" w:hAnsi="Cambria Math" w:cs="Helvetica"/>
                      </w:rPr>
                      <m:t>1</m:t>
                    </m:r>
                  </m:num>
                  <m:den>
                    <m:r>
                      <w:rPr>
                        <w:rFonts w:ascii="Cambria Math" w:hAnsi="Cambria Math" w:cs="Helvetica"/>
                      </w:rPr>
                      <m:t>N-</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a</m:t>
                        </m:r>
                      </m:sub>
                    </m:sSub>
                  </m:den>
                </m:f>
                <m:nary>
                  <m:naryPr>
                    <m:chr m:val="∑"/>
                    <m:limLoc m:val="undOvr"/>
                    <m:ctrlPr>
                      <w:rPr>
                        <w:rFonts w:ascii="Cambria Math" w:hAnsi="Cambria Math" w:cs="Helvetica"/>
                        <w:i/>
                      </w:rPr>
                    </m:ctrlPr>
                  </m:naryPr>
                  <m:sub>
                    <m:r>
                      <w:rPr>
                        <w:rFonts w:ascii="Cambria Math" w:hAnsi="Cambria Math" w:cs="Helvetica"/>
                      </w:rPr>
                      <m:t>t=</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a</m:t>
                        </m:r>
                      </m:sub>
                    </m:sSub>
                    <m:r>
                      <w:rPr>
                        <w:rFonts w:ascii="Cambria Math" w:hAnsi="Cambria Math" w:cs="Helvetica"/>
                      </w:rPr>
                      <m:t>+1</m:t>
                    </m:r>
                  </m:sub>
                  <m:sup>
                    <m:r>
                      <w:rPr>
                        <w:rFonts w:ascii="Cambria Math" w:hAnsi="Cambria Math" w:cs="Helvetica"/>
                      </w:rPr>
                      <m:t>N</m:t>
                    </m:r>
                  </m:sup>
                  <m:e>
                    <m:d>
                      <m:dPr>
                        <m:begChr m:val="|"/>
                        <m:endChr m:val="|"/>
                        <m:ctrlPr>
                          <w:rPr>
                            <w:rFonts w:ascii="Cambria Math" w:hAnsi="Cambria Math" w:cs="Helvetica"/>
                            <w:i/>
                          </w:rPr>
                        </m:ctrlPr>
                      </m:dPr>
                      <m:e>
                        <m:acc>
                          <m:accPr>
                            <m:chr m:val="̇"/>
                            <m:ctrlPr>
                              <w:rPr>
                                <w:rFonts w:ascii="Cambria Math" w:hAnsi="Cambria Math" w:cs="Helvetica"/>
                                <w:i/>
                              </w:rPr>
                            </m:ctrlPr>
                          </m:accPr>
                          <m:e>
                            <m:r>
                              <w:rPr>
                                <w:rFonts w:ascii="Cambria Math" w:hAnsi="Cambria Math" w:cs="Helvetica"/>
                              </w:rPr>
                              <m:t>c</m:t>
                            </m:r>
                          </m:e>
                        </m:acc>
                        <m:d>
                          <m:dPr>
                            <m:ctrlPr>
                              <w:rPr>
                                <w:rFonts w:ascii="Cambria Math" w:hAnsi="Cambria Math" w:cs="Helvetica"/>
                                <w:i/>
                              </w:rPr>
                            </m:ctrlPr>
                          </m:dPr>
                          <m:e>
                            <m:r>
                              <w:rPr>
                                <w:rFonts w:ascii="Cambria Math" w:hAnsi="Cambria Math" w:cs="Helvetica"/>
                              </w:rPr>
                              <m:t>t</m:t>
                            </m:r>
                          </m:e>
                        </m:d>
                      </m:e>
                    </m:d>
                  </m:e>
                </m:nary>
              </m:oMath>
            </m:oMathPara>
          </w:p>
        </w:tc>
        <w:tc>
          <w:tcPr>
            <w:tcW w:w="621" w:type="dxa"/>
            <w:vAlign w:val="center"/>
          </w:tcPr>
          <w:p w14:paraId="4F5FE37C" w14:textId="200E3EE7" w:rsidR="00DC1888" w:rsidRPr="00840AB4" w:rsidRDefault="00DC1888" w:rsidP="00A178B7">
            <w:pPr>
              <w:spacing w:after="160" w:line="259" w:lineRule="auto"/>
              <w:rPr>
                <w:rFonts w:cs="Helvetica"/>
              </w:rPr>
            </w:pPr>
            <w:r w:rsidRPr="00840AB4">
              <w:rPr>
                <w:rFonts w:cs="Helvetica"/>
              </w:rPr>
              <w:t>(</w:t>
            </w:r>
            <w:r>
              <w:rPr>
                <w:rFonts w:cs="Helvetica"/>
              </w:rPr>
              <w:t>S9</w:t>
            </w:r>
            <w:r w:rsidRPr="00840AB4">
              <w:rPr>
                <w:rFonts w:cs="Helvetica"/>
              </w:rPr>
              <w:t>)</w:t>
            </w:r>
          </w:p>
        </w:tc>
      </w:tr>
    </w:tbl>
    <w:p w14:paraId="25EBED79" w14:textId="4D0CBB4D" w:rsidR="00BE6D58" w:rsidRDefault="00EC275D" w:rsidP="00082589">
      <w:pPr>
        <w:spacing w:after="120" w:line="240" w:lineRule="auto"/>
        <w:jc w:val="both"/>
        <w:rPr>
          <w:rFonts w:ascii="Helvetica" w:hAnsi="Helvetica"/>
        </w:rPr>
      </w:pPr>
      <w:r w:rsidRPr="00EC275D">
        <w:rPr>
          <w:rFonts w:ascii="Helvetica" w:hAnsi="Helvetica"/>
        </w:rPr>
        <w:lastRenderedPageBreak/>
        <w:t xml:space="preserve">where </w:t>
      </w:r>
      <m:oMath>
        <m:acc>
          <m:accPr>
            <m:chr m:val="̇"/>
            <m:ctrlPr>
              <w:rPr>
                <w:rFonts w:ascii="Cambria Math" w:hAnsi="Cambria Math"/>
              </w:rPr>
            </m:ctrlPr>
          </m:accPr>
          <m:e>
            <m:r>
              <w:rPr>
                <w:rFonts w:ascii="Cambria Math" w:hAnsi="Cambria Math"/>
              </w:rPr>
              <m:t>c</m:t>
            </m:r>
          </m:e>
        </m:acc>
        <m:r>
          <w:rPr>
            <w:rFonts w:ascii="Cambria Math" w:hAnsi="Cambria Math"/>
          </w:rPr>
          <m:t>(t)</m:t>
        </m:r>
      </m:oMath>
      <w:r>
        <w:rPr>
          <w:rFonts w:ascii="Helvetica" w:eastAsiaTheme="minorEastAsia" w:hAnsi="Helvetica"/>
        </w:rPr>
        <w:t xml:space="preserve"> </w:t>
      </w:r>
      <w:r w:rsidRPr="00EC275D">
        <w:rPr>
          <w:rFonts w:ascii="Helvetica" w:hAnsi="Helvetica"/>
        </w:rPr>
        <w:t xml:space="preserve">denotes the temporally smoothed discrete derivative of the cumulative trajectory, </w:t>
      </w:r>
      <m:oMath>
        <m:sSub>
          <m:sSubPr>
            <m:ctrlPr>
              <w:rPr>
                <w:rFonts w:ascii="Cambria Math" w:hAnsi="Cambria Math"/>
              </w:rPr>
            </m:ctrlPr>
          </m:sSubPr>
          <m:e>
            <m:r>
              <w:rPr>
                <w:rFonts w:ascii="Cambria Math" w:hAnsi="Cambria Math"/>
              </w:rPr>
              <m:t>t</m:t>
            </m:r>
          </m:e>
          <m:sub>
            <m:r>
              <w:rPr>
                <w:rFonts w:ascii="Cambria Math" w:hAnsi="Cambria Math"/>
              </w:rPr>
              <m:t>a</m:t>
            </m:r>
          </m:sub>
        </m:sSub>
      </m:oMath>
      <w:r>
        <w:rPr>
          <w:rFonts w:ascii="Helvetica" w:eastAsiaTheme="minorEastAsia" w:hAnsi="Helvetica"/>
        </w:rPr>
        <w:t xml:space="preserve"> </w:t>
      </w:r>
      <w:r w:rsidRPr="00EC275D">
        <w:rPr>
          <w:rFonts w:ascii="Helvetica" w:hAnsi="Helvetica"/>
        </w:rPr>
        <w:t xml:space="preserve">is the anchor time point, and </w:t>
      </w:r>
      <m:oMath>
        <m:r>
          <w:rPr>
            <w:rFonts w:ascii="Cambria Math" w:hAnsi="Cambria Math"/>
          </w:rPr>
          <m:t>N</m:t>
        </m:r>
      </m:oMath>
      <w:r>
        <w:rPr>
          <w:rFonts w:ascii="Helvetica" w:eastAsiaTheme="minorEastAsia" w:hAnsi="Helvetica"/>
        </w:rPr>
        <w:t xml:space="preserve"> </w:t>
      </w:r>
      <w:r w:rsidRPr="00EC275D">
        <w:rPr>
          <w:rFonts w:ascii="Helvetica" w:hAnsi="Helvetica"/>
        </w:rPr>
        <w:t>is the total number of time points. This summary measure captures the overall strength with which past configurations constrain ongoing state evolution across the scan, independent of direction, with lower values indicating stronger functional inertia.</w:t>
      </w:r>
    </w:p>
    <w:p w14:paraId="7E79A831" w14:textId="1E25F2BB" w:rsidR="00EC275D" w:rsidRDefault="00EC275D" w:rsidP="00082589">
      <w:pPr>
        <w:spacing w:after="120" w:line="240" w:lineRule="auto"/>
        <w:jc w:val="both"/>
        <w:rPr>
          <w:rFonts w:ascii="Helvetica" w:hAnsi="Helvetica"/>
        </w:rPr>
      </w:pPr>
      <w:r w:rsidRPr="00EC275D">
        <w:rPr>
          <w:rFonts w:ascii="Helvetica" w:hAnsi="Helvetica"/>
        </w:rPr>
        <w:t xml:space="preserve">To test whether </w:t>
      </w:r>
      <w:r w:rsidR="00E13936">
        <w:rPr>
          <w:rFonts w:ascii="Helvetica" w:hAnsi="Helvetica"/>
        </w:rPr>
        <w:t>overall whole-brain</w:t>
      </w:r>
      <w:r w:rsidRPr="00EC275D">
        <w:rPr>
          <w:rFonts w:ascii="Helvetica" w:hAnsi="Helvetica"/>
        </w:rPr>
        <w:t xml:space="preserve"> functional inertia mediates the relationship between state-level dynamic metrics and clinical symptom severity, we implemented a single-mediator model in which a state metric </w:t>
      </w:r>
      <m:oMath>
        <m:r>
          <w:rPr>
            <w:rFonts w:ascii="Cambria Math" w:hAnsi="Cambria Math"/>
          </w:rPr>
          <m:t>X</m:t>
        </m:r>
      </m:oMath>
      <w:r>
        <w:rPr>
          <w:rFonts w:ascii="Helvetica" w:eastAsiaTheme="minorEastAsia" w:hAnsi="Helvetica"/>
        </w:rPr>
        <w:t xml:space="preserve"> </w:t>
      </w:r>
      <w:r w:rsidRPr="00EC275D">
        <w:rPr>
          <w:rFonts w:ascii="Helvetica" w:hAnsi="Helvetica"/>
        </w:rPr>
        <w:t xml:space="preserve">(e.g., mean dwell time or fraction rate) influences symptom severity </w:t>
      </w:r>
      <m:oMath>
        <m:r>
          <w:rPr>
            <w:rFonts w:ascii="Cambria Math" w:hAnsi="Cambria Math"/>
          </w:rPr>
          <m:t>Y</m:t>
        </m:r>
      </m:oMath>
      <w:r w:rsidR="00E13936">
        <w:rPr>
          <w:rFonts w:ascii="Helvetica" w:eastAsiaTheme="minorEastAsia" w:hAnsi="Helvetica"/>
        </w:rPr>
        <w:t xml:space="preserve"> </w:t>
      </w:r>
      <w:r w:rsidRPr="00EC275D">
        <w:rPr>
          <w:rFonts w:ascii="Helvetica" w:hAnsi="Helvetica"/>
        </w:rPr>
        <w:t xml:space="preserve">through </w:t>
      </w:r>
      <w:r w:rsidR="00E13936">
        <w:rPr>
          <w:rFonts w:ascii="Helvetica" w:hAnsi="Helvetica"/>
        </w:rPr>
        <w:t>time-averaged whole-brain</w:t>
      </w:r>
      <w:r w:rsidRPr="00EC275D">
        <w:rPr>
          <w:rFonts w:ascii="Helvetica" w:hAnsi="Helvetica"/>
        </w:rPr>
        <w:t xml:space="preserve"> FIIM </w:t>
      </w:r>
      <m:oMath>
        <m:r>
          <w:rPr>
            <w:rFonts w:ascii="Cambria Math" w:hAnsi="Cambria Math"/>
          </w:rPr>
          <m:t>M</m:t>
        </m:r>
      </m:oMath>
      <w:r w:rsidRPr="00EC275D">
        <w:rPr>
          <w:rFonts w:ascii="Helvetica" w:hAnsi="Helvetica"/>
        </w:rPr>
        <w:t xml:space="preserve">. The analytic framework corresponds to the causal chain </w:t>
      </w:r>
      <m:oMath>
        <m:r>
          <w:rPr>
            <w:rFonts w:ascii="Cambria Math" w:hAnsi="Cambria Math"/>
          </w:rPr>
          <m:t>X→M→Y</m:t>
        </m:r>
      </m:oMath>
      <w:r w:rsidRPr="00EC275D">
        <w:rPr>
          <w:rFonts w:ascii="Helvetica" w:hAnsi="Helvetica"/>
        </w:rPr>
        <w:t>, with adjustment for age, sex, mean framewise displacement, and scanning site.</w:t>
      </w:r>
      <w:r>
        <w:rPr>
          <w:rFonts w:ascii="Helvetica" w:hAnsi="Helvetica"/>
        </w:rPr>
        <w:t xml:space="preserve"> </w:t>
      </w:r>
      <w:r w:rsidRPr="00EC275D">
        <w:rPr>
          <w:rFonts w:ascii="Helvetica" w:hAnsi="Helvetica"/>
        </w:rPr>
        <w:t>Ordinary least-squares regression was used to estimate the following paths: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4559"/>
        <w:gridCol w:w="749"/>
      </w:tblGrid>
      <w:tr w:rsidR="00EC275D" w:rsidRPr="00840AB4" w14:paraId="56D94BAC" w14:textId="77777777" w:rsidTr="00132908">
        <w:trPr>
          <w:trHeight w:val="499"/>
          <w:jc w:val="center"/>
        </w:trPr>
        <w:tc>
          <w:tcPr>
            <w:tcW w:w="4042" w:type="dxa"/>
          </w:tcPr>
          <w:p w14:paraId="722B0A96" w14:textId="77777777" w:rsidR="00EC275D" w:rsidRPr="00840AB4" w:rsidRDefault="00EC275D" w:rsidP="00EC275D">
            <w:pPr>
              <w:spacing w:line="259" w:lineRule="auto"/>
              <w:jc w:val="right"/>
              <w:rPr>
                <w:rFonts w:cs="Helvetica"/>
              </w:rPr>
            </w:pPr>
            <w:r w:rsidRPr="00840AB4">
              <w:rPr>
                <w:rFonts w:cs="Helvetica"/>
                <w:i/>
                <w:iCs/>
              </w:rPr>
              <w:t>a-path</w:t>
            </w:r>
            <w:r w:rsidRPr="00840AB4">
              <w:rPr>
                <w:rFonts w:cs="Helvetica"/>
              </w:rPr>
              <w:t>:</w:t>
            </w:r>
          </w:p>
          <w:p w14:paraId="78420277" w14:textId="77777777" w:rsidR="00EC275D" w:rsidRPr="00840AB4" w:rsidRDefault="00EC275D" w:rsidP="00EC275D">
            <w:pPr>
              <w:spacing w:line="259" w:lineRule="auto"/>
              <w:jc w:val="right"/>
              <w:rPr>
                <w:rFonts w:cs="Helvetica"/>
              </w:rPr>
            </w:pPr>
            <w:r w:rsidRPr="00840AB4">
              <w:rPr>
                <w:rFonts w:cs="Helvetica"/>
                <w:i/>
                <w:iCs/>
              </w:rPr>
              <w:t>b-and c</w:t>
            </w:r>
            <m:oMath>
              <m:r>
                <w:rPr>
                  <w:rFonts w:ascii="Cambria Math" w:hAnsi="Cambria Math" w:cs="Helvetica"/>
                </w:rPr>
                <m:t>'</m:t>
              </m:r>
            </m:oMath>
            <w:r w:rsidRPr="00840AB4">
              <w:rPr>
                <w:rFonts w:cs="Helvetica"/>
                <w:i/>
                <w:iCs/>
              </w:rPr>
              <w:t>-paths</w:t>
            </w:r>
            <w:r w:rsidRPr="00840AB4">
              <w:rPr>
                <w:rFonts w:cs="Helvetica"/>
              </w:rPr>
              <w:t>:</w:t>
            </w:r>
          </w:p>
          <w:p w14:paraId="176597AD" w14:textId="77777777" w:rsidR="00EC275D" w:rsidRPr="00840AB4" w:rsidRDefault="00EC275D" w:rsidP="00EC275D">
            <w:pPr>
              <w:spacing w:line="259" w:lineRule="auto"/>
              <w:jc w:val="right"/>
              <w:rPr>
                <w:rFonts w:cs="Helvetica"/>
              </w:rPr>
            </w:pPr>
            <w:r w:rsidRPr="00840AB4">
              <w:rPr>
                <w:rFonts w:cs="Helvetica"/>
                <w:i/>
                <w:iCs/>
              </w:rPr>
              <w:t>c-path(total)</w:t>
            </w:r>
            <w:r w:rsidRPr="00840AB4">
              <w:rPr>
                <w:rFonts w:cs="Helvetica"/>
              </w:rPr>
              <w:t>:</w:t>
            </w:r>
          </w:p>
          <w:p w14:paraId="2F7898D9" w14:textId="77777777" w:rsidR="00EC275D" w:rsidRPr="00840AB4" w:rsidRDefault="00EC275D" w:rsidP="00EC275D">
            <w:pPr>
              <w:spacing w:line="259" w:lineRule="auto"/>
              <w:jc w:val="right"/>
              <w:rPr>
                <w:rFonts w:cs="Helvetica"/>
              </w:rPr>
            </w:pPr>
            <w:r w:rsidRPr="00840AB4">
              <w:rPr>
                <w:rFonts w:cs="Helvetica"/>
                <w:i/>
                <w:iCs/>
              </w:rPr>
              <w:t>indirect effect</w:t>
            </w:r>
            <w:r w:rsidRPr="00840AB4">
              <w:rPr>
                <w:rFonts w:cs="Helvetica"/>
              </w:rPr>
              <w:t>:</w:t>
            </w:r>
          </w:p>
        </w:tc>
        <w:tc>
          <w:tcPr>
            <w:tcW w:w="4559" w:type="dxa"/>
            <w:vAlign w:val="center"/>
          </w:tcPr>
          <w:p w14:paraId="408C7DDF" w14:textId="77777777" w:rsidR="00EC275D" w:rsidRPr="00840AB4" w:rsidRDefault="00EC275D" w:rsidP="00EC275D">
            <w:pPr>
              <w:spacing w:line="259" w:lineRule="auto"/>
              <w:rPr>
                <w:rFonts w:eastAsiaTheme="minorEastAsia" w:cs="Helvetica"/>
                <w:i/>
              </w:rPr>
            </w:pPr>
            <m:oMath>
              <m:r>
                <w:rPr>
                  <w:rFonts w:ascii="Cambria Math" w:hAnsi="Cambria Math" w:cs="Helvetica"/>
                </w:rPr>
                <m:t>M=</m:t>
              </m:r>
              <m:sSub>
                <m:sSubPr>
                  <m:ctrlPr>
                    <w:rPr>
                      <w:rFonts w:ascii="Cambria Math" w:hAnsi="Cambria Math" w:cs="Helvetica"/>
                      <w:i/>
                    </w:rPr>
                  </m:ctrlPr>
                </m:sSubPr>
                <m:e>
                  <m:r>
                    <w:rPr>
                      <w:rFonts w:ascii="Cambria Math" w:hAnsi="Cambria Math" w:cs="Helvetica"/>
                    </w:rPr>
                    <m:t>β</m:t>
                  </m:r>
                </m:e>
                <m:sub>
                  <m:r>
                    <w:rPr>
                      <w:rFonts w:ascii="Cambria Math" w:hAnsi="Cambria Math" w:cs="Helvetica"/>
                    </w:rPr>
                    <m:t>a</m:t>
                  </m:r>
                </m:sub>
              </m:sSub>
              <m:r>
                <w:rPr>
                  <w:rFonts w:ascii="Cambria Math" w:hAnsi="Cambria Math" w:cs="Helvetica"/>
                </w:rPr>
                <m:t>X+C</m:t>
              </m:r>
              <m:sSub>
                <m:sSubPr>
                  <m:ctrlPr>
                    <w:rPr>
                      <w:rFonts w:ascii="Cambria Math" w:hAnsi="Cambria Math" w:cs="Helvetica"/>
                      <w:i/>
                    </w:rPr>
                  </m:ctrlPr>
                </m:sSubPr>
                <m:e>
                  <m:r>
                    <w:rPr>
                      <w:rFonts w:ascii="Cambria Math" w:hAnsi="Cambria Math" w:cs="Helvetica"/>
                    </w:rPr>
                    <m:t>γ</m:t>
                  </m:r>
                </m:e>
                <m:sub>
                  <m:r>
                    <w:rPr>
                      <w:rFonts w:ascii="Cambria Math" w:hAnsi="Cambria Math" w:cs="Helvetica"/>
                    </w:rPr>
                    <m:t>a</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ε</m:t>
                  </m:r>
                </m:e>
                <m:sub>
                  <m:r>
                    <w:rPr>
                      <w:rFonts w:ascii="Cambria Math" w:hAnsi="Cambria Math" w:cs="Helvetica"/>
                    </w:rPr>
                    <m:t>a</m:t>
                  </m:r>
                </m:sub>
              </m:sSub>
              <m:r>
                <w:rPr>
                  <w:rFonts w:ascii="Cambria Math" w:hAnsi="Cambria Math" w:cs="Helvetica"/>
                </w:rPr>
                <m:t>,</m:t>
              </m:r>
            </m:oMath>
            <w:r>
              <w:rPr>
                <w:rFonts w:eastAsiaTheme="minorEastAsia" w:cs="Helvetica"/>
                <w:i/>
              </w:rPr>
              <w:t xml:space="preserve"> </w:t>
            </w:r>
          </w:p>
          <w:p w14:paraId="68C5A0F6" w14:textId="77777777" w:rsidR="00EC275D" w:rsidRPr="00840AB4" w:rsidRDefault="00EC275D" w:rsidP="00EC275D">
            <w:pPr>
              <w:spacing w:line="259" w:lineRule="auto"/>
              <w:rPr>
                <w:rFonts w:cs="Helvetica"/>
                <w:iCs/>
              </w:rPr>
            </w:pPr>
            <m:oMath>
              <m:r>
                <w:rPr>
                  <w:rFonts w:ascii="Cambria Math" w:hAnsi="Cambria Math" w:cs="Helvetica"/>
                </w:rPr>
                <m:t>Y=</m:t>
              </m:r>
              <m:sSub>
                <m:sSubPr>
                  <m:ctrlPr>
                    <w:rPr>
                      <w:rFonts w:ascii="Cambria Math" w:hAnsi="Cambria Math" w:cs="Helvetica"/>
                      <w:i/>
                    </w:rPr>
                  </m:ctrlPr>
                </m:sSubPr>
                <m:e>
                  <m:r>
                    <w:rPr>
                      <w:rFonts w:ascii="Cambria Math" w:hAnsi="Cambria Math" w:cs="Helvetica"/>
                    </w:rPr>
                    <m:t>β</m:t>
                  </m:r>
                </m:e>
                <m:sub>
                  <m:r>
                    <w:rPr>
                      <w:rFonts w:ascii="Cambria Math" w:hAnsi="Cambria Math" w:cs="Helvetica"/>
                    </w:rPr>
                    <m:t>b</m:t>
                  </m:r>
                </m:sub>
              </m:sSub>
              <m:r>
                <w:rPr>
                  <w:rFonts w:ascii="Cambria Math" w:hAnsi="Cambria Math" w:cs="Helvetica"/>
                </w:rPr>
                <m:t>M+</m:t>
              </m:r>
              <m:sSub>
                <m:sSubPr>
                  <m:ctrlPr>
                    <w:rPr>
                      <w:rFonts w:ascii="Cambria Math" w:hAnsi="Cambria Math" w:cs="Helvetica"/>
                      <w:i/>
                    </w:rPr>
                  </m:ctrlPr>
                </m:sSubPr>
                <m:e>
                  <m:r>
                    <w:rPr>
                      <w:rFonts w:ascii="Cambria Math" w:hAnsi="Cambria Math" w:cs="Helvetica"/>
                    </w:rPr>
                    <m:t>B</m:t>
                  </m:r>
                </m:e>
                <m:sub>
                  <m:r>
                    <w:rPr>
                      <w:rFonts w:ascii="Cambria Math" w:hAnsi="Cambria Math" w:cs="Helvetica"/>
                    </w:rPr>
                    <m:t>c'</m:t>
                  </m:r>
                </m:sub>
              </m:sSub>
              <m:r>
                <w:rPr>
                  <w:rFonts w:ascii="Cambria Math" w:hAnsi="Cambria Math" w:cs="Helvetica"/>
                </w:rPr>
                <m:t>X+C</m:t>
              </m:r>
              <m:sSub>
                <m:sSubPr>
                  <m:ctrlPr>
                    <w:rPr>
                      <w:rFonts w:ascii="Cambria Math" w:hAnsi="Cambria Math" w:cs="Helvetica"/>
                      <w:i/>
                    </w:rPr>
                  </m:ctrlPr>
                </m:sSubPr>
                <m:e>
                  <m:r>
                    <w:rPr>
                      <w:rFonts w:ascii="Cambria Math" w:hAnsi="Cambria Math" w:cs="Helvetica"/>
                    </w:rPr>
                    <m:t>γ</m:t>
                  </m:r>
                </m:e>
                <m:sub>
                  <m:r>
                    <w:rPr>
                      <w:rFonts w:ascii="Cambria Math" w:hAnsi="Cambria Math" w:cs="Helvetica"/>
                    </w:rPr>
                    <m:t>b</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ε</m:t>
                  </m:r>
                </m:e>
                <m:sub>
                  <m:r>
                    <w:rPr>
                      <w:rFonts w:ascii="Cambria Math" w:hAnsi="Cambria Math" w:cs="Helvetica"/>
                    </w:rPr>
                    <m:t>b</m:t>
                  </m:r>
                </m:sub>
              </m:sSub>
              <m:r>
                <w:rPr>
                  <w:rFonts w:ascii="Cambria Math" w:hAnsi="Cambria Math" w:cs="Helvetica"/>
                </w:rPr>
                <m:t>,</m:t>
              </m:r>
            </m:oMath>
            <w:r w:rsidRPr="00840AB4">
              <w:rPr>
                <w:rFonts w:cs="Helvetica"/>
                <w:i/>
              </w:rPr>
              <w:t xml:space="preserve"> </w:t>
            </w:r>
          </w:p>
          <w:p w14:paraId="00BCEC1E" w14:textId="77777777" w:rsidR="00EC275D" w:rsidRPr="00840AB4" w:rsidRDefault="00EC275D" w:rsidP="00EC275D">
            <w:pPr>
              <w:spacing w:line="259" w:lineRule="auto"/>
              <w:rPr>
                <w:rFonts w:cs="Helvetica"/>
                <w:i/>
              </w:rPr>
            </w:pPr>
            <m:oMath>
              <m:r>
                <w:rPr>
                  <w:rFonts w:ascii="Cambria Math" w:hAnsi="Cambria Math" w:cs="Helvetica"/>
                </w:rPr>
                <m:t>Y=</m:t>
              </m:r>
              <m:sSub>
                <m:sSubPr>
                  <m:ctrlPr>
                    <w:rPr>
                      <w:rFonts w:ascii="Cambria Math" w:hAnsi="Cambria Math" w:cs="Helvetica"/>
                      <w:i/>
                    </w:rPr>
                  </m:ctrlPr>
                </m:sSubPr>
                <m:e>
                  <m:r>
                    <w:rPr>
                      <w:rFonts w:ascii="Cambria Math" w:hAnsi="Cambria Math" w:cs="Helvetica"/>
                    </w:rPr>
                    <m:t>β</m:t>
                  </m:r>
                </m:e>
                <m:sub>
                  <m:r>
                    <w:rPr>
                      <w:rFonts w:ascii="Cambria Math" w:hAnsi="Cambria Math" w:cs="Helvetica"/>
                    </w:rPr>
                    <m:t>c</m:t>
                  </m:r>
                </m:sub>
              </m:sSub>
              <m:r>
                <w:rPr>
                  <w:rFonts w:ascii="Cambria Math" w:hAnsi="Cambria Math" w:cs="Helvetica"/>
                </w:rPr>
                <m:t>X+C</m:t>
              </m:r>
              <m:sSub>
                <m:sSubPr>
                  <m:ctrlPr>
                    <w:rPr>
                      <w:rFonts w:ascii="Cambria Math" w:hAnsi="Cambria Math" w:cs="Helvetica"/>
                      <w:i/>
                    </w:rPr>
                  </m:ctrlPr>
                </m:sSubPr>
                <m:e>
                  <m:r>
                    <w:rPr>
                      <w:rFonts w:ascii="Cambria Math" w:hAnsi="Cambria Math" w:cs="Helvetica"/>
                    </w:rPr>
                    <m:t>γ</m:t>
                  </m:r>
                </m:e>
                <m:sub>
                  <m:r>
                    <w:rPr>
                      <w:rFonts w:ascii="Cambria Math" w:hAnsi="Cambria Math" w:cs="Helvetica"/>
                    </w:rPr>
                    <m:t>c</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ε</m:t>
                  </m:r>
                </m:e>
                <m:sub>
                  <m:r>
                    <w:rPr>
                      <w:rFonts w:ascii="Cambria Math" w:hAnsi="Cambria Math" w:cs="Helvetica"/>
                    </w:rPr>
                    <m:t>c</m:t>
                  </m:r>
                </m:sub>
              </m:sSub>
              <m:r>
                <w:rPr>
                  <w:rFonts w:ascii="Cambria Math" w:hAnsi="Cambria Math" w:cs="Helvetica"/>
                </w:rPr>
                <m:t>,</m:t>
              </m:r>
            </m:oMath>
            <w:r w:rsidRPr="00840AB4">
              <w:rPr>
                <w:rFonts w:cs="Helvetica"/>
                <w:i/>
              </w:rPr>
              <w:t xml:space="preserve"> </w:t>
            </w:r>
          </w:p>
          <w:p w14:paraId="6ABAD9D7" w14:textId="77777777" w:rsidR="00EC275D" w:rsidRPr="00840AB4" w:rsidRDefault="00000000" w:rsidP="00EC275D">
            <w:pPr>
              <w:spacing w:line="259" w:lineRule="auto"/>
              <w:rPr>
                <w:rFonts w:cs="Helvetica"/>
                <w:iCs/>
              </w:rPr>
            </w:pPr>
            <m:oMath>
              <m:sSub>
                <m:sSubPr>
                  <m:ctrlPr>
                    <w:rPr>
                      <w:rFonts w:ascii="Cambria Math" w:hAnsi="Cambria Math" w:cs="Helvetica"/>
                      <w:i/>
                    </w:rPr>
                  </m:ctrlPr>
                </m:sSubPr>
                <m:e>
                  <m:r>
                    <w:rPr>
                      <w:rFonts w:ascii="Cambria Math" w:hAnsi="Cambria Math" w:cs="Helvetica"/>
                    </w:rPr>
                    <m:t>β</m:t>
                  </m:r>
                </m:e>
                <m:sub>
                  <m:r>
                    <w:rPr>
                      <w:rFonts w:ascii="Cambria Math" w:hAnsi="Cambria Math" w:cs="Helvetica"/>
                    </w:rPr>
                    <m:t>indirect</m:t>
                  </m:r>
                </m:sub>
              </m:sSub>
              <m:r>
                <w:rPr>
                  <w:rFonts w:ascii="Cambria Math" w:hAnsi="Cambria Math" w:cs="Helvetica"/>
                </w:rPr>
                <m:t xml:space="preserve">= </m:t>
              </m:r>
              <m:sSub>
                <m:sSubPr>
                  <m:ctrlPr>
                    <w:rPr>
                      <w:rFonts w:ascii="Cambria Math" w:hAnsi="Cambria Math" w:cs="Helvetica"/>
                      <w:i/>
                    </w:rPr>
                  </m:ctrlPr>
                </m:sSubPr>
                <m:e>
                  <m:r>
                    <w:rPr>
                      <w:rFonts w:ascii="Cambria Math" w:hAnsi="Cambria Math" w:cs="Helvetica"/>
                    </w:rPr>
                    <m:t>β</m:t>
                  </m:r>
                </m:e>
                <m:sub>
                  <m:r>
                    <w:rPr>
                      <w:rFonts w:ascii="Cambria Math" w:hAnsi="Cambria Math" w:cs="Helvetica"/>
                    </w:rPr>
                    <m:t>a</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β</m:t>
                  </m:r>
                </m:e>
                <m:sub>
                  <m:r>
                    <w:rPr>
                      <w:rFonts w:ascii="Cambria Math" w:hAnsi="Cambria Math" w:cs="Helvetica"/>
                    </w:rPr>
                    <m:t>b</m:t>
                  </m:r>
                </m:sub>
              </m:sSub>
            </m:oMath>
            <w:r w:rsidR="00EC275D">
              <w:rPr>
                <w:rFonts w:eastAsiaTheme="minorEastAsia" w:cs="Helvetica"/>
              </w:rPr>
              <w:t xml:space="preserve"> </w:t>
            </w:r>
          </w:p>
        </w:tc>
        <w:tc>
          <w:tcPr>
            <w:tcW w:w="749" w:type="dxa"/>
            <w:vAlign w:val="center"/>
          </w:tcPr>
          <w:p w14:paraId="1D440DFC" w14:textId="1C7371A6" w:rsidR="00EC275D" w:rsidRPr="00840AB4" w:rsidRDefault="00EC275D" w:rsidP="00EC275D">
            <w:pPr>
              <w:spacing w:line="259" w:lineRule="auto"/>
              <w:rPr>
                <w:rFonts w:cs="Helvetica"/>
              </w:rPr>
            </w:pPr>
            <w:r w:rsidRPr="00840AB4">
              <w:rPr>
                <w:rFonts w:cs="Helvetica"/>
              </w:rPr>
              <w:t>(</w:t>
            </w:r>
            <w:r>
              <w:rPr>
                <w:rFonts w:cs="Helvetica"/>
              </w:rPr>
              <w:t>S10</w:t>
            </w:r>
            <w:r w:rsidRPr="00840AB4">
              <w:rPr>
                <w:rFonts w:cs="Helvetica"/>
              </w:rPr>
              <w:t>)</w:t>
            </w:r>
          </w:p>
        </w:tc>
      </w:tr>
    </w:tbl>
    <w:p w14:paraId="2735FE11" w14:textId="296CA310" w:rsidR="00EC275D" w:rsidRDefault="00EC275D" w:rsidP="00082589">
      <w:pPr>
        <w:spacing w:after="120" w:line="240" w:lineRule="auto"/>
        <w:jc w:val="both"/>
        <w:rPr>
          <w:rFonts w:ascii="Helvetica" w:hAnsi="Helvetica"/>
        </w:rPr>
      </w:pPr>
      <w:r w:rsidRPr="00EC275D">
        <w:rPr>
          <w:rFonts w:ascii="Helvetica" w:hAnsi="Helvetica"/>
        </w:rPr>
        <w:t xml:space="preserve">where </w:t>
      </w:r>
      <m:oMath>
        <m:r>
          <w:rPr>
            <w:rFonts w:ascii="Cambria Math" w:hAnsi="Cambria Math"/>
          </w:rPr>
          <m:t>C</m:t>
        </m:r>
      </m:oMath>
      <w:r>
        <w:rPr>
          <w:rFonts w:ascii="Helvetica" w:eastAsiaTheme="minorEastAsia" w:hAnsi="Helvetica"/>
        </w:rPr>
        <w:t xml:space="preserve"> </w:t>
      </w:r>
      <w:r w:rsidRPr="00EC275D">
        <w:rPr>
          <w:rFonts w:ascii="Helvetica" w:hAnsi="Helvetica"/>
        </w:rPr>
        <w:t xml:space="preserve">denotes the covariate matrix, </w:t>
      </w:r>
      <m:oMath>
        <m:r>
          <w:rPr>
            <w:rFonts w:ascii="Cambria Math" w:hAnsi="Cambria Math"/>
          </w:rPr>
          <m:t>β</m:t>
        </m:r>
      </m:oMath>
      <w:r>
        <w:rPr>
          <w:rFonts w:ascii="Helvetica" w:eastAsiaTheme="minorEastAsia" w:hAnsi="Helvetica"/>
        </w:rPr>
        <w:t xml:space="preserve"> </w:t>
      </w:r>
      <w:r w:rsidRPr="00EC275D">
        <w:rPr>
          <w:rFonts w:ascii="Helvetica" w:hAnsi="Helvetica"/>
        </w:rPr>
        <w:t xml:space="preserve">are regression coefficients, and </w:t>
      </w:r>
      <m:oMath>
        <m:r>
          <w:rPr>
            <w:rFonts w:ascii="Cambria Math" w:hAnsi="Cambria Math"/>
          </w:rPr>
          <m:t>ε</m:t>
        </m:r>
      </m:oMath>
      <w:r>
        <w:rPr>
          <w:rFonts w:ascii="Helvetica" w:eastAsiaTheme="minorEastAsia" w:hAnsi="Helvetica"/>
        </w:rPr>
        <w:t xml:space="preserve"> </w:t>
      </w:r>
      <w:r w:rsidRPr="00EC275D">
        <w:rPr>
          <w:rFonts w:ascii="Helvetica" w:hAnsi="Helvetica"/>
        </w:rPr>
        <w:t>are residual terms. Statistical significance of the indirect effect was assessed using 5,000 nonparametric bootstrap resamples. Mediation was considered significant when the 95% percentile bootstrap confidence interval excluded zero.</w:t>
      </w:r>
    </w:p>
    <w:p w14:paraId="055A33A5" w14:textId="198058D5" w:rsidR="00EC275D" w:rsidRPr="00DB5D12" w:rsidRDefault="00DB5D12" w:rsidP="00DB5D12">
      <w:pPr>
        <w:spacing w:before="100" w:beforeAutospacing="1" w:after="100" w:afterAutospacing="1" w:line="240" w:lineRule="auto"/>
        <w:jc w:val="both"/>
        <w:rPr>
          <w:rFonts w:ascii="Helvetica" w:hAnsi="Helvetica"/>
          <w:b/>
          <w:bCs/>
          <w:sz w:val="28"/>
          <w:szCs w:val="28"/>
        </w:rPr>
      </w:pPr>
      <w:r w:rsidRPr="00DB5D12">
        <w:rPr>
          <w:rFonts w:ascii="Helvetica" w:hAnsi="Helvetica"/>
          <w:b/>
          <w:bCs/>
          <w:sz w:val="28"/>
          <w:szCs w:val="28"/>
        </w:rPr>
        <w:t>Regime assignment based on the Functional Inertia Index</w:t>
      </w:r>
    </w:p>
    <w:p w14:paraId="107DF6B8" w14:textId="5E4579C0" w:rsidR="00DB5D12" w:rsidRDefault="00DB5D12" w:rsidP="00082589">
      <w:pPr>
        <w:spacing w:after="120" w:line="240" w:lineRule="auto"/>
        <w:jc w:val="both"/>
        <w:rPr>
          <w:rFonts w:ascii="Helvetica" w:hAnsi="Helvetica"/>
        </w:rPr>
      </w:pPr>
      <w:r w:rsidRPr="00DB5D12">
        <w:rPr>
          <w:rFonts w:ascii="Helvetica" w:hAnsi="Helvetica"/>
        </w:rPr>
        <w:t>To characterize recurrent dynamical regimes of state evolution, we assigned each time point to a functional inertia regime based on the sign and magnitude of the functional inertia index (FII). As described in the main Methods, the FII reflects the temporally smoothed discrete derivative of the cumulative DTW trajectory and quantifies moment-to-moment reconfiguration of the latent state.</w:t>
      </w:r>
      <w:r>
        <w:rPr>
          <w:rFonts w:ascii="Helvetica" w:hAnsi="Helvetica"/>
        </w:rPr>
        <w:t xml:space="preserve"> </w:t>
      </w:r>
      <w:r w:rsidRPr="00DB5D12">
        <w:rPr>
          <w:rFonts w:ascii="Helvetica" w:hAnsi="Helvetica"/>
        </w:rPr>
        <w:t xml:space="preserve">Because the FII naturally separates into three qualitatively distinct regimes corresponding to near-zero change, directed convergence toward lower-disparity configurations, and directed divergence away from lower-disparity configurations, k-means clustering with k = 3 was applied to the FII time series concatenated across subjects and interregional pairs. The choice of three clusters was supported by the elbow criterion, which indicated a clear inflection at k = 3 (Supplementary Fig. </w:t>
      </w:r>
      <w:r w:rsidR="002F3286">
        <w:rPr>
          <w:rFonts w:ascii="Helvetica" w:hAnsi="Helvetica"/>
        </w:rPr>
        <w:t>2</w:t>
      </w:r>
      <w:r w:rsidRPr="00DB5D12">
        <w:rPr>
          <w:rFonts w:ascii="Helvetica" w:hAnsi="Helvetica"/>
        </w:rPr>
        <w:t>). These regimes are referred to throughout as locked, stabilizing, and shifting.</w:t>
      </w:r>
    </w:p>
    <w:p w14:paraId="09C5050D" w14:textId="7C6208A0" w:rsidR="009C1EA2" w:rsidRPr="009C1EA2" w:rsidRDefault="00132908" w:rsidP="009C1EA2">
      <w:pPr>
        <w:spacing w:before="100" w:beforeAutospacing="1" w:after="100" w:afterAutospacing="1" w:line="240" w:lineRule="auto"/>
        <w:jc w:val="both"/>
        <w:rPr>
          <w:rFonts w:ascii="Helvetica" w:hAnsi="Helvetica"/>
          <w:b/>
          <w:bCs/>
          <w:sz w:val="28"/>
          <w:szCs w:val="28"/>
        </w:rPr>
      </w:pPr>
      <w:r>
        <w:rPr>
          <w:rFonts w:ascii="Helvetica" w:hAnsi="Helvetica"/>
          <w:b/>
          <w:bCs/>
          <w:sz w:val="28"/>
          <w:szCs w:val="28"/>
        </w:rPr>
        <w:t>L</w:t>
      </w:r>
      <w:r w:rsidR="009C1EA2">
        <w:rPr>
          <w:rFonts w:ascii="Helvetica" w:hAnsi="Helvetica"/>
          <w:b/>
          <w:bCs/>
          <w:sz w:val="28"/>
          <w:szCs w:val="28"/>
        </w:rPr>
        <w:t>atent</w:t>
      </w:r>
      <w:r w:rsidR="009C1EA2" w:rsidRPr="009C1EA2">
        <w:rPr>
          <w:rFonts w:ascii="Helvetica" w:hAnsi="Helvetica"/>
          <w:b/>
          <w:bCs/>
          <w:sz w:val="28"/>
          <w:szCs w:val="28"/>
        </w:rPr>
        <w:t xml:space="preserve">-state </w:t>
      </w:r>
      <w:r>
        <w:rPr>
          <w:rFonts w:ascii="Helvetica" w:hAnsi="Helvetica"/>
          <w:b/>
          <w:bCs/>
          <w:sz w:val="28"/>
          <w:szCs w:val="28"/>
        </w:rPr>
        <w:t>context across functional inertia regimes</w:t>
      </w:r>
    </w:p>
    <w:p w14:paraId="25FBF057" w14:textId="0A3156DE" w:rsidR="003D3153" w:rsidRPr="003D3153" w:rsidRDefault="003D3153" w:rsidP="003D3153">
      <w:pPr>
        <w:spacing w:before="100" w:beforeAutospacing="1" w:after="100" w:afterAutospacing="1" w:line="240" w:lineRule="auto"/>
        <w:jc w:val="both"/>
        <w:rPr>
          <w:rFonts w:ascii="Helvetica" w:hAnsi="Helvetica"/>
          <w:i/>
          <w:iCs/>
        </w:rPr>
      </w:pPr>
      <w:r w:rsidRPr="003D3153">
        <w:rPr>
          <w:rFonts w:ascii="Helvetica" w:hAnsi="Helvetica"/>
          <w:i/>
          <w:iCs/>
        </w:rPr>
        <w:t xml:space="preserve">Regime-conditioned </w:t>
      </w:r>
      <w:r>
        <w:rPr>
          <w:rFonts w:ascii="Helvetica" w:hAnsi="Helvetica"/>
          <w:i/>
          <w:iCs/>
        </w:rPr>
        <w:t>L</w:t>
      </w:r>
      <w:r w:rsidRPr="003D3153">
        <w:rPr>
          <w:rFonts w:ascii="Helvetica" w:hAnsi="Helvetica"/>
          <w:i/>
          <w:iCs/>
        </w:rPr>
        <w:t xml:space="preserve">atent-state </w:t>
      </w:r>
      <w:r>
        <w:rPr>
          <w:rFonts w:ascii="Helvetica" w:hAnsi="Helvetica"/>
          <w:i/>
          <w:iCs/>
        </w:rPr>
        <w:t>M</w:t>
      </w:r>
      <w:r w:rsidRPr="003D3153">
        <w:rPr>
          <w:rFonts w:ascii="Helvetica" w:hAnsi="Helvetica"/>
          <w:i/>
          <w:iCs/>
        </w:rPr>
        <w:t>agnitude</w:t>
      </w:r>
    </w:p>
    <w:p w14:paraId="3794D654" w14:textId="52C2045F" w:rsidR="002C7989" w:rsidRPr="002C7989" w:rsidRDefault="002C7989" w:rsidP="002C7989">
      <w:pPr>
        <w:spacing w:before="100" w:beforeAutospacing="1" w:after="100" w:afterAutospacing="1" w:line="240" w:lineRule="auto"/>
        <w:jc w:val="both"/>
        <w:rPr>
          <w:rFonts w:ascii="Helvetica" w:hAnsi="Helvetica"/>
        </w:rPr>
      </w:pPr>
      <w:r w:rsidRPr="002C7989">
        <w:rPr>
          <w:rFonts w:ascii="Helvetica" w:hAnsi="Helvetica"/>
        </w:rPr>
        <w:t xml:space="preserve">To characterize the latent-state context in which each functional inertia regime is expressed, we examined the magnitude of the cumulative latent trajectory </w:t>
      </w:r>
      <m:oMath>
        <m:sSub>
          <m:sSubPr>
            <m:ctrlPr>
              <w:rPr>
                <w:rFonts w:ascii="Cambria Math" w:hAnsi="Cambria Math"/>
              </w:rPr>
            </m:ctrlPr>
          </m:sSubPr>
          <m:e>
            <m:r>
              <w:rPr>
                <w:rFonts w:ascii="Cambria Math" w:hAnsi="Cambria Math"/>
              </w:rPr>
              <m:t>x</m:t>
            </m:r>
          </m:e>
          <m:sub>
            <m:r>
              <w:rPr>
                <w:rFonts w:ascii="Cambria Math" w:hAnsi="Cambria Math"/>
              </w:rPr>
              <m:t>t</m:t>
            </m:r>
          </m:sub>
        </m:sSub>
      </m:oMath>
      <w:r>
        <w:rPr>
          <w:rFonts w:ascii="Helvetica" w:eastAsiaTheme="minorEastAsia" w:hAnsi="Helvetica"/>
        </w:rPr>
        <w:t xml:space="preserve"> </w:t>
      </w:r>
      <w:r w:rsidRPr="002C7989">
        <w:rPr>
          <w:rFonts w:ascii="Helvetica" w:hAnsi="Helvetica"/>
        </w:rPr>
        <w:t xml:space="preserve">conditional on regime membership. Within the inertial state-space formulation, the latent state at time </w:t>
      </w:r>
      <m:oMath>
        <m:r>
          <w:rPr>
            <w:rFonts w:ascii="Cambria Math" w:hAnsi="Cambria Math"/>
          </w:rPr>
          <w:lastRenderedPageBreak/>
          <m:t>t</m:t>
        </m:r>
      </m:oMath>
      <w:r w:rsidRPr="002C7989">
        <w:rPr>
          <w:rFonts w:ascii="Helvetica" w:hAnsi="Helvetica"/>
        </w:rPr>
        <w:t xml:space="preserve">reflects a weighted accumulation of prior observations. Accordingly, </w:t>
      </w:r>
      <w:r>
        <w:rPr>
          <w:rFonts w:ascii="Helvetica" w:hAnsi="Helvetica"/>
        </w:rPr>
        <w:t xml:space="preserve">given that DTW was used as the representational axis, </w:t>
      </w:r>
      <w:r w:rsidRPr="002C7989">
        <w:rPr>
          <w:rFonts w:ascii="Helvetica" w:hAnsi="Helvetica"/>
        </w:rPr>
        <w:t xml:space="preserve">the magnitude of </w:t>
      </w:r>
      <m:oMath>
        <m:sSub>
          <m:sSubPr>
            <m:ctrlPr>
              <w:rPr>
                <w:rFonts w:ascii="Cambria Math" w:hAnsi="Cambria Math"/>
              </w:rPr>
            </m:ctrlPr>
          </m:sSubPr>
          <m:e>
            <m:r>
              <w:rPr>
                <w:rFonts w:ascii="Cambria Math" w:hAnsi="Cambria Math"/>
              </w:rPr>
              <m:t>x</m:t>
            </m:r>
          </m:e>
          <m:sub>
            <m:r>
              <w:rPr>
                <w:rFonts w:ascii="Cambria Math" w:hAnsi="Cambria Math"/>
              </w:rPr>
              <m:t>t</m:t>
            </m:r>
          </m:sub>
        </m:sSub>
      </m:oMath>
      <w:r>
        <w:rPr>
          <w:rFonts w:ascii="Helvetica" w:eastAsiaTheme="minorEastAsia" w:hAnsi="Helvetica"/>
        </w:rPr>
        <w:t xml:space="preserve"> </w:t>
      </w:r>
      <w:r w:rsidRPr="002C7989">
        <w:rPr>
          <w:rFonts w:ascii="Helvetica" w:hAnsi="Helvetica"/>
        </w:rPr>
        <w:t>provides a direct measure of interregional disparity encoded in the current system configuration, with higher values indicating greater disequilibrium.</w:t>
      </w:r>
    </w:p>
    <w:p w14:paraId="2C008791" w14:textId="36263DC2" w:rsidR="003D3153" w:rsidRDefault="002C7989" w:rsidP="003D3153">
      <w:pPr>
        <w:spacing w:before="100" w:beforeAutospacing="1" w:after="100" w:afterAutospacing="1" w:line="240" w:lineRule="auto"/>
        <w:jc w:val="both"/>
        <w:rPr>
          <w:rFonts w:ascii="Helvetica" w:hAnsi="Helvetica"/>
        </w:rPr>
      </w:pPr>
      <w:r w:rsidRPr="002C7989">
        <w:rPr>
          <w:rFonts w:ascii="Helvetica" w:hAnsi="Helvetica"/>
        </w:rPr>
        <w:t xml:space="preserve">For each subject, the latent trajectory was partitioned according to functional inertia regime labels derived from the Functional Inertia Index. Regime-conditioned latent-state magnitude was computed by averaging </w:t>
      </w:r>
      <m:oMath>
        <m:sSub>
          <m:sSubPr>
            <m:ctrlPr>
              <w:rPr>
                <w:rFonts w:ascii="Cambria Math" w:hAnsi="Cambria Math"/>
              </w:rPr>
            </m:ctrlPr>
          </m:sSubPr>
          <m:e>
            <m:r>
              <w:rPr>
                <w:rFonts w:ascii="Cambria Math" w:hAnsi="Cambria Math"/>
              </w:rPr>
              <m:t>x</m:t>
            </m:r>
          </m:e>
          <m:sub>
            <m:r>
              <w:rPr>
                <w:rFonts w:ascii="Cambria Math" w:hAnsi="Cambria Math"/>
              </w:rPr>
              <m:t>t</m:t>
            </m:r>
          </m:sub>
        </m:sSub>
      </m:oMath>
      <w:r>
        <w:rPr>
          <w:rFonts w:ascii="Helvetica" w:eastAsiaTheme="minorEastAsia" w:hAnsi="Helvetica"/>
        </w:rPr>
        <w:t xml:space="preserve"> </w:t>
      </w:r>
      <w:r w:rsidRPr="002C7989">
        <w:rPr>
          <w:rFonts w:ascii="Helvetica" w:hAnsi="Helvetica"/>
        </w:rPr>
        <w:t>across all time points assigned to each regime, yielding a three-element vector corresponding to the stabilizing, locked, and shifting regimes. These values summarize the typical latent-state context in which each regime occurs, independently of the duration or frequency of regime engagement. Where specified, latent-state magnitudes were standardized using z-scoring relative to the control group distribution to facilitate cross-subject and cross-group comparisons.</w:t>
      </w:r>
    </w:p>
    <w:p w14:paraId="68625603" w14:textId="77777777" w:rsidR="004F20D7" w:rsidRPr="004F20D7" w:rsidRDefault="004F20D7" w:rsidP="004F20D7">
      <w:pPr>
        <w:spacing w:before="100" w:beforeAutospacing="1" w:after="100" w:afterAutospacing="1" w:line="240" w:lineRule="auto"/>
        <w:jc w:val="both"/>
        <w:rPr>
          <w:rFonts w:ascii="Helvetica" w:hAnsi="Helvetica"/>
          <w:i/>
          <w:iCs/>
        </w:rPr>
      </w:pPr>
      <w:r w:rsidRPr="004F20D7">
        <w:rPr>
          <w:rFonts w:ascii="Helvetica" w:hAnsi="Helvetica"/>
          <w:i/>
          <w:iCs/>
        </w:rPr>
        <w:t>Group differences in latent-state context across regimes</w:t>
      </w:r>
    </w:p>
    <w:p w14:paraId="23D4FD8B" w14:textId="58496E78" w:rsidR="004F20D7" w:rsidRPr="004F20D7" w:rsidRDefault="004F20D7" w:rsidP="004F20D7">
      <w:pPr>
        <w:spacing w:before="100" w:beforeAutospacing="1" w:after="100" w:afterAutospacing="1" w:line="240" w:lineRule="auto"/>
        <w:jc w:val="both"/>
        <w:rPr>
          <w:rFonts w:ascii="Helvetica" w:hAnsi="Helvetica"/>
        </w:rPr>
      </w:pPr>
      <w:r w:rsidRPr="004F20D7">
        <w:rPr>
          <w:rFonts w:ascii="Helvetica" w:hAnsi="Helvetica"/>
        </w:rPr>
        <w:t>Across all three functional inertia regimes, individuals with schizophrenia exhibited elevated latent-state magnitude relative to healthy controls, indicating greater interregional disparity regardless of whether the system was locked, stabilizing, or shifting (Supplementary Table S1). This elevation was consistent across regimes, with no evidence that stabilizing dynamics in schizophrenia occurred within a latent-state context comparable to that observed in controls.</w:t>
      </w:r>
      <w:r>
        <w:rPr>
          <w:rFonts w:ascii="Helvetica" w:hAnsi="Helvetica"/>
        </w:rPr>
        <w:t xml:space="preserve"> </w:t>
      </w:r>
      <w:r w:rsidRPr="004F20D7">
        <w:rPr>
          <w:rFonts w:ascii="Helvetica" w:hAnsi="Helvetica"/>
        </w:rPr>
        <w:t>Importantly, this pattern indicates that engagement in a stabilizing regime does not imply proximity to a normative, low-disparity configuration. Rather, stabilizing dynamics in schizophrenia reflect directed convergence occurring at an elevated baseline of disparity, highlighting a dissociation between the direction of reconfiguration and the absolute latent-state context in which that reconfiguration unfolds.</w:t>
      </w:r>
    </w:p>
    <w:p w14:paraId="366C1AD6" w14:textId="77777777" w:rsidR="004F20D7" w:rsidRPr="004F20D7" w:rsidRDefault="004F20D7" w:rsidP="004F20D7">
      <w:pPr>
        <w:spacing w:before="100" w:beforeAutospacing="1" w:after="100" w:afterAutospacing="1" w:line="240" w:lineRule="auto"/>
        <w:jc w:val="both"/>
        <w:rPr>
          <w:rFonts w:ascii="Helvetica" w:hAnsi="Helvetica"/>
          <w:i/>
          <w:iCs/>
        </w:rPr>
      </w:pPr>
      <w:r w:rsidRPr="004F20D7">
        <w:rPr>
          <w:rFonts w:ascii="Helvetica" w:hAnsi="Helvetica"/>
          <w:i/>
          <w:iCs/>
        </w:rPr>
        <w:t>Within-group regime ordering and cross-regime comparisons</w:t>
      </w:r>
    </w:p>
    <w:p w14:paraId="6C4E6020" w14:textId="77777777" w:rsidR="004F20D7" w:rsidRPr="00C74114" w:rsidRDefault="004F20D7" w:rsidP="004F20D7">
      <w:pPr>
        <w:spacing w:after="120" w:line="240" w:lineRule="auto"/>
        <w:jc w:val="both"/>
        <w:rPr>
          <w:rFonts w:ascii="Helvetica" w:hAnsi="Helvetica"/>
        </w:rPr>
      </w:pPr>
      <w:r w:rsidRPr="00C74114">
        <w:rPr>
          <w:rFonts w:ascii="Helvetica" w:hAnsi="Helvetica"/>
        </w:rPr>
        <w:t>Within-group comparisons revealed systematic ordering of latent-state magnitude across regimes in both diagnostic groups (Supplementary Table S2). In schizophrenia and controls, shifting regimes were associated with higher latent-state magnitude than locked regimes, consistent with directed divergence from the running configuration. However, the relative positioning of stabilizing regimes differed between groups. In controls, stabilizing regimes occurred at latent-state magnitudes comparable to locked regimes, whereas in schizophrenia, stabilizing regimes remained elevated relative to locked regimes, indicating convergence toward reduced disparity without reaching a low-disparity configuration.</w:t>
      </w:r>
    </w:p>
    <w:p w14:paraId="7FA17900" w14:textId="13321FE5" w:rsidR="00F67B46" w:rsidRDefault="004F20D7" w:rsidP="004F20D7">
      <w:pPr>
        <w:spacing w:after="120" w:line="240" w:lineRule="auto"/>
        <w:jc w:val="both"/>
        <w:rPr>
          <w:rFonts w:ascii="Helvetica" w:hAnsi="Helvetica"/>
        </w:rPr>
      </w:pPr>
      <w:r w:rsidRPr="00C74114">
        <w:rPr>
          <w:rFonts w:ascii="Helvetica" w:hAnsi="Helvetica"/>
        </w:rPr>
        <w:t xml:space="preserve">Cross-group, cross-regime comparisons further demonstrated that latent-state magnitude in schizophrenia exceeded that of controls for every regime pairing examined (Supplementary Table S3). Notably, latent-state magnitude during stabilizing regimes in schizophrenia remained significantly higher than that observed during locked regimes in controls, indicating that directed convergence in schizophrenia does not approach the </w:t>
      </w:r>
      <w:r w:rsidRPr="00C74114">
        <w:rPr>
          <w:rFonts w:ascii="Helvetica" w:hAnsi="Helvetica"/>
        </w:rPr>
        <w:lastRenderedPageBreak/>
        <w:t>latent-state context characteristic of stable configurations in healthy individuals. Together, these findings demonstrate that functional inertia regimes capture the direction of state evolution, while latent-state magnitude captures the location in state space, and that these two aspects are systematically dissociated in schizophrenia.</w:t>
      </w:r>
    </w:p>
    <w:p w14:paraId="26647344" w14:textId="09B7CC87" w:rsidR="00C74114" w:rsidRDefault="007F7996" w:rsidP="00C74114">
      <w:pPr>
        <w:spacing w:before="100" w:beforeAutospacing="1" w:after="100" w:afterAutospacing="1" w:line="240" w:lineRule="auto"/>
        <w:jc w:val="both"/>
        <w:rPr>
          <w:rFonts w:ascii="Helvetica" w:hAnsi="Helvetica"/>
          <w:b/>
          <w:bCs/>
          <w:sz w:val="28"/>
          <w:szCs w:val="28"/>
        </w:rPr>
      </w:pPr>
      <w:r w:rsidRPr="007F7996">
        <w:rPr>
          <w:rFonts w:ascii="Helvetica" w:hAnsi="Helvetica"/>
          <w:b/>
          <w:bCs/>
          <w:sz w:val="28"/>
          <w:szCs w:val="28"/>
        </w:rPr>
        <w:t>Alternative Representational Axis: Correlation-Based Instantiation of the ISSM</w:t>
      </w:r>
    </w:p>
    <w:p w14:paraId="4E5F0636" w14:textId="037CD804" w:rsidR="007F7996" w:rsidRDefault="00775502" w:rsidP="007F7996">
      <w:pPr>
        <w:spacing w:before="100" w:beforeAutospacing="1" w:after="100" w:afterAutospacing="1" w:line="240" w:lineRule="auto"/>
        <w:jc w:val="both"/>
        <w:rPr>
          <w:rFonts w:ascii="Helvetica" w:hAnsi="Helvetica"/>
        </w:rPr>
      </w:pPr>
      <w:r w:rsidRPr="00775502">
        <w:rPr>
          <w:rFonts w:ascii="Helvetica" w:hAnsi="Helvetica"/>
        </w:rPr>
        <w:t>To test whether the regime structure and clinical associations observed in the main analysis depend on the dynamic time warping representational axis, we implemented an alternative instantiation of the inertial state-space model using sliding-window Pearson correlation as the observational trajectory</w:t>
      </w:r>
      <w:r w:rsidR="000D3DFE">
        <w:rPr>
          <w:rFonts w:ascii="Helvetica" w:hAnsi="Helvetica"/>
        </w:rPr>
        <w:fldChar w:fldCharType="begin">
          <w:fldData xml:space="preserve">PEVuZE5vdGU+PENpdGU+PEF1dGhvcj5BbGxlbjwvQXV0aG9yPjxZZWFyPjIwMTQ8L1llYXI+PFJl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</w:fldData>
        </w:fldChar>
      </w:r>
      <w:r w:rsidR="000D3DFE">
        <w:rPr>
          <w:rFonts w:ascii="Helvetica" w:hAnsi="Helvetica"/>
        </w:rPr>
        <w:instrText xml:space="preserve"> ADDIN EN.CITE </w:instrText>
      </w:r>
      <w:r w:rsidR="000D3DFE">
        <w:rPr>
          <w:rFonts w:ascii="Helvetica" w:hAnsi="Helvetica"/>
        </w:rPr>
        <w:fldChar w:fldCharType="begin">
          <w:fldData xml:space="preserve">PEVuZE5vdGU+PENpdGU+PEF1dGhvcj5BbGxlbjwvQXV0aG9yPjxZZWFyPjIwMTQ8L1llYXI+PFJl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</w:fldData>
        </w:fldChar>
      </w:r>
      <w:r w:rsidR="000D3DFE">
        <w:rPr>
          <w:rFonts w:ascii="Helvetica" w:hAnsi="Helvetica"/>
        </w:rPr>
        <w:instrText xml:space="preserve"> ADDIN EN.CITE.DATA </w:instrText>
      </w:r>
      <w:r w:rsidR="000D3DFE">
        <w:rPr>
          <w:rFonts w:ascii="Helvetica" w:hAnsi="Helvetica"/>
        </w:rPr>
      </w:r>
      <w:r w:rsidR="000D3DFE">
        <w:rPr>
          <w:rFonts w:ascii="Helvetica" w:hAnsi="Helvetica"/>
        </w:rPr>
        <w:fldChar w:fldCharType="end"/>
      </w:r>
      <w:r w:rsidR="000D3DFE">
        <w:rPr>
          <w:rFonts w:ascii="Helvetica" w:hAnsi="Helvetica"/>
        </w:rPr>
        <w:fldChar w:fldCharType="separate"/>
      </w:r>
      <w:r w:rsidR="000D3DFE" w:rsidRPr="000D3DFE">
        <w:rPr>
          <w:rFonts w:ascii="Helvetica" w:hAnsi="Helvetica"/>
          <w:noProof/>
          <w:vertAlign w:val="superscript"/>
        </w:rPr>
        <w:t>9</w:t>
      </w:r>
      <w:r w:rsidR="000D3DFE">
        <w:rPr>
          <w:rFonts w:ascii="Helvetica" w:hAnsi="Helvetica"/>
        </w:rPr>
        <w:fldChar w:fldCharType="end"/>
      </w:r>
      <w:r w:rsidRPr="00775502">
        <w:rPr>
          <w:rFonts w:ascii="Helvetica" w:hAnsi="Helvetica"/>
        </w:rPr>
        <w:t>. Time-resolved interregional correlation matrices were treated as the evolving observations and accumulated within the same ISSM framework to generate cumulative latent trajectories and corresponding functional inertia indices. All accumulation, smoothing, and clustering procedures were identical to the DTW-based analysis</w:t>
      </w:r>
      <w:r w:rsidR="007F7996" w:rsidRPr="007F7996">
        <w:rPr>
          <w:rFonts w:ascii="Helvetica" w:hAnsi="Helvetica"/>
        </w:rPr>
        <w:t>.</w:t>
      </w:r>
    </w:p>
    <w:p w14:paraId="7274A445" w14:textId="793A8EB0" w:rsidR="00A123AB" w:rsidRDefault="00A123AB" w:rsidP="007F7996">
      <w:pPr>
        <w:spacing w:before="100" w:beforeAutospacing="1" w:after="100" w:afterAutospacing="1" w:line="240" w:lineRule="auto"/>
        <w:jc w:val="both"/>
        <w:rPr>
          <w:rFonts w:ascii="Helvetica" w:hAnsi="Helvetica"/>
        </w:rPr>
      </w:pPr>
      <w:r w:rsidRPr="00A123AB">
        <w:rPr>
          <w:rFonts w:ascii="Helvetica" w:hAnsi="Helvetica"/>
        </w:rPr>
        <w:t xml:space="preserve">Clustering of the correlation-derived functional inertia index again revealed three recurrent regimes organized along a low–mid–high inertia hierarchy (Supplementary Fig. 3a). As </w:t>
      </w:r>
      <w:proofErr w:type="gramStart"/>
      <w:r w:rsidRPr="00A123AB">
        <w:rPr>
          <w:rFonts w:ascii="Helvetica" w:hAnsi="Helvetica"/>
        </w:rPr>
        <w:t>expected</w:t>
      </w:r>
      <w:proofErr w:type="gramEnd"/>
      <w:r w:rsidRPr="00A123AB">
        <w:rPr>
          <w:rFonts w:ascii="Helvetica" w:hAnsi="Helvetica"/>
        </w:rPr>
        <w:t xml:space="preserve"> given the correlational representational axis, the spatial patterns of each regime reflected network-specific covariance structure rather than whole-brain distance structure. Because correlation emphasizes instantaneous interregional coupling strength, regimes in this instantiation manifest as distinct patterns of coordinated network configuration rather than global displacement in trajectory space. This difference in spatial expression reflects the observational axis used to describe state, not a change in the underlying inertial principle.</w:t>
      </w:r>
    </w:p>
    <w:p w14:paraId="1495567D" w14:textId="72676996" w:rsidR="007F7996" w:rsidRPr="007F7996" w:rsidRDefault="00A123AB" w:rsidP="00C74114">
      <w:pPr>
        <w:spacing w:before="100" w:beforeAutospacing="1" w:after="100" w:afterAutospacing="1" w:line="240" w:lineRule="auto"/>
        <w:jc w:val="both"/>
        <w:rPr>
          <w:rFonts w:ascii="Helvetica" w:hAnsi="Helvetica"/>
        </w:rPr>
      </w:pPr>
      <w:r w:rsidRPr="00A123AB">
        <w:rPr>
          <w:rFonts w:ascii="Helvetica" w:hAnsi="Helvetica"/>
        </w:rPr>
        <w:t xml:space="preserve">Despite these representational differences, regime dynamics showed significant group differences in fraction rate, mean dwell time, and transition probabilities (Supplementary Fig. 3b), and regime engagement metrics were associated with symptom severity and cognitive performance (Supplementary Fig. 3c). Together, these findings demonstrate that the emergence of hierarchical inertia regimes and their behavioral and clinical relevance are not specific to the DTW </w:t>
      </w:r>
      <w:proofErr w:type="gramStart"/>
      <w:r w:rsidRPr="00A123AB">
        <w:rPr>
          <w:rFonts w:ascii="Helvetica" w:hAnsi="Helvetica"/>
        </w:rPr>
        <w:t>instantiation, but</w:t>
      </w:r>
      <w:proofErr w:type="gramEnd"/>
      <w:r w:rsidRPr="00A123AB">
        <w:rPr>
          <w:rFonts w:ascii="Helvetica" w:hAnsi="Helvetica"/>
        </w:rPr>
        <w:t xml:space="preserve"> reflect a representation-agnostic property of accumulated state evolution captured by the ISSM.</w:t>
      </w:r>
    </w:p>
    <w:p w14:paraId="595AEB39" w14:textId="615D6898" w:rsidR="00C74114" w:rsidRPr="00320473" w:rsidRDefault="00320473" w:rsidP="00C74114">
      <w:pPr>
        <w:spacing w:before="100" w:beforeAutospacing="1" w:after="100" w:afterAutospacing="1" w:line="240" w:lineRule="auto"/>
        <w:jc w:val="both"/>
        <w:rPr>
          <w:rFonts w:ascii="Helvetica" w:hAnsi="Helvetica"/>
          <w:b/>
          <w:bCs/>
          <w:sz w:val="28"/>
          <w:szCs w:val="28"/>
        </w:rPr>
      </w:pPr>
      <w:r w:rsidRPr="00320473">
        <w:rPr>
          <w:rFonts w:ascii="Helvetica" w:hAnsi="Helvetica"/>
          <w:b/>
          <w:bCs/>
          <w:sz w:val="28"/>
          <w:szCs w:val="28"/>
        </w:rPr>
        <w:t>Ablation of Accumulation Reveals Loss of System-Level Inertial Structure</w:t>
      </w:r>
    </w:p>
    <w:p w14:paraId="2529AA40" w14:textId="200229AB" w:rsidR="00320473" w:rsidRDefault="00320473" w:rsidP="00C74114">
      <w:pPr>
        <w:spacing w:before="100" w:beforeAutospacing="1" w:after="100" w:afterAutospacing="1" w:line="240" w:lineRule="auto"/>
        <w:jc w:val="both"/>
        <w:rPr>
          <w:rFonts w:ascii="Helvetica" w:hAnsi="Helvetica"/>
        </w:rPr>
      </w:pPr>
      <w:r w:rsidRPr="00320473">
        <w:rPr>
          <w:rFonts w:ascii="Helvetica" w:hAnsi="Helvetica"/>
        </w:rPr>
        <w:t>To determine whether the observed system-level and mediation-level effects depend specifically on cumulative state integration, we performed an ablation analysis in which the accumulation step of the inertial state-space model was removed while all other components of the pipeline were held constant</w:t>
      </w:r>
      <w:r w:rsidR="00B329ED">
        <w:rPr>
          <w:rFonts w:ascii="Helvetica" w:hAnsi="Helvetica"/>
        </w:rPr>
        <w:t xml:space="preserve"> </w:t>
      </w:r>
      <w:r w:rsidR="00B329ED" w:rsidRPr="00B329ED">
        <w:rPr>
          <w:rFonts w:ascii="Helvetica" w:hAnsi="Helvetica"/>
        </w:rPr>
        <w:t>(Supplementary Fig. 4</w:t>
      </w:r>
      <w:r w:rsidR="00B329ED">
        <w:rPr>
          <w:rFonts w:ascii="Helvetica" w:hAnsi="Helvetica"/>
        </w:rPr>
        <w:t>a)</w:t>
      </w:r>
      <w:r w:rsidRPr="00320473">
        <w:rPr>
          <w:rFonts w:ascii="Helvetica" w:hAnsi="Helvetica"/>
        </w:rPr>
        <w:t xml:space="preserve">. In this no-accumulation formulation, DTW-derived disparity was subjected to identical smoothing and differentiation procedures, yielding an instantaneous functional inertia estimate </w:t>
      </w:r>
      <w:r w:rsidRPr="00320473">
        <w:rPr>
          <w:rFonts w:ascii="Helvetica" w:hAnsi="Helvetica"/>
        </w:rPr>
        <w:lastRenderedPageBreak/>
        <w:t xml:space="preserve">without cumulative context. This design isolates the contribution of accumulation itself, ensuring that any downstream </w:t>
      </w:r>
      <w:r>
        <w:rPr>
          <w:rFonts w:ascii="Helvetica" w:hAnsi="Helvetica"/>
        </w:rPr>
        <w:t>difference</w:t>
      </w:r>
      <w:r w:rsidRPr="00320473">
        <w:rPr>
          <w:rFonts w:ascii="Helvetica" w:hAnsi="Helvetica"/>
        </w:rPr>
        <w:t>s cannot be attributed to preprocessing, smoothing, clustering, or derivative computation.</w:t>
      </w:r>
    </w:p>
    <w:p w14:paraId="0908FBBC" w14:textId="2ECEC8A1" w:rsidR="00320473" w:rsidRPr="00C74114" w:rsidRDefault="00B329ED" w:rsidP="00C74114">
      <w:pPr>
        <w:spacing w:before="100" w:beforeAutospacing="1" w:after="100" w:afterAutospacing="1" w:line="240" w:lineRule="auto"/>
        <w:jc w:val="both"/>
        <w:rPr>
          <w:rFonts w:ascii="Helvetica" w:hAnsi="Helvetica"/>
        </w:rPr>
      </w:pPr>
      <w:r w:rsidRPr="00B329ED">
        <w:rPr>
          <w:rFonts w:ascii="Helvetica" w:hAnsi="Helvetica"/>
        </w:rPr>
        <w:t>Under the ablated formulation, tri-modal regime structure was preserved, and several regime-level group differences remained statistically significant (Supplementary Fig. 4b–c). Specifically, locked and stabilizing mean dwell time and fraction rate differences between groups were largely retained. However, critical system-level effects were lost. Whole-brain FIIM no longer showed significant associations with positive symptom severity and was no longer associated with negative symptoms a</w:t>
      </w:r>
      <w:r>
        <w:rPr>
          <w:rFonts w:ascii="Helvetica" w:hAnsi="Helvetica"/>
        </w:rPr>
        <w:t>s</w:t>
      </w:r>
      <w:r w:rsidRPr="00B329ED">
        <w:rPr>
          <w:rFonts w:ascii="Helvetica" w:hAnsi="Helvetica"/>
        </w:rPr>
        <w:t xml:space="preserve"> observed under the full ISSM. Most importantly, mediation pathways linking locked-regime persistence to symptom severity through whole-brain FIIM were </w:t>
      </w:r>
      <w:r>
        <w:rPr>
          <w:rFonts w:ascii="Helvetica" w:hAnsi="Helvetica"/>
        </w:rPr>
        <w:t>lost</w:t>
      </w:r>
      <w:r w:rsidRPr="00B329ED">
        <w:rPr>
          <w:rFonts w:ascii="Helvetica" w:hAnsi="Helvetica"/>
        </w:rPr>
        <w:t xml:space="preserve"> in the no</w:t>
      </w:r>
      <w:r>
        <w:rPr>
          <w:rFonts w:ascii="Helvetica" w:hAnsi="Helvetica"/>
        </w:rPr>
        <w:t>-</w:t>
      </w:r>
      <w:r w:rsidRPr="00B329ED">
        <w:rPr>
          <w:rFonts w:ascii="Helvetica" w:hAnsi="Helvetica"/>
        </w:rPr>
        <w:t xml:space="preserve">accumulation model. Indirect effects that were significant in the full ISSM, including </w:t>
      </w:r>
      <w:proofErr w:type="gramStart"/>
      <w:r w:rsidRPr="00B329ED">
        <w:rPr>
          <w:rFonts w:ascii="Helvetica" w:hAnsi="Helvetica"/>
        </w:rPr>
        <w:t>locked-regime</w:t>
      </w:r>
      <w:proofErr w:type="gramEnd"/>
      <w:r w:rsidRPr="00B329ED">
        <w:rPr>
          <w:rFonts w:ascii="Helvetica" w:hAnsi="Helvetica"/>
        </w:rPr>
        <w:t xml:space="preserve"> to FIIM to symptom pathways, were no longer significant when accumulation was removed (Supplementary Fig. 4c). These results demonstrate that while instantaneous disparity can reproduce aspects of regime segmentation and some group-level contrasts, </w:t>
      </w:r>
      <w:r>
        <w:rPr>
          <w:rFonts w:ascii="Helvetica" w:hAnsi="Helvetica"/>
        </w:rPr>
        <w:t xml:space="preserve">the </w:t>
      </w:r>
      <w:r w:rsidRPr="00B329ED">
        <w:rPr>
          <w:rFonts w:ascii="Helvetica" w:hAnsi="Helvetica"/>
        </w:rPr>
        <w:t>cumulative</w:t>
      </w:r>
      <w:r>
        <w:rPr>
          <w:rFonts w:ascii="Helvetica" w:hAnsi="Helvetica"/>
        </w:rPr>
        <w:t xml:space="preserve"> context</w:t>
      </w:r>
      <w:r w:rsidRPr="00B329ED">
        <w:rPr>
          <w:rFonts w:ascii="Helvetica" w:hAnsi="Helvetica"/>
        </w:rPr>
        <w:t xml:space="preserve"> integration is required to recover global inertial magnitude and the coherent mediation architecture that links regime dynamics to clinical expression.</w:t>
      </w:r>
    </w:p>
    <w:p w14:paraId="2AAB75D0" w14:textId="55140A45" w:rsidR="004F20D7" w:rsidRPr="004F20D7" w:rsidRDefault="00412CB5" w:rsidP="004F20D7">
      <w:pPr>
        <w:spacing w:after="120" w:line="240" w:lineRule="auto"/>
        <w:jc w:val="both"/>
        <w:rPr>
          <w:rFonts w:ascii="Helvetica" w:hAnsi="Helvetica"/>
        </w:rPr>
      </w:pPr>
      <w:r>
        <w:rPr>
          <w:rFonts w:ascii="Helvetica" w:hAnsi="Helvetica"/>
          <w:noProof/>
        </w:rPr>
        <w:lastRenderedPageBreak/>
        <mc:AlternateContent>
          <mc:Choice Requires="wps">
            <w:drawing>
              <wp:inline distT="0" distB="0" distL="0" distR="0" wp14:anchorId="7CDACB7C" wp14:editId="389F083E">
                <wp:extent cx="5940213" cy="5069711"/>
                <wp:effectExtent l="0" t="0" r="0" b="0"/>
                <wp:docPr id="758219817" name="Text Box 2"/>
                <wp:cNvGraphicFramePr/>
                <a:graphic xmlns:a="http://schemas.openxmlformats.org/drawingml/2006/main">
                  <a:graphicData uri="http://schemas.microsoft.com/office/word/2010/wordprocessingShape">
                    <wps:wsp>
                      <wps:cNvSpPr txBox="1"/>
                      <wps:spPr>
                        <a:xfrm>
                          <a:off x="0" y="0"/>
                          <a:ext cx="5940213" cy="5069711"/>
                        </a:xfrm>
                        <a:prstGeom prst="rect">
                          <a:avLst/>
                        </a:prstGeom>
                        <a:noFill/>
                        <a:ln w="6350">
                          <a:noFill/>
                        </a:ln>
                      </wps:spPr>
                      <wps:txbx>
                        <w:txbxContent>
                          <w:p w14:paraId="0A3D5857" w14:textId="2B7D5D7E" w:rsidR="00412CB5" w:rsidRPr="008A490B" w:rsidRDefault="00833C9F" w:rsidP="00876EA6">
                            <w:pPr>
                              <w:keepNext/>
                              <w:spacing w:after="0"/>
                              <w:jc w:val="center"/>
                              <w:rPr>
                                <w:color w:val="000000" w:themeColor="text1"/>
                              </w:rPr>
                            </w:pPr>
                            <w:r w:rsidRPr="008A490B">
                              <w:rPr>
                                <w:color w:val="000000" w:themeColor="text1"/>
                              </w:rPr>
                              <w:t xml:space="preserve">Supplementary Figure </w:t>
                            </w:r>
                            <w:r w:rsidR="008A490B" w:rsidRPr="008A490B">
                              <w:rPr>
                                <w:color w:val="000000" w:themeColor="text1"/>
                              </w:rPr>
                              <w:t>1</w:t>
                            </w:r>
                            <w:r w:rsidRPr="008A490B">
                              <w:rPr>
                                <w:color w:val="000000" w:themeColor="text1"/>
                              </w:rPr>
                              <w:t xml:space="preserve"> | </w:t>
                            </w:r>
                            <w:r w:rsidR="00876EA6" w:rsidRPr="008A490B">
                              <w:rPr>
                                <w:color w:val="000000" w:themeColor="text1"/>
                              </w:rPr>
                              <w:t>Spectral knee selection across the subject-averaged PSD</w:t>
                            </w:r>
                          </w:p>
                          <w:p w14:paraId="0AE9904D" w14:textId="7706443A" w:rsidR="00772767" w:rsidRPr="00772767" w:rsidRDefault="00772767" w:rsidP="00772767">
                            <w:pPr>
                              <w:pStyle w:val="Caption"/>
                              <w:spacing w:after="0"/>
                              <w:jc w:val="both"/>
                              <w:rPr>
                                <w:rFonts w:ascii="Helvetica" w:hAnsi="Helvetica"/>
                                <w:i w:val="0"/>
                                <w:iCs w:val="0"/>
                                <w:color w:val="000000" w:themeColor="text1"/>
                              </w:rPr>
                            </w:pPr>
                            <w:r>
                              <w:rPr>
                                <w:rFonts w:ascii="Helvetica" w:hAnsi="Helvetica"/>
                                <w:i w:val="0"/>
                                <w:iCs w:val="0"/>
                                <w:noProof/>
                                <w:color w:val="000000" w:themeColor="text1"/>
                              </w:rPr>
                              <w:drawing>
                                <wp:inline distT="0" distB="0" distL="0" distR="0" wp14:anchorId="46744D38" wp14:editId="2FD2DA81">
                                  <wp:extent cx="5750560" cy="3748405"/>
                                  <wp:effectExtent l="0" t="0" r="2540" b="0"/>
                                  <wp:docPr id="1398070270" name="Picture 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70270" name="Picture 3" descr="A graph of a function&#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50560" cy="3748405"/>
                                          </a:xfrm>
                                          <a:prstGeom prst="rect">
                                            <a:avLst/>
                                          </a:prstGeom>
                                        </pic:spPr>
                                      </pic:pic>
                                    </a:graphicData>
                                  </a:graphic>
                                </wp:inline>
                              </w:drawing>
                            </w:r>
                          </w:p>
                          <w:p w14:paraId="6E72C21E" w14:textId="4E236E5F" w:rsidR="00412CB5" w:rsidRPr="00833C9F" w:rsidRDefault="00412CB5" w:rsidP="00412CB5">
                            <w:pPr>
                              <w:pStyle w:val="Caption"/>
                              <w:jc w:val="both"/>
                              <w:rPr>
                                <w:rFonts w:ascii="Helvetica" w:hAnsi="Helvetica"/>
                                <w:color w:val="000000" w:themeColor="text1"/>
                              </w:rPr>
                            </w:pPr>
                            <w:r w:rsidRPr="00833C9F">
                              <w:rPr>
                                <w:rFonts w:ascii="Helvetica" w:hAnsi="Helvetica"/>
                                <w:color w:val="000000" w:themeColor="text1"/>
                              </w:rPr>
                              <w:t xml:space="preserve">Supplementary Figure </w:t>
                            </w:r>
                            <w:r w:rsidRPr="00833C9F">
                              <w:rPr>
                                <w:rFonts w:ascii="Helvetica" w:hAnsi="Helvetica"/>
                                <w:color w:val="000000" w:themeColor="text1"/>
                              </w:rPr>
                              <w:fldChar w:fldCharType="begin"/>
                            </w:r>
                            <w:r w:rsidRPr="00833C9F">
                              <w:rPr>
                                <w:rFonts w:ascii="Helvetica" w:hAnsi="Helvetica"/>
                                <w:color w:val="000000" w:themeColor="text1"/>
                              </w:rPr>
                              <w:instrText xml:space="preserve"> SEQ Supplementary_Figure \* ARABIC </w:instrText>
                            </w:r>
                            <w:r w:rsidRPr="00833C9F">
                              <w:rPr>
                                <w:rFonts w:ascii="Helvetica" w:hAnsi="Helvetica"/>
                                <w:color w:val="000000" w:themeColor="text1"/>
                              </w:rPr>
                              <w:fldChar w:fldCharType="separate"/>
                            </w:r>
                            <w:r w:rsidR="00941447" w:rsidRPr="00833C9F">
                              <w:rPr>
                                <w:rFonts w:ascii="Helvetica" w:hAnsi="Helvetica"/>
                                <w:noProof/>
                                <w:color w:val="000000" w:themeColor="text1"/>
                              </w:rPr>
                              <w:t>1</w:t>
                            </w:r>
                            <w:r w:rsidRPr="00833C9F">
                              <w:rPr>
                                <w:rFonts w:ascii="Helvetica" w:hAnsi="Helvetica"/>
                                <w:color w:val="000000" w:themeColor="text1"/>
                              </w:rPr>
                              <w:fldChar w:fldCharType="end"/>
                            </w:r>
                            <w:r w:rsidR="00833C9F" w:rsidRPr="00833C9F">
                              <w:rPr>
                                <w:rFonts w:ascii="Helvetica" w:hAnsi="Helvetica"/>
                                <w:color w:val="000000" w:themeColor="text1"/>
                              </w:rPr>
                              <w:t xml:space="preserve"> </w:t>
                            </w:r>
                            <w:r w:rsidR="00666C37">
                              <w:rPr>
                                <w:rFonts w:ascii="Helvetica" w:hAnsi="Helvetica"/>
                                <w:color w:val="000000" w:themeColor="text1"/>
                              </w:rPr>
                              <w:t>Spectral knee selection across subject-averaged PSD of</w:t>
                            </w:r>
                            <w:r w:rsidR="00876EA6">
                              <w:rPr>
                                <w:rFonts w:ascii="Helvetica" w:hAnsi="Helvetica"/>
                                <w:color w:val="000000" w:themeColor="text1"/>
                              </w:rPr>
                              <w:t xml:space="preserve"> the</w:t>
                            </w:r>
                            <w:r w:rsidR="00666C37">
                              <w:rPr>
                                <w:rFonts w:ascii="Helvetica" w:hAnsi="Helvetica"/>
                                <w:color w:val="000000" w:themeColor="text1"/>
                              </w:rPr>
                              <w:t xml:space="preserve"> </w:t>
                            </w:r>
                            <w:r w:rsidR="00876EA6" w:rsidRPr="00876EA6">
                              <w:rPr>
                                <w:rFonts w:ascii="Helvetica" w:hAnsi="Helvetica"/>
                                <w:color w:val="000000" w:themeColor="text1"/>
                              </w:rPr>
                              <w:t>cumulative DTW trajectory</w:t>
                            </w:r>
                            <w:r w:rsidR="00876EA6">
                              <w:rPr>
                                <w:rFonts w:ascii="Helvetica" w:hAnsi="Helvetica"/>
                                <w:color w:val="000000" w:themeColor="text1"/>
                              </w:rPr>
                              <w:t>.</w:t>
                            </w:r>
                            <w:r w:rsidR="00876EA6" w:rsidRPr="00876EA6">
                              <w:rPr>
                                <w:i w:val="0"/>
                                <w:iCs w:val="0"/>
                                <w:color w:val="auto"/>
                                <w:sz w:val="24"/>
                                <w:szCs w:val="24"/>
                              </w:rPr>
                              <w:t xml:space="preserve"> </w:t>
                            </w:r>
                            <w:r w:rsidR="00876EA6" w:rsidRPr="00876EA6">
                              <w:rPr>
                                <w:rFonts w:ascii="Helvetica" w:hAnsi="Helvetica"/>
                                <w:color w:val="000000" w:themeColor="text1"/>
                              </w:rPr>
                              <w:t xml:space="preserve">The power spectral density (PSD) of the cumulative DTW trajectory was averaged across all subjects and brain region pairs and plotted on a logarithmic scale. The shaded band denotes the frequency window used for knee detection. The vertical line marks the detected spectral knee frequency </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p</m:t>
                                  </m:r>
                                </m:sub>
                              </m:sSub>
                            </m:oMath>
                            <w:r w:rsidR="00876EA6" w:rsidRPr="00876EA6">
                              <w:rPr>
                                <w:rFonts w:ascii="Helvetica" w:hAnsi="Helvetica"/>
                                <w:color w:val="000000" w:themeColor="text1"/>
                              </w:rPr>
                              <w:t>, representing the transition from signal-dominated low-frequency structure to higher-frequency fluctuations. This knee was used to define the −3 dB cutoff of a Gaussian smoothing filter, yielding a data-driven full width at half maximum (FWHM) used in subsequent temporal smoothing</w:t>
                            </w:r>
                            <w:r w:rsidR="00833C9F" w:rsidRPr="00833C9F">
                              <w:rPr>
                                <w:rFonts w:ascii="Helvetica" w:hAnsi="Helvetica"/>
                                <w:color w:val="000000" w:themeColor="text1"/>
                              </w:rPr>
                              <w:t>.</w:t>
                            </w:r>
                          </w:p>
                          <w:p w14:paraId="293679EE" w14:textId="00990ABB" w:rsidR="00412CB5" w:rsidRDefault="00412CB5" w:rsidP="00412C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DACB7C" id="_x0000_t202" coordsize="21600,21600" o:spt="202" path="m,l,21600r21600,l21600,xe">
                <v:stroke joinstyle="miter"/>
                <v:path gradientshapeok="t" o:connecttype="rect"/>
              </v:shapetype>
              <v:shape id="Text Box 2" o:spid="_x0000_s1026" type="#_x0000_t202" style="width:467.75pt;height:39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" filled="f" stroked="f" strokeweight=".5pt">
                <v:textbox>
                  <w:txbxContent>
                    <w:p w14:paraId="0A3D5857" w14:textId="2B7D5D7E" w:rsidR="00412CB5" w:rsidRPr="008A490B" w:rsidRDefault="00833C9F" w:rsidP="00876EA6">
                      <w:pPr>
                        <w:keepNext/>
                        <w:spacing w:after="0"/>
                        <w:jc w:val="center"/>
                        <w:rPr>
                          <w:color w:val="000000" w:themeColor="text1"/>
                        </w:rPr>
                      </w:pPr>
                      <w:r w:rsidRPr="008A490B">
                        <w:rPr>
                          <w:color w:val="000000" w:themeColor="text1"/>
                        </w:rPr>
                        <w:t xml:space="preserve">Supplementary Figure </w:t>
                      </w:r>
                      <w:r w:rsidR="008A490B" w:rsidRPr="008A490B">
                        <w:rPr>
                          <w:color w:val="000000" w:themeColor="text1"/>
                        </w:rPr>
                        <w:t>1</w:t>
                      </w:r>
                      <w:r w:rsidRPr="008A490B">
                        <w:rPr>
                          <w:color w:val="000000" w:themeColor="text1"/>
                        </w:rPr>
                        <w:t xml:space="preserve"> | </w:t>
                      </w:r>
                      <w:r w:rsidR="00876EA6" w:rsidRPr="008A490B">
                        <w:rPr>
                          <w:color w:val="000000" w:themeColor="text1"/>
                        </w:rPr>
                        <w:t>Spectral knee selection across the subject-averaged PSD</w:t>
                      </w:r>
                    </w:p>
                    <w:p w14:paraId="0AE9904D" w14:textId="7706443A" w:rsidR="00772767" w:rsidRPr="00772767" w:rsidRDefault="00772767" w:rsidP="00772767">
                      <w:pPr>
                        <w:pStyle w:val="Caption"/>
                        <w:spacing w:after="0"/>
                        <w:jc w:val="both"/>
                        <w:rPr>
                          <w:rFonts w:ascii="Helvetica" w:hAnsi="Helvetica"/>
                          <w:i w:val="0"/>
                          <w:iCs w:val="0"/>
                          <w:color w:val="000000" w:themeColor="text1"/>
                        </w:rPr>
                      </w:pPr>
                      <w:r>
                        <w:rPr>
                          <w:rFonts w:ascii="Helvetica" w:hAnsi="Helvetica"/>
                          <w:i w:val="0"/>
                          <w:iCs w:val="0"/>
                          <w:noProof/>
                          <w:color w:val="000000" w:themeColor="text1"/>
                        </w:rPr>
                        <w:drawing>
                          <wp:inline distT="0" distB="0" distL="0" distR="0" wp14:anchorId="46744D38" wp14:editId="2FD2DA81">
                            <wp:extent cx="5750560" cy="3748405"/>
                            <wp:effectExtent l="0" t="0" r="2540" b="0"/>
                            <wp:docPr id="1398070270" name="Picture 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70270" name="Picture 3" descr="A graph of a function&#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50560" cy="3748405"/>
                                    </a:xfrm>
                                    <a:prstGeom prst="rect">
                                      <a:avLst/>
                                    </a:prstGeom>
                                  </pic:spPr>
                                </pic:pic>
                              </a:graphicData>
                            </a:graphic>
                          </wp:inline>
                        </w:drawing>
                      </w:r>
                    </w:p>
                    <w:p w14:paraId="6E72C21E" w14:textId="4E236E5F" w:rsidR="00412CB5" w:rsidRPr="00833C9F" w:rsidRDefault="00412CB5" w:rsidP="00412CB5">
                      <w:pPr>
                        <w:pStyle w:val="Caption"/>
                        <w:jc w:val="both"/>
                        <w:rPr>
                          <w:rFonts w:ascii="Helvetica" w:hAnsi="Helvetica"/>
                          <w:color w:val="000000" w:themeColor="text1"/>
                        </w:rPr>
                      </w:pPr>
                      <w:r w:rsidRPr="00833C9F">
                        <w:rPr>
                          <w:rFonts w:ascii="Helvetica" w:hAnsi="Helvetica"/>
                          <w:color w:val="000000" w:themeColor="text1"/>
                        </w:rPr>
                        <w:t xml:space="preserve">Supplementary Figure </w:t>
                      </w:r>
                      <w:r w:rsidRPr="00833C9F">
                        <w:rPr>
                          <w:rFonts w:ascii="Helvetica" w:hAnsi="Helvetica"/>
                          <w:color w:val="000000" w:themeColor="text1"/>
                        </w:rPr>
                        <w:fldChar w:fldCharType="begin"/>
                      </w:r>
                      <w:r w:rsidRPr="00833C9F">
                        <w:rPr>
                          <w:rFonts w:ascii="Helvetica" w:hAnsi="Helvetica"/>
                          <w:color w:val="000000" w:themeColor="text1"/>
                        </w:rPr>
                        <w:instrText xml:space="preserve"> SEQ Supplementary_Figure \* ARABIC </w:instrText>
                      </w:r>
                      <w:r w:rsidRPr="00833C9F">
                        <w:rPr>
                          <w:rFonts w:ascii="Helvetica" w:hAnsi="Helvetica"/>
                          <w:color w:val="000000" w:themeColor="text1"/>
                        </w:rPr>
                        <w:fldChar w:fldCharType="separate"/>
                      </w:r>
                      <w:r w:rsidR="00941447" w:rsidRPr="00833C9F">
                        <w:rPr>
                          <w:rFonts w:ascii="Helvetica" w:hAnsi="Helvetica"/>
                          <w:noProof/>
                          <w:color w:val="000000" w:themeColor="text1"/>
                        </w:rPr>
                        <w:t>1</w:t>
                      </w:r>
                      <w:r w:rsidRPr="00833C9F">
                        <w:rPr>
                          <w:rFonts w:ascii="Helvetica" w:hAnsi="Helvetica"/>
                          <w:color w:val="000000" w:themeColor="text1"/>
                        </w:rPr>
                        <w:fldChar w:fldCharType="end"/>
                      </w:r>
                      <w:r w:rsidR="00833C9F" w:rsidRPr="00833C9F">
                        <w:rPr>
                          <w:rFonts w:ascii="Helvetica" w:hAnsi="Helvetica"/>
                          <w:color w:val="000000" w:themeColor="text1"/>
                        </w:rPr>
                        <w:t xml:space="preserve"> </w:t>
                      </w:r>
                      <w:r w:rsidR="00666C37">
                        <w:rPr>
                          <w:rFonts w:ascii="Helvetica" w:hAnsi="Helvetica"/>
                          <w:color w:val="000000" w:themeColor="text1"/>
                        </w:rPr>
                        <w:t>Spectral knee selection across subject-averaged PSD of</w:t>
                      </w:r>
                      <w:r w:rsidR="00876EA6">
                        <w:rPr>
                          <w:rFonts w:ascii="Helvetica" w:hAnsi="Helvetica"/>
                          <w:color w:val="000000" w:themeColor="text1"/>
                        </w:rPr>
                        <w:t xml:space="preserve"> the</w:t>
                      </w:r>
                      <w:r w:rsidR="00666C37">
                        <w:rPr>
                          <w:rFonts w:ascii="Helvetica" w:hAnsi="Helvetica"/>
                          <w:color w:val="000000" w:themeColor="text1"/>
                        </w:rPr>
                        <w:t xml:space="preserve"> </w:t>
                      </w:r>
                      <w:r w:rsidR="00876EA6" w:rsidRPr="00876EA6">
                        <w:rPr>
                          <w:rFonts w:ascii="Helvetica" w:hAnsi="Helvetica"/>
                          <w:color w:val="000000" w:themeColor="text1"/>
                        </w:rPr>
                        <w:t>cumulative DTW trajectory</w:t>
                      </w:r>
                      <w:r w:rsidR="00876EA6">
                        <w:rPr>
                          <w:rFonts w:ascii="Helvetica" w:hAnsi="Helvetica"/>
                          <w:color w:val="000000" w:themeColor="text1"/>
                        </w:rPr>
                        <w:t>.</w:t>
                      </w:r>
                      <w:r w:rsidR="00876EA6" w:rsidRPr="00876EA6">
                        <w:rPr>
                          <w:i w:val="0"/>
                          <w:iCs w:val="0"/>
                          <w:color w:val="auto"/>
                          <w:sz w:val="24"/>
                          <w:szCs w:val="24"/>
                        </w:rPr>
                        <w:t xml:space="preserve"> </w:t>
                      </w:r>
                      <w:r w:rsidR="00876EA6" w:rsidRPr="00876EA6">
                        <w:rPr>
                          <w:rFonts w:ascii="Helvetica" w:hAnsi="Helvetica"/>
                          <w:color w:val="000000" w:themeColor="text1"/>
                        </w:rPr>
                        <w:t xml:space="preserve">The power spectral density (PSD) of the cumulative DTW trajectory was averaged across all subjects and brain region pairs and plotted on a logarithmic scale. The shaded band denotes the frequency window used for knee detection. The vertical line marks the detected spectral knee frequency </w:t>
                      </w:r>
                      <m:oMath>
                        <m:sSub>
                          <m:sSubPr>
                            <m:ctrlPr>
                              <w:rPr>
                                <w:rFonts w:ascii="Cambria Math" w:hAnsi="Cambria Math"/>
                                <w:color w:val="000000" w:themeColor="text1"/>
                              </w:rPr>
                            </m:ctrlPr>
                          </m:sSubPr>
                          <m:e>
                            <m:r>
                              <w:rPr>
                                <w:rFonts w:ascii="Cambria Math" w:hAnsi="Cambria Math"/>
                                <w:color w:val="000000" w:themeColor="text1"/>
                              </w:rPr>
                              <m:t>f</m:t>
                            </m:r>
                          </m:e>
                          <m:sub>
                            <m:r>
                              <w:rPr>
                                <w:rFonts w:ascii="Cambria Math" w:hAnsi="Cambria Math"/>
                                <w:color w:val="000000" w:themeColor="text1"/>
                              </w:rPr>
                              <m:t>p</m:t>
                            </m:r>
                          </m:sub>
                        </m:sSub>
                      </m:oMath>
                      <w:r w:rsidR="00876EA6" w:rsidRPr="00876EA6">
                        <w:rPr>
                          <w:rFonts w:ascii="Helvetica" w:hAnsi="Helvetica"/>
                          <w:color w:val="000000" w:themeColor="text1"/>
                        </w:rPr>
                        <w:t>, representing the transition from signal-dominated low-frequency structure to higher-frequency fluctuations. This knee was used to define the −3 dB cutoff of a Gaussian smoothing filter, yielding a data-driven full width at half maximum (FWHM) used in subsequent temporal smoothing</w:t>
                      </w:r>
                      <w:r w:rsidR="00833C9F" w:rsidRPr="00833C9F">
                        <w:rPr>
                          <w:rFonts w:ascii="Helvetica" w:hAnsi="Helvetica"/>
                          <w:color w:val="000000" w:themeColor="text1"/>
                        </w:rPr>
                        <w:t>.</w:t>
                      </w:r>
                    </w:p>
                    <w:p w14:paraId="293679EE" w14:textId="00990ABB" w:rsidR="00412CB5" w:rsidRDefault="00412CB5" w:rsidP="00412CB5">
                      <w:pPr>
                        <w:jc w:val="center"/>
                      </w:pPr>
                    </w:p>
                  </w:txbxContent>
                </v:textbox>
                <w10:anchorlock/>
              </v:shape>
            </w:pict>
          </mc:Fallback>
        </mc:AlternateContent>
      </w:r>
    </w:p>
    <w:p w14:paraId="207C677A" w14:textId="2917C848" w:rsidR="00412CB5" w:rsidRDefault="00412CB5" w:rsidP="003D3153">
      <w:pPr>
        <w:spacing w:before="100" w:beforeAutospacing="1" w:after="100" w:afterAutospacing="1" w:line="240" w:lineRule="auto"/>
        <w:jc w:val="both"/>
        <w:rPr>
          <w:rFonts w:ascii="Helvetica" w:hAnsi="Helvetica"/>
        </w:rPr>
      </w:pPr>
      <w:r>
        <w:rPr>
          <w:rFonts w:ascii="Helvetica" w:hAnsi="Helvetica"/>
          <w:noProof/>
        </w:rPr>
        <w:lastRenderedPageBreak/>
        <mc:AlternateContent>
          <mc:Choice Requires="wps">
            <w:drawing>
              <wp:inline distT="0" distB="0" distL="0" distR="0" wp14:anchorId="106B3EF6" wp14:editId="2F115C11">
                <wp:extent cx="5940213" cy="4254500"/>
                <wp:effectExtent l="0" t="0" r="0" b="0"/>
                <wp:docPr id="715701320" name="Text Box 2"/>
                <wp:cNvGraphicFramePr/>
                <a:graphic xmlns:a="http://schemas.openxmlformats.org/drawingml/2006/main">
                  <a:graphicData uri="http://schemas.microsoft.com/office/word/2010/wordprocessingShape">
                    <wps:wsp>
                      <wps:cNvSpPr txBox="1"/>
                      <wps:spPr>
                        <a:xfrm>
                          <a:off x="0" y="0"/>
                          <a:ext cx="5940213" cy="4254500"/>
                        </a:xfrm>
                        <a:prstGeom prst="rect">
                          <a:avLst/>
                        </a:prstGeom>
                        <a:noFill/>
                        <a:ln w="6350">
                          <a:noFill/>
                        </a:ln>
                      </wps:spPr>
                      <wps:txbx>
                        <w:txbxContent>
                          <w:p w14:paraId="1040FED3" w14:textId="12A4FD57" w:rsidR="00D67BBC" w:rsidRPr="00D67BBC" w:rsidRDefault="00D67BBC" w:rsidP="00D67BBC">
                            <w:pPr>
                              <w:keepNext/>
                              <w:spacing w:after="0"/>
                              <w:jc w:val="both"/>
                              <w:rPr>
                                <w:b/>
                                <w:bCs/>
                              </w:rPr>
                            </w:pPr>
                            <w:r w:rsidRPr="00D67BBC">
                              <w:rPr>
                                <w:b/>
                                <w:bCs/>
                              </w:rPr>
                              <w:t>Supplementary Figure 2 | Determination of the number of functional inertia regimes</w:t>
                            </w:r>
                          </w:p>
                          <w:p w14:paraId="1F673794" w14:textId="31C93D4A" w:rsidR="00941447" w:rsidRDefault="00412CB5" w:rsidP="00941447">
                            <w:pPr>
                              <w:keepNext/>
                              <w:spacing w:after="0"/>
                              <w:jc w:val="center"/>
                            </w:pPr>
                            <w:r>
                              <w:rPr>
                                <w:noProof/>
                              </w:rPr>
                              <w:drawing>
                                <wp:inline distT="0" distB="0" distL="0" distR="0" wp14:anchorId="66B77461" wp14:editId="26F89278">
                                  <wp:extent cx="3957955" cy="3207385"/>
                                  <wp:effectExtent l="0" t="0" r="4445" b="5715"/>
                                  <wp:docPr id="1279921867" name="Picture 3" descr="A graph of a number of clu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87746" name="Picture 3" descr="A graph of a number of cluster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957955" cy="3207385"/>
                                          </a:xfrm>
                                          <a:prstGeom prst="rect">
                                            <a:avLst/>
                                          </a:prstGeom>
                                        </pic:spPr>
                                      </pic:pic>
                                    </a:graphicData>
                                  </a:graphic>
                                </wp:inline>
                              </w:drawing>
                            </w:r>
                          </w:p>
                          <w:p w14:paraId="52715CA5" w14:textId="77777777" w:rsidR="00D67BBC" w:rsidRPr="00D67BBC" w:rsidRDefault="00941447" w:rsidP="00D67BBC">
                            <w:pPr>
                              <w:pStyle w:val="Caption"/>
                              <w:jc w:val="both"/>
                              <w:rPr>
                                <w:rFonts w:ascii="Helvetica" w:hAnsi="Helvetica"/>
                                <w:color w:val="000000" w:themeColor="text1"/>
                              </w:rPr>
                            </w:pPr>
                            <w:r w:rsidRPr="00D67BBC">
                              <w:rPr>
                                <w:rFonts w:ascii="Helvetica" w:hAnsi="Helvetica"/>
                                <w:color w:val="000000" w:themeColor="text1"/>
                              </w:rPr>
                              <w:t xml:space="preserve">Supplementary Figure </w:t>
                            </w:r>
                            <w:r w:rsidRPr="00D67BBC">
                              <w:rPr>
                                <w:rFonts w:ascii="Helvetica" w:hAnsi="Helvetica"/>
                                <w:color w:val="000000" w:themeColor="text1"/>
                              </w:rPr>
                              <w:fldChar w:fldCharType="begin"/>
                            </w:r>
                            <w:r w:rsidRPr="00D67BBC">
                              <w:rPr>
                                <w:rFonts w:ascii="Helvetica" w:hAnsi="Helvetica"/>
                                <w:color w:val="000000" w:themeColor="text1"/>
                              </w:rPr>
                              <w:instrText xml:space="preserve"> SEQ Supplementary_Figure \* ARABIC </w:instrText>
                            </w:r>
                            <w:r w:rsidRPr="00D67BBC">
                              <w:rPr>
                                <w:rFonts w:ascii="Helvetica" w:hAnsi="Helvetica"/>
                                <w:color w:val="000000" w:themeColor="text1"/>
                              </w:rPr>
                              <w:fldChar w:fldCharType="separate"/>
                            </w:r>
                            <w:r w:rsidRPr="00D67BBC">
                              <w:rPr>
                                <w:rFonts w:ascii="Helvetica" w:hAnsi="Helvetica"/>
                                <w:noProof/>
                                <w:color w:val="000000" w:themeColor="text1"/>
                              </w:rPr>
                              <w:t>2</w:t>
                            </w:r>
                            <w:r w:rsidRPr="00D67BBC">
                              <w:rPr>
                                <w:rFonts w:ascii="Helvetica" w:hAnsi="Helvetica"/>
                                <w:color w:val="000000" w:themeColor="text1"/>
                              </w:rPr>
                              <w:fldChar w:fldCharType="end"/>
                            </w:r>
                            <w:r w:rsidR="00D67BBC" w:rsidRPr="00D67BBC">
                              <w:rPr>
                                <w:rFonts w:ascii="Helvetica" w:hAnsi="Helvetica"/>
                                <w:color w:val="000000" w:themeColor="text1"/>
                              </w:rPr>
                              <w:t xml:space="preserve"> Elbow analysis for k-means clustering of the Functional Inertia Index (FII) time series concatenated across subjects and interregional pairs. The within-cluster sum of squares (WSS; blue) decreases monotonically with increasing cluster number, while the change in WSS between successive solutions (|ΔWSS|; red) exhibits a clear inflection at k = 3, indicating diminishing returns beyond this point. This pattern supports the selection of three clusters, corresponding to the locked, stabilizing, and shifting functional inertia regimes used throughout the study.</w:t>
                            </w:r>
                          </w:p>
                          <w:p w14:paraId="55CBE78E" w14:textId="61FBFFDB" w:rsidR="00941447" w:rsidRDefault="00941447" w:rsidP="00941447">
                            <w:pPr>
                              <w:pStyle w:val="Caption"/>
                              <w:jc w:val="both"/>
                            </w:pPr>
                          </w:p>
                          <w:p w14:paraId="5F9A7196" w14:textId="3A3BB3A3" w:rsidR="00412CB5" w:rsidRDefault="00412CB5" w:rsidP="00412CB5">
                            <w:pPr>
                              <w:keepNext/>
                              <w:spacing w:after="0"/>
                              <w:jc w:val="center"/>
                            </w:pPr>
                          </w:p>
                          <w:p w14:paraId="19C36F4E" w14:textId="77777777" w:rsidR="00412CB5" w:rsidRDefault="00412CB5" w:rsidP="00412C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6B3EF6" id="_x0000_s1027" type="#_x0000_t202" style="width:467.75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" filled="f" stroked="f" strokeweight=".5pt">
                <v:textbox>
                  <w:txbxContent>
                    <w:p w14:paraId="1040FED3" w14:textId="12A4FD57" w:rsidR="00D67BBC" w:rsidRPr="00D67BBC" w:rsidRDefault="00D67BBC" w:rsidP="00D67BBC">
                      <w:pPr>
                        <w:keepNext/>
                        <w:spacing w:after="0"/>
                        <w:jc w:val="both"/>
                        <w:rPr>
                          <w:b/>
                          <w:bCs/>
                        </w:rPr>
                      </w:pPr>
                      <w:r w:rsidRPr="00D67BBC">
                        <w:rPr>
                          <w:b/>
                          <w:bCs/>
                        </w:rPr>
                        <w:t>Supplementary Figure 2 | Determination of the number of functional inertia regimes</w:t>
                      </w:r>
                    </w:p>
                    <w:p w14:paraId="1F673794" w14:textId="31C93D4A" w:rsidR="00941447" w:rsidRDefault="00412CB5" w:rsidP="00941447">
                      <w:pPr>
                        <w:keepNext/>
                        <w:spacing w:after="0"/>
                        <w:jc w:val="center"/>
                      </w:pPr>
                      <w:r>
                        <w:rPr>
                          <w:noProof/>
                        </w:rPr>
                        <w:drawing>
                          <wp:inline distT="0" distB="0" distL="0" distR="0" wp14:anchorId="66B77461" wp14:editId="26F89278">
                            <wp:extent cx="3957955" cy="3207385"/>
                            <wp:effectExtent l="0" t="0" r="4445" b="5715"/>
                            <wp:docPr id="1279921867" name="Picture 3" descr="A graph of a number of clu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87746" name="Picture 3" descr="A graph of a number of cluster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957955" cy="3207385"/>
                                    </a:xfrm>
                                    <a:prstGeom prst="rect">
                                      <a:avLst/>
                                    </a:prstGeom>
                                  </pic:spPr>
                                </pic:pic>
                              </a:graphicData>
                            </a:graphic>
                          </wp:inline>
                        </w:drawing>
                      </w:r>
                    </w:p>
                    <w:p w14:paraId="52715CA5" w14:textId="77777777" w:rsidR="00D67BBC" w:rsidRPr="00D67BBC" w:rsidRDefault="00941447" w:rsidP="00D67BBC">
                      <w:pPr>
                        <w:pStyle w:val="Caption"/>
                        <w:jc w:val="both"/>
                        <w:rPr>
                          <w:rFonts w:ascii="Helvetica" w:hAnsi="Helvetica"/>
                          <w:color w:val="000000" w:themeColor="text1"/>
                        </w:rPr>
                      </w:pPr>
                      <w:r w:rsidRPr="00D67BBC">
                        <w:rPr>
                          <w:rFonts w:ascii="Helvetica" w:hAnsi="Helvetica"/>
                          <w:color w:val="000000" w:themeColor="text1"/>
                        </w:rPr>
                        <w:t xml:space="preserve">Supplementary Figure </w:t>
                      </w:r>
                      <w:r w:rsidRPr="00D67BBC">
                        <w:rPr>
                          <w:rFonts w:ascii="Helvetica" w:hAnsi="Helvetica"/>
                          <w:color w:val="000000" w:themeColor="text1"/>
                        </w:rPr>
                        <w:fldChar w:fldCharType="begin"/>
                      </w:r>
                      <w:r w:rsidRPr="00D67BBC">
                        <w:rPr>
                          <w:rFonts w:ascii="Helvetica" w:hAnsi="Helvetica"/>
                          <w:color w:val="000000" w:themeColor="text1"/>
                        </w:rPr>
                        <w:instrText xml:space="preserve"> SEQ Supplementary_Figure \* ARABIC </w:instrText>
                      </w:r>
                      <w:r w:rsidRPr="00D67BBC">
                        <w:rPr>
                          <w:rFonts w:ascii="Helvetica" w:hAnsi="Helvetica"/>
                          <w:color w:val="000000" w:themeColor="text1"/>
                        </w:rPr>
                        <w:fldChar w:fldCharType="separate"/>
                      </w:r>
                      <w:r w:rsidRPr="00D67BBC">
                        <w:rPr>
                          <w:rFonts w:ascii="Helvetica" w:hAnsi="Helvetica"/>
                          <w:noProof/>
                          <w:color w:val="000000" w:themeColor="text1"/>
                        </w:rPr>
                        <w:t>2</w:t>
                      </w:r>
                      <w:r w:rsidRPr="00D67BBC">
                        <w:rPr>
                          <w:rFonts w:ascii="Helvetica" w:hAnsi="Helvetica"/>
                          <w:color w:val="000000" w:themeColor="text1"/>
                        </w:rPr>
                        <w:fldChar w:fldCharType="end"/>
                      </w:r>
                      <w:r w:rsidR="00D67BBC" w:rsidRPr="00D67BBC">
                        <w:rPr>
                          <w:rFonts w:ascii="Helvetica" w:hAnsi="Helvetica"/>
                          <w:color w:val="000000" w:themeColor="text1"/>
                        </w:rPr>
                        <w:t xml:space="preserve"> Elbow analysis for k-means clustering of the Functional Inertia Index (FII) time series concatenated across subjects and interregional pairs. The within-cluster sum of squares (WSS; blue) decreases monotonically with increasing cluster number, while the change in WSS between successive solutions (|ΔWSS|; red) exhibits a clear inflection at k = 3, indicating diminishing returns beyond this point. This pattern supports the selection of three clusters, corresponding to the locked, stabilizing, and shifting functional inertia regimes used throughout the study.</w:t>
                      </w:r>
                    </w:p>
                    <w:p w14:paraId="55CBE78E" w14:textId="61FBFFDB" w:rsidR="00941447" w:rsidRDefault="00941447" w:rsidP="00941447">
                      <w:pPr>
                        <w:pStyle w:val="Caption"/>
                        <w:jc w:val="both"/>
                      </w:pPr>
                    </w:p>
                    <w:p w14:paraId="5F9A7196" w14:textId="3A3BB3A3" w:rsidR="00412CB5" w:rsidRDefault="00412CB5" w:rsidP="00412CB5">
                      <w:pPr>
                        <w:keepNext/>
                        <w:spacing w:after="0"/>
                        <w:jc w:val="center"/>
                      </w:pPr>
                    </w:p>
                    <w:p w14:paraId="19C36F4E" w14:textId="77777777" w:rsidR="00412CB5" w:rsidRDefault="00412CB5" w:rsidP="00412CB5">
                      <w:pPr>
                        <w:jc w:val="center"/>
                      </w:pPr>
                    </w:p>
                  </w:txbxContent>
                </v:textbox>
                <w10:anchorlock/>
              </v:shape>
            </w:pict>
          </mc:Fallback>
        </mc:AlternateContent>
      </w:r>
    </w:p>
    <w:p w14:paraId="0BFEC9BD" w14:textId="78AA25F5" w:rsidR="005F35A8" w:rsidRPr="00412CB5" w:rsidRDefault="005F35A8" w:rsidP="003D3153">
      <w:pPr>
        <w:spacing w:before="100" w:beforeAutospacing="1" w:after="100" w:afterAutospacing="1" w:line="240" w:lineRule="auto"/>
        <w:jc w:val="both"/>
        <w:rPr>
          <w:rFonts w:ascii="Helvetica" w:hAnsi="Helvetica"/>
        </w:rPr>
      </w:pPr>
      <w:r>
        <w:rPr>
          <w:rFonts w:ascii="Helvetica" w:hAnsi="Helvetica"/>
          <w:noProof/>
        </w:rPr>
        <w:lastRenderedPageBreak/>
        <mc:AlternateContent>
          <mc:Choice Requires="wps">
            <w:drawing>
              <wp:inline distT="0" distB="0" distL="0" distR="0" wp14:anchorId="327F200A" wp14:editId="65214E07">
                <wp:extent cx="5940213" cy="6015210"/>
                <wp:effectExtent l="0" t="0" r="0" b="0"/>
                <wp:docPr id="1340985441" name="Text Box 2"/>
                <wp:cNvGraphicFramePr/>
                <a:graphic xmlns:a="http://schemas.openxmlformats.org/drawingml/2006/main">
                  <a:graphicData uri="http://schemas.microsoft.com/office/word/2010/wordprocessingShape">
                    <wps:wsp>
                      <wps:cNvSpPr txBox="1"/>
                      <wps:spPr>
                        <a:xfrm>
                          <a:off x="0" y="0"/>
                          <a:ext cx="5940213" cy="6015210"/>
                        </a:xfrm>
                        <a:prstGeom prst="rect">
                          <a:avLst/>
                        </a:prstGeom>
                        <a:noFill/>
                        <a:ln w="6350">
                          <a:noFill/>
                        </a:ln>
                      </wps:spPr>
                      <wps:txbx>
                        <w:txbxContent>
                          <w:p w14:paraId="2EE26A99" w14:textId="1F230A0B" w:rsidR="005F35A8" w:rsidRPr="00D67BBC" w:rsidRDefault="005F35A8" w:rsidP="005F35A8">
                            <w:pPr>
                              <w:keepNext/>
                              <w:spacing w:after="0"/>
                              <w:jc w:val="both"/>
                              <w:rPr>
                                <w:b/>
                                <w:bCs/>
                              </w:rPr>
                            </w:pPr>
                            <w:r w:rsidRPr="00D67BBC">
                              <w:rPr>
                                <w:b/>
                                <w:bCs/>
                              </w:rPr>
                              <w:t xml:space="preserve">Supplementary Figure </w:t>
                            </w:r>
                            <w:r w:rsidR="00FF7A8B">
                              <w:rPr>
                                <w:b/>
                                <w:bCs/>
                              </w:rPr>
                              <w:t>3</w:t>
                            </w:r>
                            <w:r w:rsidRPr="00D67BBC">
                              <w:rPr>
                                <w:b/>
                                <w:bCs/>
                              </w:rPr>
                              <w:t xml:space="preserve"> | </w:t>
                            </w:r>
                            <w:r w:rsidR="00FF7A8B" w:rsidRPr="00FF7A8B">
                              <w:rPr>
                                <w:b/>
                                <w:bCs/>
                              </w:rPr>
                              <w:t xml:space="preserve">ISSM </w:t>
                            </w:r>
                            <w:r w:rsidR="00FF7A8B">
                              <w:rPr>
                                <w:b/>
                                <w:bCs/>
                              </w:rPr>
                              <w:t>instantiation through</w:t>
                            </w:r>
                            <w:r w:rsidR="00FF7A8B" w:rsidRPr="00FF7A8B">
                              <w:rPr>
                                <w:b/>
                                <w:bCs/>
                              </w:rPr>
                              <w:t xml:space="preserve"> correlation</w:t>
                            </w:r>
                          </w:p>
                          <w:p w14:paraId="3F20375D" w14:textId="67741E70" w:rsidR="005F35A8" w:rsidRDefault="00FF7A8B" w:rsidP="005F35A8">
                            <w:pPr>
                              <w:keepNext/>
                              <w:spacing w:after="0"/>
                              <w:jc w:val="center"/>
                            </w:pPr>
                            <w:r>
                              <w:rPr>
                                <w:noProof/>
                              </w:rPr>
                              <w:drawing>
                                <wp:inline distT="0" distB="0" distL="0" distR="0" wp14:anchorId="6CC09184" wp14:editId="5246EA94">
                                  <wp:extent cx="3639185" cy="4156710"/>
                                  <wp:effectExtent l="0" t="0" r="5715" b="0"/>
                                  <wp:docPr id="727996555" name="Picture 3" descr="A diagram of a diagram showing the different types of fun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96555" name="Picture 3" descr="A diagram of a diagram showing the different types of function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639185" cy="4156710"/>
                                          </a:xfrm>
                                          <a:prstGeom prst="rect">
                                            <a:avLst/>
                                          </a:prstGeom>
                                        </pic:spPr>
                                      </pic:pic>
                                    </a:graphicData>
                                  </a:graphic>
                                </wp:inline>
                              </w:drawing>
                            </w:r>
                          </w:p>
                          <w:p w14:paraId="445789D8" w14:textId="13873E38" w:rsidR="005F35A8" w:rsidRDefault="005F35A8" w:rsidP="00FF7A8B">
                            <w:pPr>
                              <w:pStyle w:val="Caption"/>
                              <w:jc w:val="both"/>
                            </w:pPr>
                            <w:r w:rsidRPr="00D67BBC">
                              <w:rPr>
                                <w:rFonts w:ascii="Helvetica" w:hAnsi="Helvetica"/>
                                <w:color w:val="000000" w:themeColor="text1"/>
                              </w:rPr>
                              <w:t xml:space="preserve">Supplementary Figure </w:t>
                            </w:r>
                            <w:r w:rsidR="00FF7A8B">
                              <w:rPr>
                                <w:rFonts w:ascii="Helvetica" w:hAnsi="Helvetica"/>
                                <w:color w:val="000000" w:themeColor="text1"/>
                              </w:rPr>
                              <w:t>3</w:t>
                            </w:r>
                            <w:r w:rsidRPr="00D67BBC">
                              <w:rPr>
                                <w:rFonts w:ascii="Helvetica" w:hAnsi="Helvetica"/>
                                <w:color w:val="000000" w:themeColor="text1"/>
                              </w:rPr>
                              <w:t xml:space="preserve"> </w:t>
                            </w:r>
                            <w:r w:rsidR="00FF7A8B">
                              <w:rPr>
                                <w:rFonts w:ascii="Helvetica" w:hAnsi="Helvetica"/>
                                <w:color w:val="000000" w:themeColor="text1"/>
                              </w:rPr>
                              <w:t xml:space="preserve">ISSM </w:t>
                            </w:r>
                            <w:r w:rsidR="00FF7A8B" w:rsidRPr="00FF7A8B">
                              <w:rPr>
                                <w:rFonts w:ascii="Helvetica" w:hAnsi="Helvetica"/>
                                <w:color w:val="000000" w:themeColor="text1"/>
                              </w:rPr>
                              <w:t>under correlation instantiation</w:t>
                            </w:r>
                            <w:r w:rsidR="00FF7A8B">
                              <w:rPr>
                                <w:rFonts w:ascii="Helvetica" w:hAnsi="Helvetica"/>
                                <w:color w:val="000000" w:themeColor="text1"/>
                              </w:rPr>
                              <w:t xml:space="preserve">. </w:t>
                            </w:r>
                            <w:r w:rsidR="00FF7A8B" w:rsidRPr="00FF7A8B">
                              <w:rPr>
                                <w:rFonts w:ascii="Helvetica" w:hAnsi="Helvetica"/>
                                <w:color w:val="000000" w:themeColor="text1"/>
                              </w:rPr>
                              <w:t>(a) Distribution of correlation-based Functional Inertia Index (FII) regimes derived from the inertial state-space model (ISSM). Clustering of the accumulated correlation trajectories revealed three regimes organized along a low–mid–high inertia hierarchy. Heatmaps depict the corresponding correlation configuration patterns within each regime</w:t>
                            </w:r>
                            <w:r w:rsidRPr="00D67BBC">
                              <w:rPr>
                                <w:rFonts w:ascii="Helvetica" w:hAnsi="Helvetica"/>
                                <w:color w:val="000000" w:themeColor="text1"/>
                              </w:rPr>
                              <w:t xml:space="preserve">. </w:t>
                            </w:r>
                            <w:r w:rsidR="00FF7A8B" w:rsidRPr="00FF7A8B">
                              <w:rPr>
                                <w:rFonts w:ascii="Helvetica" w:hAnsi="Helvetica"/>
                                <w:color w:val="000000" w:themeColor="text1"/>
                              </w:rPr>
                              <w:t>(b) Group differences in regime dynamics. Fraction rate (FR) and mean dwell time (MDT) show significant alterations in schizophrenia (SZ) relative to controls (CN). Transition probability analysis reveals distinct regime transition structures between groups.</w:t>
                            </w:r>
                            <w:r w:rsidR="00FF7A8B">
                              <w:rPr>
                                <w:rFonts w:ascii="Helvetica" w:hAnsi="Helvetica"/>
                                <w:color w:val="000000" w:themeColor="text1"/>
                              </w:rPr>
                              <w:t xml:space="preserve"> </w:t>
                            </w:r>
                            <w:r w:rsidR="00FF7A8B" w:rsidRPr="00FF7A8B">
                              <w:rPr>
                                <w:rFonts w:ascii="Helvetica" w:hAnsi="Helvetica"/>
                                <w:color w:val="000000" w:themeColor="text1"/>
                              </w:rPr>
                              <w:t>(c) Clinical and cognitive associations. Regime engagement metrics and transition probabilities are associated with symptom severity and cognitive performance, demonstrating that the clinical relevance of functional inertia is preserved under a correlation-based representational axis.</w:t>
                            </w:r>
                            <w:r w:rsidR="00FF7A8B">
                              <w:rPr>
                                <w:rFonts w:ascii="Helvetica" w:hAnsi="Helvetica"/>
                                <w:color w:val="000000" w:themeColor="text1"/>
                              </w:rPr>
                              <w:t xml:space="preserve"> </w:t>
                            </w:r>
                            <w:r w:rsidR="00FF7A8B" w:rsidRPr="00FF7A8B">
                              <w:rPr>
                                <w:rFonts w:ascii="Helvetica" w:hAnsi="Helvetica"/>
                                <w:color w:val="000000" w:themeColor="text1"/>
                              </w:rPr>
                              <w:t>Together, these results demonstrate that the emergence of hierarchical inertia regimes and their behavioral and clinical associations are not specific to the dynamic time warping instantiation but reflect a representation-agnostic property of accumulated state evolution captured by the ISSM.</w:t>
                            </w:r>
                          </w:p>
                          <w:p w14:paraId="6D4FF3F0" w14:textId="77777777" w:rsidR="005F35A8" w:rsidRDefault="005F35A8" w:rsidP="005F35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7F200A" id="_x0000_s1028" type="#_x0000_t202" style="width:467.75pt;height:47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wJgHA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" filled="f" stroked="f" strokeweight=".5pt">
                <v:textbox>
                  <w:txbxContent>
                    <w:p w14:paraId="2EE26A99" w14:textId="1F230A0B" w:rsidR="005F35A8" w:rsidRPr="00D67BBC" w:rsidRDefault="005F35A8" w:rsidP="005F35A8">
                      <w:pPr>
                        <w:keepNext/>
                        <w:spacing w:after="0"/>
                        <w:jc w:val="both"/>
                        <w:rPr>
                          <w:b/>
                          <w:bCs/>
                        </w:rPr>
                      </w:pPr>
                      <w:r w:rsidRPr="00D67BBC">
                        <w:rPr>
                          <w:b/>
                          <w:bCs/>
                        </w:rPr>
                        <w:t xml:space="preserve">Supplementary Figure </w:t>
                      </w:r>
                      <w:r w:rsidR="00FF7A8B">
                        <w:rPr>
                          <w:b/>
                          <w:bCs/>
                        </w:rPr>
                        <w:t>3</w:t>
                      </w:r>
                      <w:r w:rsidRPr="00D67BBC">
                        <w:rPr>
                          <w:b/>
                          <w:bCs/>
                        </w:rPr>
                        <w:t xml:space="preserve"> | </w:t>
                      </w:r>
                      <w:r w:rsidR="00FF7A8B" w:rsidRPr="00FF7A8B">
                        <w:rPr>
                          <w:b/>
                          <w:bCs/>
                        </w:rPr>
                        <w:t xml:space="preserve">ISSM </w:t>
                      </w:r>
                      <w:r w:rsidR="00FF7A8B">
                        <w:rPr>
                          <w:b/>
                          <w:bCs/>
                        </w:rPr>
                        <w:t>instantiation through</w:t>
                      </w:r>
                      <w:r w:rsidR="00FF7A8B" w:rsidRPr="00FF7A8B">
                        <w:rPr>
                          <w:b/>
                          <w:bCs/>
                        </w:rPr>
                        <w:t xml:space="preserve"> correlation</w:t>
                      </w:r>
                    </w:p>
                    <w:p w14:paraId="3F20375D" w14:textId="67741E70" w:rsidR="005F35A8" w:rsidRDefault="00FF7A8B" w:rsidP="005F35A8">
                      <w:pPr>
                        <w:keepNext/>
                        <w:spacing w:after="0"/>
                        <w:jc w:val="center"/>
                      </w:pPr>
                      <w:r>
                        <w:rPr>
                          <w:noProof/>
                        </w:rPr>
                        <w:drawing>
                          <wp:inline distT="0" distB="0" distL="0" distR="0" wp14:anchorId="6CC09184" wp14:editId="5246EA94">
                            <wp:extent cx="3639185" cy="4156710"/>
                            <wp:effectExtent l="0" t="0" r="5715" b="0"/>
                            <wp:docPr id="727996555" name="Picture 3" descr="A diagram of a diagram showing the different types of fun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96555" name="Picture 3" descr="A diagram of a diagram showing the different types of function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639185" cy="4156710"/>
                                    </a:xfrm>
                                    <a:prstGeom prst="rect">
                                      <a:avLst/>
                                    </a:prstGeom>
                                  </pic:spPr>
                                </pic:pic>
                              </a:graphicData>
                            </a:graphic>
                          </wp:inline>
                        </w:drawing>
                      </w:r>
                    </w:p>
                    <w:p w14:paraId="445789D8" w14:textId="13873E38" w:rsidR="005F35A8" w:rsidRDefault="005F35A8" w:rsidP="00FF7A8B">
                      <w:pPr>
                        <w:pStyle w:val="Caption"/>
                        <w:jc w:val="both"/>
                      </w:pPr>
                      <w:r w:rsidRPr="00D67BBC">
                        <w:rPr>
                          <w:rFonts w:ascii="Helvetica" w:hAnsi="Helvetica"/>
                          <w:color w:val="000000" w:themeColor="text1"/>
                        </w:rPr>
                        <w:t xml:space="preserve">Supplementary Figure </w:t>
                      </w:r>
                      <w:r w:rsidR="00FF7A8B">
                        <w:rPr>
                          <w:rFonts w:ascii="Helvetica" w:hAnsi="Helvetica"/>
                          <w:color w:val="000000" w:themeColor="text1"/>
                        </w:rPr>
                        <w:t>3</w:t>
                      </w:r>
                      <w:r w:rsidRPr="00D67BBC">
                        <w:rPr>
                          <w:rFonts w:ascii="Helvetica" w:hAnsi="Helvetica"/>
                          <w:color w:val="000000" w:themeColor="text1"/>
                        </w:rPr>
                        <w:t xml:space="preserve"> </w:t>
                      </w:r>
                      <w:r w:rsidR="00FF7A8B">
                        <w:rPr>
                          <w:rFonts w:ascii="Helvetica" w:hAnsi="Helvetica"/>
                          <w:color w:val="000000" w:themeColor="text1"/>
                        </w:rPr>
                        <w:t xml:space="preserve">ISSM </w:t>
                      </w:r>
                      <w:r w:rsidR="00FF7A8B" w:rsidRPr="00FF7A8B">
                        <w:rPr>
                          <w:rFonts w:ascii="Helvetica" w:hAnsi="Helvetica"/>
                          <w:color w:val="000000" w:themeColor="text1"/>
                        </w:rPr>
                        <w:t>under correlation instantiation</w:t>
                      </w:r>
                      <w:r w:rsidR="00FF7A8B">
                        <w:rPr>
                          <w:rFonts w:ascii="Helvetica" w:hAnsi="Helvetica"/>
                          <w:color w:val="000000" w:themeColor="text1"/>
                        </w:rPr>
                        <w:t xml:space="preserve">. </w:t>
                      </w:r>
                      <w:r w:rsidR="00FF7A8B" w:rsidRPr="00FF7A8B">
                        <w:rPr>
                          <w:rFonts w:ascii="Helvetica" w:hAnsi="Helvetica"/>
                          <w:color w:val="000000" w:themeColor="text1"/>
                        </w:rPr>
                        <w:t>(a) Distribution of correlation-based Functional Inertia Index (FII) regimes derived from the inertial state-space model (ISSM). Clustering of the accumulated correlation trajectories revealed three regimes organized along a low–mid–high inertia hierarchy. Heatmaps depict the corresponding correlation configuration patterns within each regime</w:t>
                      </w:r>
                      <w:r w:rsidRPr="00D67BBC">
                        <w:rPr>
                          <w:rFonts w:ascii="Helvetica" w:hAnsi="Helvetica"/>
                          <w:color w:val="000000" w:themeColor="text1"/>
                        </w:rPr>
                        <w:t xml:space="preserve">. </w:t>
                      </w:r>
                      <w:r w:rsidR="00FF7A8B" w:rsidRPr="00FF7A8B">
                        <w:rPr>
                          <w:rFonts w:ascii="Helvetica" w:hAnsi="Helvetica"/>
                          <w:color w:val="000000" w:themeColor="text1"/>
                        </w:rPr>
                        <w:t>(b) Group differences in regime dynamics. Fraction rate (FR) and mean dwell time (MDT) show significant alterations in schizophrenia (SZ) relative to controls (CN). Transition probability analysis reveals distinct regime transition structures between groups.</w:t>
                      </w:r>
                      <w:r w:rsidR="00FF7A8B">
                        <w:rPr>
                          <w:rFonts w:ascii="Helvetica" w:hAnsi="Helvetica"/>
                          <w:color w:val="000000" w:themeColor="text1"/>
                        </w:rPr>
                        <w:t xml:space="preserve"> </w:t>
                      </w:r>
                      <w:r w:rsidR="00FF7A8B" w:rsidRPr="00FF7A8B">
                        <w:rPr>
                          <w:rFonts w:ascii="Helvetica" w:hAnsi="Helvetica"/>
                          <w:color w:val="000000" w:themeColor="text1"/>
                        </w:rPr>
                        <w:t>(c) Clinical and cognitive associations. Regime engagement metrics and transition probabilities are associated with symptom severity and cognitive performance, demonstrating that the clinical relevance of functional inertia is preserved under a correlation-based representational axis.</w:t>
                      </w:r>
                      <w:r w:rsidR="00FF7A8B">
                        <w:rPr>
                          <w:rFonts w:ascii="Helvetica" w:hAnsi="Helvetica"/>
                          <w:color w:val="000000" w:themeColor="text1"/>
                        </w:rPr>
                        <w:t xml:space="preserve"> </w:t>
                      </w:r>
                      <w:r w:rsidR="00FF7A8B" w:rsidRPr="00FF7A8B">
                        <w:rPr>
                          <w:rFonts w:ascii="Helvetica" w:hAnsi="Helvetica"/>
                          <w:color w:val="000000" w:themeColor="text1"/>
                        </w:rPr>
                        <w:t>Together, these results demonstrate that the emergence of hierarchical inertia regimes and their behavioral and clinical associations are not specific to the dynamic time warping instantiation but reflect a representation-agnostic property of accumulated state evolution captured by the ISSM.</w:t>
                      </w:r>
                    </w:p>
                    <w:p w14:paraId="6D4FF3F0" w14:textId="77777777" w:rsidR="005F35A8" w:rsidRDefault="005F35A8" w:rsidP="005F35A8">
                      <w:pPr>
                        <w:jc w:val="center"/>
                      </w:pPr>
                    </w:p>
                  </w:txbxContent>
                </v:textbox>
                <w10:anchorlock/>
              </v:shape>
            </w:pict>
          </mc:Fallback>
        </mc:AlternateContent>
      </w:r>
    </w:p>
    <w:p w14:paraId="6BD3E926" w14:textId="6A6D19C1" w:rsidR="00DD41CF" w:rsidRPr="00DD41CF" w:rsidRDefault="00DD41CF" w:rsidP="003D3153">
      <w:pPr>
        <w:spacing w:before="100" w:beforeAutospacing="1" w:after="100" w:afterAutospacing="1" w:line="240" w:lineRule="auto"/>
        <w:jc w:val="both"/>
        <w:rPr>
          <w:rFonts w:ascii="Helvetica" w:hAnsi="Helvetica"/>
        </w:rPr>
      </w:pPr>
      <w:r>
        <w:rPr>
          <w:rFonts w:ascii="Helvetica" w:hAnsi="Helvetica"/>
          <w:noProof/>
        </w:rPr>
        <w:lastRenderedPageBreak/>
        <mc:AlternateContent>
          <mc:Choice Requires="wps">
            <w:drawing>
              <wp:inline distT="0" distB="0" distL="0" distR="0" wp14:anchorId="02EFC558" wp14:editId="446AB267">
                <wp:extent cx="5940213" cy="8209935"/>
                <wp:effectExtent l="0" t="0" r="0" b="0"/>
                <wp:docPr id="1503280957" name="Text Box 2"/>
                <wp:cNvGraphicFramePr/>
                <a:graphic xmlns:a="http://schemas.openxmlformats.org/drawingml/2006/main">
                  <a:graphicData uri="http://schemas.microsoft.com/office/word/2010/wordprocessingShape">
                    <wps:wsp>
                      <wps:cNvSpPr txBox="1"/>
                      <wps:spPr>
                        <a:xfrm>
                          <a:off x="0" y="0"/>
                          <a:ext cx="5940213" cy="8209935"/>
                        </a:xfrm>
                        <a:prstGeom prst="rect">
                          <a:avLst/>
                        </a:prstGeom>
                        <a:noFill/>
                        <a:ln w="6350">
                          <a:noFill/>
                        </a:ln>
                      </wps:spPr>
                      <wps:txbx>
                        <w:txbxContent>
                          <w:p w14:paraId="3BA44733" w14:textId="5BC9C4D3" w:rsidR="00DD41CF" w:rsidRPr="00D67BBC" w:rsidRDefault="00DD41CF" w:rsidP="00DD41CF">
                            <w:pPr>
                              <w:keepNext/>
                              <w:spacing w:after="0"/>
                              <w:jc w:val="both"/>
                              <w:rPr>
                                <w:b/>
                                <w:bCs/>
                              </w:rPr>
                            </w:pPr>
                            <w:r w:rsidRPr="00D67BBC">
                              <w:rPr>
                                <w:b/>
                                <w:bCs/>
                              </w:rPr>
                              <w:t xml:space="preserve">Supplementary Figure </w:t>
                            </w:r>
                            <w:r>
                              <w:rPr>
                                <w:b/>
                                <w:bCs/>
                              </w:rPr>
                              <w:t>4</w:t>
                            </w:r>
                            <w:r w:rsidRPr="00D67BBC">
                              <w:rPr>
                                <w:b/>
                                <w:bCs/>
                              </w:rPr>
                              <w:t xml:space="preserve"> | </w:t>
                            </w:r>
                            <w:r w:rsidR="00D60644">
                              <w:rPr>
                                <w:b/>
                                <w:bCs/>
                              </w:rPr>
                              <w:t>Accumulation</w:t>
                            </w:r>
                            <w:r w:rsidRPr="00FF7A8B">
                              <w:rPr>
                                <w:b/>
                                <w:bCs/>
                              </w:rPr>
                              <w:t xml:space="preserve"> </w:t>
                            </w:r>
                            <w:r>
                              <w:rPr>
                                <w:b/>
                                <w:bCs/>
                              </w:rPr>
                              <w:t xml:space="preserve">is necessary for </w:t>
                            </w:r>
                            <w:r w:rsidRPr="00DD41CF">
                              <w:rPr>
                                <w:b/>
                                <w:bCs/>
                              </w:rPr>
                              <w:t>system-level and mediation-level effects</w:t>
                            </w:r>
                          </w:p>
                          <w:p w14:paraId="284C34B0" w14:textId="67FE881F" w:rsidR="00DD41CF" w:rsidRDefault="00DD41CF" w:rsidP="00DD41CF">
                            <w:pPr>
                              <w:keepNext/>
                              <w:spacing w:after="0"/>
                              <w:jc w:val="center"/>
                            </w:pPr>
                            <w:r>
                              <w:rPr>
                                <w:noProof/>
                              </w:rPr>
                              <w:drawing>
                                <wp:inline distT="0" distB="0" distL="0" distR="0" wp14:anchorId="2AB8F650" wp14:editId="4B040E15">
                                  <wp:extent cx="4076700" cy="5916930"/>
                                  <wp:effectExtent l="0" t="0" r="0" b="1270"/>
                                  <wp:docPr id="30340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0317" name="Picture 30340317"/>
                                          <pic:cNvPicPr/>
                                        </pic:nvPicPr>
                                        <pic:blipFill>
                                          <a:blip r:embed="rId8">
                                            <a:extLst>
                                              <a:ext uri="{28A0092B-C50C-407E-A947-70E740481C1C}">
                                                <a14:useLocalDpi xmlns:a14="http://schemas.microsoft.com/office/drawing/2010/main" val="0"/>
                                              </a:ext>
                                            </a:extLst>
                                          </a:blip>
                                          <a:stretch>
                                            <a:fillRect/>
                                          </a:stretch>
                                        </pic:blipFill>
                                        <pic:spPr>
                                          <a:xfrm>
                                            <a:off x="0" y="0"/>
                                            <a:ext cx="4076700" cy="5916930"/>
                                          </a:xfrm>
                                          <a:prstGeom prst="rect">
                                            <a:avLst/>
                                          </a:prstGeom>
                                        </pic:spPr>
                                      </pic:pic>
                                    </a:graphicData>
                                  </a:graphic>
                                </wp:inline>
                              </w:drawing>
                            </w:r>
                          </w:p>
                          <w:p w14:paraId="0E8E1084" w14:textId="6A51D34E" w:rsidR="00DD41CF" w:rsidRDefault="00DD41CF" w:rsidP="00DD41CF">
                            <w:pPr>
                              <w:pStyle w:val="Caption"/>
                              <w:jc w:val="both"/>
                            </w:pPr>
                            <w:r w:rsidRPr="00D67BBC">
                              <w:rPr>
                                <w:rFonts w:ascii="Helvetica" w:hAnsi="Helvetica"/>
                                <w:color w:val="000000" w:themeColor="text1"/>
                              </w:rPr>
                              <w:t xml:space="preserve">Supplementary Figure </w:t>
                            </w:r>
                            <w:r>
                              <w:rPr>
                                <w:rFonts w:ascii="Helvetica" w:hAnsi="Helvetica"/>
                                <w:color w:val="000000" w:themeColor="text1"/>
                              </w:rPr>
                              <w:t>4</w:t>
                            </w:r>
                            <w:r w:rsidR="00103EDF">
                              <w:rPr>
                                <w:rFonts w:ascii="Helvetica" w:hAnsi="Helvetica"/>
                                <w:color w:val="000000" w:themeColor="text1"/>
                              </w:rPr>
                              <w:t>:</w:t>
                            </w:r>
                            <w:r w:rsidRPr="00D67BBC">
                              <w:rPr>
                                <w:rFonts w:ascii="Helvetica" w:hAnsi="Helvetica"/>
                                <w:color w:val="000000" w:themeColor="text1"/>
                              </w:rPr>
                              <w:t xml:space="preserve"> </w:t>
                            </w:r>
                            <w:r w:rsidR="00D60644">
                              <w:rPr>
                                <w:rFonts w:ascii="Helvetica" w:hAnsi="Helvetica"/>
                                <w:color w:val="000000" w:themeColor="text1"/>
                              </w:rPr>
                              <w:t>Necessity of accumulation context</w:t>
                            </w:r>
                            <w:r>
                              <w:rPr>
                                <w:rFonts w:ascii="Helvetica" w:hAnsi="Helvetica"/>
                                <w:color w:val="000000" w:themeColor="text1"/>
                              </w:rPr>
                              <w:t xml:space="preserve">. </w:t>
                            </w:r>
                            <w:r w:rsidRPr="00DD41CF">
                              <w:rPr>
                                <w:rFonts w:ascii="Helvetica" w:hAnsi="Helvetica"/>
                                <w:b/>
                                <w:bCs/>
                                <w:color w:val="000000" w:themeColor="text1"/>
                              </w:rPr>
                              <w:t>a</w:t>
                            </w:r>
                            <w:r>
                              <w:rPr>
                                <w:rFonts w:ascii="Helvetica" w:hAnsi="Helvetica"/>
                                <w:b/>
                                <w:bCs/>
                                <w:color w:val="000000" w:themeColor="text1"/>
                              </w:rPr>
                              <w:t>)</w:t>
                            </w:r>
                            <w:r w:rsidRPr="00DD41CF">
                              <w:rPr>
                                <w:rFonts w:ascii="Helvetica" w:hAnsi="Helvetica"/>
                                <w:color w:val="000000" w:themeColor="text1"/>
                              </w:rPr>
                              <w:t xml:space="preserve"> Schematic comparison of the full inertial state-space model (ISSM) and an ablated pipeline in which the accumulation step is removed. Both pipelines include DTW, identical smoothing, and derivative computation. The ablation isolates the role of cumulative context in generating functional inertia and whole-brain FIIM.</w:t>
                            </w:r>
                            <w:r>
                              <w:rPr>
                                <w:rFonts w:ascii="Helvetica" w:hAnsi="Helvetica"/>
                                <w:color w:val="000000" w:themeColor="text1"/>
                              </w:rPr>
                              <w:t xml:space="preserve"> </w:t>
                            </w:r>
                            <w:r>
                              <w:rPr>
                                <w:rFonts w:ascii="Helvetica" w:hAnsi="Helvetica"/>
                                <w:b/>
                                <w:bCs/>
                                <w:color w:val="000000" w:themeColor="text1"/>
                              </w:rPr>
                              <w:t>b)</w:t>
                            </w:r>
                            <w:r w:rsidRPr="00DD41CF">
                              <w:rPr>
                                <w:rFonts w:ascii="Helvetica" w:hAnsi="Helvetica"/>
                                <w:color w:val="000000" w:themeColor="text1"/>
                              </w:rPr>
                              <w:t xml:space="preserve"> Distribution of FII states under the full ISSM and the no-accumulation pipeline. Both formulations yield a comparable tri-modal organization consisting of negative, near-zero, and positive regimes, indicating that regime segmentation does not depend on accumulation.</w:t>
                            </w:r>
                            <w:r w:rsidR="00103EDF">
                              <w:rPr>
                                <w:rFonts w:ascii="Helvetica" w:hAnsi="Helvetica"/>
                                <w:color w:val="000000" w:themeColor="text1"/>
                              </w:rPr>
                              <w:t xml:space="preserve"> </w:t>
                            </w:r>
                            <w:r w:rsidRPr="00DD41CF">
                              <w:rPr>
                                <w:rFonts w:ascii="Helvetica" w:hAnsi="Helvetica"/>
                                <w:b/>
                                <w:bCs/>
                                <w:color w:val="000000" w:themeColor="text1"/>
                              </w:rPr>
                              <w:t>c</w:t>
                            </w:r>
                            <w:r>
                              <w:rPr>
                                <w:rFonts w:ascii="Helvetica" w:hAnsi="Helvetica"/>
                                <w:b/>
                                <w:bCs/>
                                <w:color w:val="000000" w:themeColor="text1"/>
                              </w:rPr>
                              <w:t>)</w:t>
                            </w:r>
                            <w:r w:rsidRPr="00DD41CF">
                              <w:rPr>
                                <w:rFonts w:ascii="Helvetica" w:hAnsi="Helvetica"/>
                                <w:color w:val="000000" w:themeColor="text1"/>
                              </w:rPr>
                              <w:t xml:space="preserve"> Statistical comparison of group differences, symptom associations, and mediation effects. While regime-level group differences are largely preserved without accumulation, system-level and mediation-level effects collapse</w:t>
                            </w:r>
                            <w:r w:rsidR="0038793C">
                              <w:rPr>
                                <w:rFonts w:ascii="Helvetica" w:hAnsi="Helvetica"/>
                                <w:color w:val="000000" w:themeColor="text1"/>
                              </w:rPr>
                              <w:t xml:space="preserve"> (shown in red)</w:t>
                            </w:r>
                            <w:r w:rsidRPr="00DD41CF">
                              <w:rPr>
                                <w:rFonts w:ascii="Helvetica" w:hAnsi="Helvetica"/>
                                <w:color w:val="000000" w:themeColor="text1"/>
                              </w:rPr>
                              <w:t xml:space="preserve">. In the full ISSM, whole-brain FIIM significantly associates with positive and negative symptom severity and mediates relationships between locked-regime persistence and symptoms. These effects are </w:t>
                            </w:r>
                            <w:r w:rsidR="00F314B6">
                              <w:rPr>
                                <w:rFonts w:ascii="Helvetica" w:hAnsi="Helvetica"/>
                                <w:color w:val="000000" w:themeColor="text1"/>
                              </w:rPr>
                              <w:t>lost</w:t>
                            </w:r>
                            <w:r w:rsidRPr="00DD41CF">
                              <w:rPr>
                                <w:rFonts w:ascii="Helvetica" w:hAnsi="Helvetica"/>
                                <w:color w:val="000000" w:themeColor="text1"/>
                              </w:rPr>
                              <w:t xml:space="preserve"> under the no-accumulation formulation, demonstrating that cumulative state integration, rather than instantaneous disparity, is required to recover global inertial </w:t>
                            </w:r>
                            <w:r w:rsidR="008C2EE4" w:rsidRPr="008C2EE4">
                              <w:rPr>
                                <w:rFonts w:ascii="Helvetica" w:hAnsi="Helvetica"/>
                                <w:color w:val="000000" w:themeColor="text1"/>
                              </w:rPr>
                              <w:t>magnitude and the mediation architecture linking regime dynamics to symptom expression</w:t>
                            </w:r>
                            <w:r w:rsidRPr="00FF7A8B">
                              <w:rPr>
                                <w:rFonts w:ascii="Helvetica" w:hAnsi="Helvetica"/>
                                <w:color w:val="000000" w:themeColor="text1"/>
                              </w:rPr>
                              <w:t>.</w:t>
                            </w:r>
                          </w:p>
                          <w:p w14:paraId="7B1C63DA" w14:textId="77777777" w:rsidR="00DD41CF" w:rsidRDefault="00DD41CF" w:rsidP="00DD41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EFC558" id="_x0000_s1029" type="#_x0000_t202" style="width:467.75pt;height:6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" filled="f" stroked="f" strokeweight=".5pt">
                <v:textbox>
                  <w:txbxContent>
                    <w:p w14:paraId="3BA44733" w14:textId="5BC9C4D3" w:rsidR="00DD41CF" w:rsidRPr="00D67BBC" w:rsidRDefault="00DD41CF" w:rsidP="00DD41CF">
                      <w:pPr>
                        <w:keepNext/>
                        <w:spacing w:after="0"/>
                        <w:jc w:val="both"/>
                        <w:rPr>
                          <w:b/>
                          <w:bCs/>
                        </w:rPr>
                      </w:pPr>
                      <w:r w:rsidRPr="00D67BBC">
                        <w:rPr>
                          <w:b/>
                          <w:bCs/>
                        </w:rPr>
                        <w:t xml:space="preserve">Supplementary Figure </w:t>
                      </w:r>
                      <w:r>
                        <w:rPr>
                          <w:b/>
                          <w:bCs/>
                        </w:rPr>
                        <w:t>4</w:t>
                      </w:r>
                      <w:r w:rsidRPr="00D67BBC">
                        <w:rPr>
                          <w:b/>
                          <w:bCs/>
                        </w:rPr>
                        <w:t xml:space="preserve"> | </w:t>
                      </w:r>
                      <w:r w:rsidR="00D60644">
                        <w:rPr>
                          <w:b/>
                          <w:bCs/>
                        </w:rPr>
                        <w:t>Accumulation</w:t>
                      </w:r>
                      <w:r w:rsidRPr="00FF7A8B">
                        <w:rPr>
                          <w:b/>
                          <w:bCs/>
                        </w:rPr>
                        <w:t xml:space="preserve"> </w:t>
                      </w:r>
                      <w:r>
                        <w:rPr>
                          <w:b/>
                          <w:bCs/>
                        </w:rPr>
                        <w:t xml:space="preserve">is necessary for </w:t>
                      </w:r>
                      <w:r w:rsidRPr="00DD41CF">
                        <w:rPr>
                          <w:b/>
                          <w:bCs/>
                        </w:rPr>
                        <w:t>system-level and mediation-level effects</w:t>
                      </w:r>
                    </w:p>
                    <w:p w14:paraId="284C34B0" w14:textId="67FE881F" w:rsidR="00DD41CF" w:rsidRDefault="00DD41CF" w:rsidP="00DD41CF">
                      <w:pPr>
                        <w:keepNext/>
                        <w:spacing w:after="0"/>
                        <w:jc w:val="center"/>
                      </w:pPr>
                      <w:r>
                        <w:rPr>
                          <w:noProof/>
                        </w:rPr>
                        <w:drawing>
                          <wp:inline distT="0" distB="0" distL="0" distR="0" wp14:anchorId="2AB8F650" wp14:editId="4B040E15">
                            <wp:extent cx="4076700" cy="5916930"/>
                            <wp:effectExtent l="0" t="0" r="0" b="1270"/>
                            <wp:docPr id="30340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0317" name="Picture 30340317"/>
                                    <pic:cNvPicPr/>
                                  </pic:nvPicPr>
                                  <pic:blipFill>
                                    <a:blip r:embed="rId8">
                                      <a:extLst>
                                        <a:ext uri="{28A0092B-C50C-407E-A947-70E740481C1C}">
                                          <a14:useLocalDpi xmlns:a14="http://schemas.microsoft.com/office/drawing/2010/main" val="0"/>
                                        </a:ext>
                                      </a:extLst>
                                    </a:blip>
                                    <a:stretch>
                                      <a:fillRect/>
                                    </a:stretch>
                                  </pic:blipFill>
                                  <pic:spPr>
                                    <a:xfrm>
                                      <a:off x="0" y="0"/>
                                      <a:ext cx="4076700" cy="5916930"/>
                                    </a:xfrm>
                                    <a:prstGeom prst="rect">
                                      <a:avLst/>
                                    </a:prstGeom>
                                  </pic:spPr>
                                </pic:pic>
                              </a:graphicData>
                            </a:graphic>
                          </wp:inline>
                        </w:drawing>
                      </w:r>
                    </w:p>
                    <w:p w14:paraId="0E8E1084" w14:textId="6A51D34E" w:rsidR="00DD41CF" w:rsidRDefault="00DD41CF" w:rsidP="00DD41CF">
                      <w:pPr>
                        <w:pStyle w:val="Caption"/>
                        <w:jc w:val="both"/>
                      </w:pPr>
                      <w:r w:rsidRPr="00D67BBC">
                        <w:rPr>
                          <w:rFonts w:ascii="Helvetica" w:hAnsi="Helvetica"/>
                          <w:color w:val="000000" w:themeColor="text1"/>
                        </w:rPr>
                        <w:t xml:space="preserve">Supplementary Figure </w:t>
                      </w:r>
                      <w:r>
                        <w:rPr>
                          <w:rFonts w:ascii="Helvetica" w:hAnsi="Helvetica"/>
                          <w:color w:val="000000" w:themeColor="text1"/>
                        </w:rPr>
                        <w:t>4</w:t>
                      </w:r>
                      <w:r w:rsidR="00103EDF">
                        <w:rPr>
                          <w:rFonts w:ascii="Helvetica" w:hAnsi="Helvetica"/>
                          <w:color w:val="000000" w:themeColor="text1"/>
                        </w:rPr>
                        <w:t>:</w:t>
                      </w:r>
                      <w:r w:rsidRPr="00D67BBC">
                        <w:rPr>
                          <w:rFonts w:ascii="Helvetica" w:hAnsi="Helvetica"/>
                          <w:color w:val="000000" w:themeColor="text1"/>
                        </w:rPr>
                        <w:t xml:space="preserve"> </w:t>
                      </w:r>
                      <w:r w:rsidR="00D60644">
                        <w:rPr>
                          <w:rFonts w:ascii="Helvetica" w:hAnsi="Helvetica"/>
                          <w:color w:val="000000" w:themeColor="text1"/>
                        </w:rPr>
                        <w:t>Necessity of accumulation context</w:t>
                      </w:r>
                      <w:r>
                        <w:rPr>
                          <w:rFonts w:ascii="Helvetica" w:hAnsi="Helvetica"/>
                          <w:color w:val="000000" w:themeColor="text1"/>
                        </w:rPr>
                        <w:t xml:space="preserve">. </w:t>
                      </w:r>
                      <w:r w:rsidRPr="00DD41CF">
                        <w:rPr>
                          <w:rFonts w:ascii="Helvetica" w:hAnsi="Helvetica"/>
                          <w:b/>
                          <w:bCs/>
                          <w:color w:val="000000" w:themeColor="text1"/>
                        </w:rPr>
                        <w:t>a</w:t>
                      </w:r>
                      <w:r>
                        <w:rPr>
                          <w:rFonts w:ascii="Helvetica" w:hAnsi="Helvetica"/>
                          <w:b/>
                          <w:bCs/>
                          <w:color w:val="000000" w:themeColor="text1"/>
                        </w:rPr>
                        <w:t>)</w:t>
                      </w:r>
                      <w:r w:rsidRPr="00DD41CF">
                        <w:rPr>
                          <w:rFonts w:ascii="Helvetica" w:hAnsi="Helvetica"/>
                          <w:color w:val="000000" w:themeColor="text1"/>
                        </w:rPr>
                        <w:t xml:space="preserve"> Schematic comparison of the full inertial state-space model (ISSM) and an ablated pipeline in which the accumulation step is removed. Both pipelines include DTW, identical smoothing, and derivative computation. The ablation isolates the role of cumulative context in generating functional inertia and whole-brain FIIM.</w:t>
                      </w:r>
                      <w:r>
                        <w:rPr>
                          <w:rFonts w:ascii="Helvetica" w:hAnsi="Helvetica"/>
                          <w:color w:val="000000" w:themeColor="text1"/>
                        </w:rPr>
                        <w:t xml:space="preserve"> </w:t>
                      </w:r>
                      <w:r>
                        <w:rPr>
                          <w:rFonts w:ascii="Helvetica" w:hAnsi="Helvetica"/>
                          <w:b/>
                          <w:bCs/>
                          <w:color w:val="000000" w:themeColor="text1"/>
                        </w:rPr>
                        <w:t>b)</w:t>
                      </w:r>
                      <w:r w:rsidRPr="00DD41CF">
                        <w:rPr>
                          <w:rFonts w:ascii="Helvetica" w:hAnsi="Helvetica"/>
                          <w:color w:val="000000" w:themeColor="text1"/>
                        </w:rPr>
                        <w:t xml:space="preserve"> Distribution of FII states under the full ISSM and the no-accumulation pipeline. Both formulations yield a comparable tri-modal organization consisting of negative, near-zero, and positive regimes, indicating that regime segmentation does not depend on accumulation.</w:t>
                      </w:r>
                      <w:r w:rsidR="00103EDF">
                        <w:rPr>
                          <w:rFonts w:ascii="Helvetica" w:hAnsi="Helvetica"/>
                          <w:color w:val="000000" w:themeColor="text1"/>
                        </w:rPr>
                        <w:t xml:space="preserve"> </w:t>
                      </w:r>
                      <w:r w:rsidRPr="00DD41CF">
                        <w:rPr>
                          <w:rFonts w:ascii="Helvetica" w:hAnsi="Helvetica"/>
                          <w:b/>
                          <w:bCs/>
                          <w:color w:val="000000" w:themeColor="text1"/>
                        </w:rPr>
                        <w:t>c</w:t>
                      </w:r>
                      <w:r>
                        <w:rPr>
                          <w:rFonts w:ascii="Helvetica" w:hAnsi="Helvetica"/>
                          <w:b/>
                          <w:bCs/>
                          <w:color w:val="000000" w:themeColor="text1"/>
                        </w:rPr>
                        <w:t>)</w:t>
                      </w:r>
                      <w:r w:rsidRPr="00DD41CF">
                        <w:rPr>
                          <w:rFonts w:ascii="Helvetica" w:hAnsi="Helvetica"/>
                          <w:color w:val="000000" w:themeColor="text1"/>
                        </w:rPr>
                        <w:t xml:space="preserve"> Statistical comparison of group differences, symptom associations, and mediation effects. While regime-level group differences are largely preserved without accumulation, system-level and mediation-level effects collapse</w:t>
                      </w:r>
                      <w:r w:rsidR="0038793C">
                        <w:rPr>
                          <w:rFonts w:ascii="Helvetica" w:hAnsi="Helvetica"/>
                          <w:color w:val="000000" w:themeColor="text1"/>
                        </w:rPr>
                        <w:t xml:space="preserve"> (shown in red)</w:t>
                      </w:r>
                      <w:r w:rsidRPr="00DD41CF">
                        <w:rPr>
                          <w:rFonts w:ascii="Helvetica" w:hAnsi="Helvetica"/>
                          <w:color w:val="000000" w:themeColor="text1"/>
                        </w:rPr>
                        <w:t xml:space="preserve">. In the full ISSM, whole-brain FIIM significantly associates with positive and negative symptom severity and mediates relationships between locked-regime persistence and symptoms. These effects are </w:t>
                      </w:r>
                      <w:r w:rsidR="00F314B6">
                        <w:rPr>
                          <w:rFonts w:ascii="Helvetica" w:hAnsi="Helvetica"/>
                          <w:color w:val="000000" w:themeColor="text1"/>
                        </w:rPr>
                        <w:t>lost</w:t>
                      </w:r>
                      <w:r w:rsidRPr="00DD41CF">
                        <w:rPr>
                          <w:rFonts w:ascii="Helvetica" w:hAnsi="Helvetica"/>
                          <w:color w:val="000000" w:themeColor="text1"/>
                        </w:rPr>
                        <w:t xml:space="preserve"> under the no-accumulation formulation, demonstrating that cumulative state integration, rather than instantaneous disparity, is required to recover global inertial </w:t>
                      </w:r>
                      <w:r w:rsidR="008C2EE4" w:rsidRPr="008C2EE4">
                        <w:rPr>
                          <w:rFonts w:ascii="Helvetica" w:hAnsi="Helvetica"/>
                          <w:color w:val="000000" w:themeColor="text1"/>
                        </w:rPr>
                        <w:t>magnitude and the mediation architecture linking regime dynamics to symptom expression</w:t>
                      </w:r>
                      <w:r w:rsidRPr="00FF7A8B">
                        <w:rPr>
                          <w:rFonts w:ascii="Helvetica" w:hAnsi="Helvetica"/>
                          <w:color w:val="000000" w:themeColor="text1"/>
                        </w:rPr>
                        <w:t>.</w:t>
                      </w:r>
                    </w:p>
                    <w:p w14:paraId="7B1C63DA" w14:textId="77777777" w:rsidR="00DD41CF" w:rsidRDefault="00DD41CF" w:rsidP="00DD41CF">
                      <w:pPr>
                        <w:jc w:val="center"/>
                      </w:pPr>
                    </w:p>
                  </w:txbxContent>
                </v:textbox>
                <w10:anchorlock/>
              </v:shape>
            </w:pict>
          </mc:Fallback>
        </mc:AlternateContent>
      </w:r>
    </w:p>
    <w:p w14:paraId="660D7078" w14:textId="0953B859" w:rsidR="00B3267A" w:rsidRPr="00B3267A" w:rsidRDefault="00B3267A" w:rsidP="003D3153">
      <w:pPr>
        <w:spacing w:before="100" w:beforeAutospacing="1" w:after="100" w:afterAutospacing="1" w:line="240" w:lineRule="auto"/>
        <w:jc w:val="both"/>
        <w:rPr>
          <w:rFonts w:ascii="Helvetica" w:hAnsi="Helvetica"/>
          <w:i/>
          <w:iCs/>
        </w:rPr>
      </w:pPr>
      <w:r w:rsidRPr="00B3267A">
        <w:rPr>
          <w:rFonts w:ascii="Helvetica" w:hAnsi="Helvetica"/>
          <w:i/>
          <w:iCs/>
        </w:rPr>
        <w:lastRenderedPageBreak/>
        <w:t>Supplementary Table 1 | Group differences in latent-state magnitude within each functional inertia regime</w:t>
      </w:r>
    </w:p>
    <w:tbl>
      <w:tblPr>
        <w:tblStyle w:val="TableGrid"/>
        <w:tblW w:w="0" w:type="auto"/>
        <w:tblLook w:val="04A0" w:firstRow="1" w:lastRow="0" w:firstColumn="1" w:lastColumn="0" w:noHBand="0" w:noVBand="1"/>
      </w:tblPr>
      <w:tblGrid>
        <w:gridCol w:w="1128"/>
        <w:gridCol w:w="2197"/>
        <w:gridCol w:w="1260"/>
        <w:gridCol w:w="1890"/>
        <w:gridCol w:w="1532"/>
        <w:gridCol w:w="1343"/>
      </w:tblGrid>
      <w:tr w:rsidR="007948C3" w14:paraId="64E5BFB4" w14:textId="77777777" w:rsidTr="009B568A">
        <w:tc>
          <w:tcPr>
            <w:tcW w:w="1128" w:type="dxa"/>
            <w:vAlign w:val="center"/>
          </w:tcPr>
          <w:p w14:paraId="0CACCBD4" w14:textId="75E0B282" w:rsidR="007948C3" w:rsidRPr="007948C3" w:rsidRDefault="007948C3" w:rsidP="00145DCE">
            <w:pPr>
              <w:spacing w:after="120"/>
              <w:jc w:val="center"/>
              <w:rPr>
                <w:rFonts w:ascii="Helvetica" w:hAnsi="Helvetica"/>
                <w:b/>
                <w:bCs/>
                <w:sz w:val="20"/>
                <w:szCs w:val="20"/>
              </w:rPr>
            </w:pPr>
            <w:r w:rsidRPr="007948C3">
              <w:rPr>
                <w:rFonts w:ascii="Helvetica" w:hAnsi="Helvetica"/>
                <w:b/>
                <w:bCs/>
                <w:sz w:val="20"/>
                <w:szCs w:val="20"/>
              </w:rPr>
              <w:t>Regime</w:t>
            </w:r>
          </w:p>
        </w:tc>
        <w:tc>
          <w:tcPr>
            <w:tcW w:w="2197" w:type="dxa"/>
            <w:vAlign w:val="center"/>
          </w:tcPr>
          <w:p w14:paraId="5C143372" w14:textId="6F2F1EF7" w:rsidR="007948C3" w:rsidRPr="007948C3" w:rsidRDefault="00145DCE" w:rsidP="00145DCE">
            <w:pPr>
              <w:spacing w:after="120"/>
              <w:jc w:val="center"/>
              <w:rPr>
                <w:rFonts w:ascii="Helvetica" w:hAnsi="Helvetica"/>
                <w:b/>
                <w:bCs/>
                <w:sz w:val="20"/>
                <w:szCs w:val="20"/>
              </w:rPr>
            </w:pPr>
            <w:r w:rsidRPr="00145DCE">
              <w:rPr>
                <w:rFonts w:ascii="Helvetica" w:hAnsi="Helvetica"/>
                <w:b/>
                <w:bCs/>
                <w:sz w:val="20"/>
                <w:szCs w:val="20"/>
              </w:rPr>
              <w:t>Δ</w:t>
            </w:r>
            <w:r>
              <w:rPr>
                <w:rFonts w:ascii="Helvetica" w:hAnsi="Helvetica"/>
                <w:b/>
                <w:bCs/>
                <w:sz w:val="20"/>
                <w:szCs w:val="20"/>
              </w:rPr>
              <w:t xml:space="preserve"> (</w:t>
            </w:r>
            <w:proofErr w:type="spellStart"/>
            <w:r>
              <w:rPr>
                <w:rFonts w:ascii="Helvetica" w:hAnsi="Helvetica"/>
                <w:b/>
                <w:bCs/>
                <w:sz w:val="20"/>
                <w:szCs w:val="20"/>
              </w:rPr>
              <w:t>Schizo</w:t>
            </w:r>
            <w:proofErr w:type="spellEnd"/>
            <w:r>
              <w:rPr>
                <w:rFonts w:ascii="Helvetica" w:hAnsi="Helvetica"/>
                <w:b/>
                <w:bCs/>
                <w:sz w:val="20"/>
                <w:szCs w:val="20"/>
              </w:rPr>
              <w:t>.</w:t>
            </w:r>
            <w:r w:rsidR="005F7C87">
              <w:rPr>
                <w:rFonts w:ascii="Helvetica" w:hAnsi="Helvetica"/>
                <w:b/>
                <w:bCs/>
                <w:sz w:val="20"/>
                <w:szCs w:val="20"/>
              </w:rPr>
              <w:t xml:space="preserve"> </w:t>
            </w:r>
            <w:r>
              <w:rPr>
                <w:rFonts w:ascii="Helvetica" w:hAnsi="Helvetica"/>
                <w:b/>
                <w:bCs/>
                <w:sz w:val="20"/>
                <w:szCs w:val="20"/>
              </w:rPr>
              <w:t>–</w:t>
            </w:r>
            <w:r w:rsidR="005F7C87">
              <w:rPr>
                <w:rFonts w:ascii="Helvetica" w:hAnsi="Helvetica"/>
                <w:b/>
                <w:bCs/>
                <w:sz w:val="20"/>
                <w:szCs w:val="20"/>
              </w:rPr>
              <w:t xml:space="preserve"> Control</w:t>
            </w:r>
            <w:r>
              <w:rPr>
                <w:rFonts w:ascii="Helvetica" w:hAnsi="Helvetica"/>
                <w:b/>
                <w:bCs/>
                <w:sz w:val="20"/>
                <w:szCs w:val="20"/>
              </w:rPr>
              <w:t>)</w:t>
            </w:r>
          </w:p>
        </w:tc>
        <w:tc>
          <w:tcPr>
            <w:tcW w:w="1260" w:type="dxa"/>
            <w:vAlign w:val="center"/>
          </w:tcPr>
          <w:p w14:paraId="0E06756F" w14:textId="2BD28352" w:rsidR="007948C3" w:rsidRPr="007948C3" w:rsidRDefault="007948C3" w:rsidP="00145DCE">
            <w:pPr>
              <w:spacing w:after="120"/>
              <w:jc w:val="center"/>
              <w:rPr>
                <w:rFonts w:ascii="Helvetica" w:hAnsi="Helvetica"/>
                <w:b/>
                <w:bCs/>
                <w:sz w:val="20"/>
                <w:szCs w:val="20"/>
              </w:rPr>
            </w:pPr>
            <w:r>
              <w:rPr>
                <w:rFonts w:ascii="Helvetica" w:hAnsi="Helvetica"/>
                <w:b/>
                <w:bCs/>
                <w:sz w:val="20"/>
                <w:szCs w:val="20"/>
              </w:rPr>
              <w:t>Std. Error</w:t>
            </w:r>
          </w:p>
        </w:tc>
        <w:tc>
          <w:tcPr>
            <w:tcW w:w="1890" w:type="dxa"/>
            <w:vAlign w:val="center"/>
          </w:tcPr>
          <w:p w14:paraId="28D3CEB6" w14:textId="569CF8FD" w:rsidR="007948C3" w:rsidRPr="007948C3" w:rsidRDefault="007948C3" w:rsidP="00145DCE">
            <w:pPr>
              <w:spacing w:after="120"/>
              <w:jc w:val="center"/>
              <w:rPr>
                <w:rFonts w:ascii="Helvetica" w:hAnsi="Helvetica"/>
                <w:b/>
                <w:bCs/>
                <w:sz w:val="20"/>
                <w:szCs w:val="20"/>
              </w:rPr>
            </w:pPr>
            <w:r>
              <w:rPr>
                <w:rFonts w:ascii="Helvetica" w:hAnsi="Helvetica"/>
                <w:b/>
                <w:bCs/>
                <w:sz w:val="20"/>
                <w:szCs w:val="20"/>
              </w:rPr>
              <w:t>95% CI</w:t>
            </w:r>
          </w:p>
        </w:tc>
        <w:tc>
          <w:tcPr>
            <w:tcW w:w="1532" w:type="dxa"/>
            <w:vAlign w:val="center"/>
          </w:tcPr>
          <w:p w14:paraId="60ADD61C" w14:textId="5E1F4DE3" w:rsidR="007948C3" w:rsidRPr="007948C3" w:rsidRDefault="007948C3" w:rsidP="00145DCE">
            <w:pPr>
              <w:spacing w:after="120"/>
              <w:jc w:val="center"/>
              <w:rPr>
                <w:rFonts w:ascii="Helvetica" w:hAnsi="Helvetica"/>
                <w:b/>
                <w:bCs/>
                <w:sz w:val="20"/>
                <w:szCs w:val="20"/>
              </w:rPr>
            </w:pPr>
            <w:r>
              <w:rPr>
                <w:rFonts w:ascii="Helvetica" w:hAnsi="Helvetica"/>
                <w:b/>
                <w:bCs/>
                <w:sz w:val="20"/>
                <w:szCs w:val="20"/>
              </w:rPr>
              <w:t>p-value</w:t>
            </w:r>
          </w:p>
        </w:tc>
        <w:tc>
          <w:tcPr>
            <w:tcW w:w="1343" w:type="dxa"/>
            <w:vAlign w:val="center"/>
          </w:tcPr>
          <w:p w14:paraId="07FBE0A5" w14:textId="073F8F5D" w:rsidR="007948C3" w:rsidRPr="007948C3" w:rsidRDefault="007948C3" w:rsidP="00145DCE">
            <w:pPr>
              <w:spacing w:after="120"/>
              <w:jc w:val="center"/>
              <w:rPr>
                <w:rFonts w:ascii="Helvetica" w:hAnsi="Helvetica"/>
                <w:b/>
                <w:bCs/>
                <w:sz w:val="20"/>
                <w:szCs w:val="20"/>
              </w:rPr>
            </w:pPr>
            <w:proofErr w:type="spellStart"/>
            <w:r>
              <w:rPr>
                <w:rFonts w:ascii="Helvetica" w:hAnsi="Helvetica"/>
                <w:b/>
                <w:bCs/>
                <w:sz w:val="20"/>
                <w:szCs w:val="20"/>
              </w:rPr>
              <w:t>pFDR</w:t>
            </w:r>
            <w:proofErr w:type="spellEnd"/>
          </w:p>
        </w:tc>
      </w:tr>
      <w:tr w:rsidR="007948C3" w14:paraId="3B796F42" w14:textId="77777777" w:rsidTr="009B568A">
        <w:tc>
          <w:tcPr>
            <w:tcW w:w="1128" w:type="dxa"/>
            <w:vAlign w:val="center"/>
          </w:tcPr>
          <w:p w14:paraId="5CF84B35" w14:textId="59CF1EBC" w:rsidR="007948C3" w:rsidRPr="009B568A" w:rsidRDefault="007948C3" w:rsidP="007948C3">
            <w:pPr>
              <w:spacing w:after="120"/>
              <w:jc w:val="center"/>
              <w:rPr>
                <w:rFonts w:ascii="Helvetica" w:hAnsi="Helvetica"/>
                <w:sz w:val="18"/>
                <w:szCs w:val="18"/>
              </w:rPr>
            </w:pPr>
            <w:r w:rsidRPr="009B568A">
              <w:rPr>
                <w:rFonts w:ascii="Helvetica" w:hAnsi="Helvetica"/>
                <w:sz w:val="18"/>
                <w:szCs w:val="18"/>
              </w:rPr>
              <w:t>Locked</w:t>
            </w:r>
          </w:p>
        </w:tc>
        <w:tc>
          <w:tcPr>
            <w:tcW w:w="2197" w:type="dxa"/>
            <w:vAlign w:val="center"/>
          </w:tcPr>
          <w:p w14:paraId="3C6A22E5" w14:textId="05CC1AB8"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0.0148</w:t>
            </w:r>
          </w:p>
        </w:tc>
        <w:tc>
          <w:tcPr>
            <w:tcW w:w="1260" w:type="dxa"/>
            <w:vAlign w:val="center"/>
          </w:tcPr>
          <w:p w14:paraId="4EC98195" w14:textId="71DAFDED"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0.002714</w:t>
            </w:r>
          </w:p>
        </w:tc>
        <w:tc>
          <w:tcPr>
            <w:tcW w:w="1890" w:type="dxa"/>
            <w:vAlign w:val="center"/>
          </w:tcPr>
          <w:p w14:paraId="237D1B87" w14:textId="724FEFAB"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[0.0094, 0.0201]</w:t>
            </w:r>
          </w:p>
        </w:tc>
        <w:tc>
          <w:tcPr>
            <w:tcW w:w="1532" w:type="dxa"/>
            <w:vAlign w:val="center"/>
          </w:tcPr>
          <w:p w14:paraId="1195E130" w14:textId="28074DF8" w:rsidR="007948C3" w:rsidRPr="009B568A" w:rsidRDefault="0009643A" w:rsidP="007948C3">
            <w:pPr>
              <w:spacing w:after="120"/>
              <w:jc w:val="center"/>
              <w:rPr>
                <w:rFonts w:ascii="Cambria Math" w:hAnsi="Cambria Math"/>
                <w:sz w:val="18"/>
                <w:szCs w:val="18"/>
              </w:rPr>
            </w:pPr>
            <m:oMathPara>
              <m:oMath>
                <m:r>
                  <w:rPr>
                    <w:rFonts w:ascii="Cambria Math" w:hAnsi="Cambria Math"/>
                    <w:sz w:val="18"/>
                    <w:szCs w:val="18"/>
                  </w:rPr>
                  <m:t>4.80 × 10</m:t>
                </m:r>
                <m:r>
                  <w:rPr>
                    <w:rFonts w:ascii="Cambria Math" w:hAnsi="Cambria Math" w:cs="Cambria Math"/>
                    <w:sz w:val="18"/>
                    <w:szCs w:val="18"/>
                  </w:rPr>
                  <m:t>⁻</m:t>
                </m:r>
                <m:r>
                  <w:rPr>
                    <w:rFonts w:ascii="Cambria Math" w:hAnsi="Cambria Math"/>
                    <w:sz w:val="18"/>
                    <w:szCs w:val="18"/>
                  </w:rPr>
                  <m:t>⁸</m:t>
                </m:r>
              </m:oMath>
            </m:oMathPara>
          </w:p>
        </w:tc>
        <w:tc>
          <w:tcPr>
            <w:tcW w:w="1343" w:type="dxa"/>
            <w:vAlign w:val="center"/>
          </w:tcPr>
          <w:p w14:paraId="3DECAB6E" w14:textId="5AC49A85" w:rsidR="007948C3" w:rsidRPr="009B568A" w:rsidRDefault="0009643A" w:rsidP="007948C3">
            <w:pPr>
              <w:spacing w:after="120"/>
              <w:jc w:val="center"/>
              <w:rPr>
                <w:rFonts w:ascii="Cambria Math" w:hAnsi="Cambria Math"/>
                <w:sz w:val="18"/>
                <w:szCs w:val="18"/>
              </w:rPr>
            </w:pPr>
            <m:oMathPara>
              <m:oMath>
                <m:r>
                  <w:rPr>
                    <w:rFonts w:ascii="Cambria Math" w:hAnsi="Cambria Math"/>
                    <w:sz w:val="18"/>
                    <w:szCs w:val="18"/>
                  </w:rPr>
                  <m:t>4.80 × 10</m:t>
                </m:r>
                <m:r>
                  <w:rPr>
                    <w:rFonts w:ascii="Cambria Math" w:hAnsi="Cambria Math" w:cs="Cambria Math"/>
                    <w:sz w:val="18"/>
                    <w:szCs w:val="18"/>
                  </w:rPr>
                  <m:t>⁻</m:t>
                </m:r>
                <m:r>
                  <w:rPr>
                    <w:rFonts w:ascii="Cambria Math" w:hAnsi="Cambria Math"/>
                    <w:sz w:val="18"/>
                    <w:szCs w:val="18"/>
                  </w:rPr>
                  <m:t>⁸</m:t>
                </m:r>
              </m:oMath>
            </m:oMathPara>
          </w:p>
        </w:tc>
      </w:tr>
      <w:tr w:rsidR="007948C3" w14:paraId="3EEA08EA" w14:textId="77777777" w:rsidTr="009B568A">
        <w:tc>
          <w:tcPr>
            <w:tcW w:w="1128" w:type="dxa"/>
            <w:vAlign w:val="center"/>
          </w:tcPr>
          <w:p w14:paraId="3CADF7B7" w14:textId="1BEA723C" w:rsidR="007948C3" w:rsidRPr="009B568A" w:rsidRDefault="007948C3" w:rsidP="007948C3">
            <w:pPr>
              <w:spacing w:after="120"/>
              <w:jc w:val="center"/>
              <w:rPr>
                <w:rFonts w:ascii="Helvetica" w:hAnsi="Helvetica"/>
                <w:sz w:val="18"/>
                <w:szCs w:val="18"/>
              </w:rPr>
            </w:pPr>
            <w:r w:rsidRPr="009B568A">
              <w:rPr>
                <w:rFonts w:ascii="Helvetica" w:hAnsi="Helvetica"/>
                <w:sz w:val="18"/>
                <w:szCs w:val="18"/>
              </w:rPr>
              <w:t>Stabilizing</w:t>
            </w:r>
          </w:p>
        </w:tc>
        <w:tc>
          <w:tcPr>
            <w:tcW w:w="2197" w:type="dxa"/>
            <w:vAlign w:val="center"/>
          </w:tcPr>
          <w:p w14:paraId="7904FEEB" w14:textId="2EEDBC27"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0.0159</w:t>
            </w:r>
          </w:p>
        </w:tc>
        <w:tc>
          <w:tcPr>
            <w:tcW w:w="1260" w:type="dxa"/>
            <w:vAlign w:val="center"/>
          </w:tcPr>
          <w:p w14:paraId="4FB47C99" w14:textId="334C877F"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0.002759</w:t>
            </w:r>
          </w:p>
        </w:tc>
        <w:tc>
          <w:tcPr>
            <w:tcW w:w="1890" w:type="dxa"/>
            <w:vAlign w:val="center"/>
          </w:tcPr>
          <w:p w14:paraId="5A1CE3C1" w14:textId="788CFDD0"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[0.0105, 0.0212]</w:t>
            </w:r>
          </w:p>
        </w:tc>
        <w:tc>
          <w:tcPr>
            <w:tcW w:w="1532" w:type="dxa"/>
            <w:vAlign w:val="center"/>
          </w:tcPr>
          <w:p w14:paraId="215A4BB7" w14:textId="2322090F" w:rsidR="007948C3" w:rsidRPr="009B568A" w:rsidRDefault="0009643A" w:rsidP="007948C3">
            <w:pPr>
              <w:spacing w:after="120"/>
              <w:jc w:val="center"/>
              <w:rPr>
                <w:rFonts w:ascii="Cambria Math" w:hAnsi="Cambria Math"/>
                <w:sz w:val="18"/>
                <w:szCs w:val="18"/>
              </w:rPr>
            </w:pPr>
            <m:oMathPara>
              <m:oMath>
                <m:r>
                  <w:rPr>
                    <w:rFonts w:ascii="Cambria Math" w:hAnsi="Cambria Math"/>
                    <w:sz w:val="18"/>
                    <w:szCs w:val="18"/>
                  </w:rPr>
                  <m:t>9.02 × 10⁻⁹</m:t>
                </m:r>
              </m:oMath>
            </m:oMathPara>
          </w:p>
        </w:tc>
        <w:tc>
          <w:tcPr>
            <w:tcW w:w="1343" w:type="dxa"/>
            <w:vAlign w:val="center"/>
          </w:tcPr>
          <w:p w14:paraId="201774D6" w14:textId="4B703007"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1.35 × 10⁻⁸</w:t>
            </w:r>
          </w:p>
        </w:tc>
      </w:tr>
      <w:tr w:rsidR="007948C3" w14:paraId="4CFF5179" w14:textId="77777777" w:rsidTr="009B568A">
        <w:tc>
          <w:tcPr>
            <w:tcW w:w="1128" w:type="dxa"/>
            <w:vAlign w:val="center"/>
          </w:tcPr>
          <w:p w14:paraId="3364C450" w14:textId="768B6B88" w:rsidR="007948C3" w:rsidRPr="009B568A" w:rsidRDefault="007948C3" w:rsidP="007948C3">
            <w:pPr>
              <w:spacing w:after="120"/>
              <w:jc w:val="center"/>
              <w:rPr>
                <w:rFonts w:ascii="Helvetica" w:hAnsi="Helvetica"/>
                <w:sz w:val="18"/>
                <w:szCs w:val="18"/>
              </w:rPr>
            </w:pPr>
            <w:r w:rsidRPr="009B568A">
              <w:rPr>
                <w:rFonts w:ascii="Helvetica" w:hAnsi="Helvetica"/>
                <w:sz w:val="18"/>
                <w:szCs w:val="18"/>
              </w:rPr>
              <w:t>Shifting</w:t>
            </w:r>
          </w:p>
        </w:tc>
        <w:tc>
          <w:tcPr>
            <w:tcW w:w="2197" w:type="dxa"/>
            <w:vAlign w:val="center"/>
          </w:tcPr>
          <w:p w14:paraId="3BCBF998" w14:textId="279CC9A4"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0.0155</w:t>
            </w:r>
          </w:p>
        </w:tc>
        <w:tc>
          <w:tcPr>
            <w:tcW w:w="1260" w:type="dxa"/>
            <w:vAlign w:val="center"/>
          </w:tcPr>
          <w:p w14:paraId="1B330F77" w14:textId="76F7F132"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0.002688</w:t>
            </w:r>
          </w:p>
        </w:tc>
        <w:tc>
          <w:tcPr>
            <w:tcW w:w="1890" w:type="dxa"/>
            <w:vAlign w:val="center"/>
          </w:tcPr>
          <w:p w14:paraId="10E51A81" w14:textId="23E5D147"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[0.0103, 0.0208]</w:t>
            </w:r>
          </w:p>
        </w:tc>
        <w:tc>
          <w:tcPr>
            <w:tcW w:w="1532" w:type="dxa"/>
            <w:vAlign w:val="center"/>
          </w:tcPr>
          <w:p w14:paraId="40368B46" w14:textId="40D90B08" w:rsidR="007948C3" w:rsidRPr="009B568A" w:rsidRDefault="007948C3" w:rsidP="007948C3">
            <w:pPr>
              <w:spacing w:after="120"/>
              <w:jc w:val="center"/>
              <w:rPr>
                <w:rFonts w:ascii="Cambria Math" w:hAnsi="Cambria Math"/>
                <w:sz w:val="18"/>
                <w:szCs w:val="18"/>
              </w:rPr>
            </w:pPr>
            <w:r w:rsidRPr="009B568A">
              <w:rPr>
                <w:rFonts w:ascii="Cambria Math" w:hAnsi="Cambria Math"/>
                <w:sz w:val="18"/>
                <w:szCs w:val="18"/>
              </w:rPr>
              <w:t>7.22 × 10⁻⁹</w:t>
            </w:r>
          </w:p>
        </w:tc>
        <w:tc>
          <w:tcPr>
            <w:tcW w:w="1343" w:type="dxa"/>
            <w:vAlign w:val="center"/>
          </w:tcPr>
          <w:p w14:paraId="0789D00E" w14:textId="13100845" w:rsidR="007948C3" w:rsidRPr="009B568A" w:rsidRDefault="007948C3" w:rsidP="00BD67CA">
            <w:pPr>
              <w:keepNext/>
              <w:spacing w:after="120"/>
              <w:jc w:val="center"/>
              <w:rPr>
                <w:rFonts w:ascii="Cambria Math" w:hAnsi="Cambria Math"/>
                <w:sz w:val="18"/>
                <w:szCs w:val="18"/>
              </w:rPr>
            </w:pPr>
            <w:r w:rsidRPr="009B568A">
              <w:rPr>
                <w:rFonts w:ascii="Cambria Math" w:hAnsi="Cambria Math"/>
                <w:sz w:val="18"/>
                <w:szCs w:val="18"/>
              </w:rPr>
              <w:t>1.35 × 10⁻⁸</w:t>
            </w:r>
          </w:p>
        </w:tc>
      </w:tr>
    </w:tbl>
    <w:p w14:paraId="11B461D2" w14:textId="7F5C1137" w:rsidR="00BD67CA" w:rsidRPr="00BD67CA" w:rsidRDefault="00BD67CA" w:rsidP="00BD67CA">
      <w:pPr>
        <w:pStyle w:val="Caption"/>
        <w:jc w:val="both"/>
        <w:rPr>
          <w:rFonts w:ascii="Helvetica" w:hAnsi="Helvetica"/>
          <w:color w:val="000000" w:themeColor="text1"/>
        </w:rPr>
      </w:pPr>
      <w:r w:rsidRPr="00BD67CA">
        <w:rPr>
          <w:rFonts w:ascii="Helvetica" w:hAnsi="Helvetica"/>
          <w:color w:val="000000" w:themeColor="text1"/>
        </w:rPr>
        <w:t xml:space="preserve">Table </w:t>
      </w:r>
      <w:r w:rsidRPr="00BD67CA">
        <w:rPr>
          <w:rFonts w:ascii="Helvetica" w:hAnsi="Helvetica"/>
          <w:color w:val="000000" w:themeColor="text1"/>
        </w:rPr>
        <w:fldChar w:fldCharType="begin"/>
      </w:r>
      <w:r w:rsidRPr="00BD67CA">
        <w:rPr>
          <w:rFonts w:ascii="Helvetica" w:hAnsi="Helvetica"/>
          <w:color w:val="000000" w:themeColor="text1"/>
        </w:rPr>
        <w:instrText xml:space="preserve"> SEQ Table \* ARABIC </w:instrText>
      </w:r>
      <w:r w:rsidRPr="00BD67CA">
        <w:rPr>
          <w:rFonts w:ascii="Helvetica" w:hAnsi="Helvetica"/>
          <w:color w:val="000000" w:themeColor="text1"/>
        </w:rPr>
        <w:fldChar w:fldCharType="separate"/>
      </w:r>
      <w:r>
        <w:rPr>
          <w:rFonts w:ascii="Helvetica" w:hAnsi="Helvetica"/>
          <w:noProof/>
          <w:color w:val="000000" w:themeColor="text1"/>
        </w:rPr>
        <w:t>1</w:t>
      </w:r>
      <w:r w:rsidRPr="00BD67CA">
        <w:rPr>
          <w:rFonts w:ascii="Helvetica" w:hAnsi="Helvetica"/>
          <w:color w:val="000000" w:themeColor="text1"/>
        </w:rPr>
        <w:fldChar w:fldCharType="end"/>
      </w:r>
      <w:r w:rsidRPr="00BD67CA">
        <w:rPr>
          <w:rFonts w:ascii="Helvetica" w:hAnsi="Helvetica"/>
          <w:color w:val="000000" w:themeColor="text1"/>
        </w:rPr>
        <w:t xml:space="preserve"> Group differences in regime-conditioned latent-state magnitude between individuals with schizophrenia and healthy controls. Values represent estimated marginal mean differences (Schizophrenia minus Control) in the magnitude of the cumulative latent state within each functional inertia regime, adjusted for age, sex, scanning site, and head motion. Positive values indicate greater interregional disparity in schizophrenia. Statistical significance was assessed using a repeated-measures ANCOVA framework, with false discovery rate (FDR) correction applied across regimes</w:t>
      </w:r>
    </w:p>
    <w:p w14:paraId="5D61F9E4" w14:textId="098E30DB" w:rsidR="007B5505" w:rsidRPr="00B3267A" w:rsidRDefault="00B3267A" w:rsidP="00082589">
      <w:pPr>
        <w:spacing w:after="120" w:line="240" w:lineRule="auto"/>
        <w:jc w:val="both"/>
        <w:rPr>
          <w:rFonts w:ascii="Helvetica" w:hAnsi="Helvetica"/>
          <w:b/>
          <w:bCs/>
          <w:i/>
          <w:iCs/>
        </w:rPr>
      </w:pPr>
      <w:r w:rsidRPr="00B3267A">
        <w:rPr>
          <w:rFonts w:ascii="Helvetica" w:hAnsi="Helvetica"/>
          <w:i/>
          <w:iCs/>
        </w:rPr>
        <w:t>Supplementary Table 2 | Ordering of latent-state magnitude across functional inertia regimes within each diagnostic group</w:t>
      </w:r>
    </w:p>
    <w:tbl>
      <w:tblPr>
        <w:tblStyle w:val="TableGrid"/>
        <w:tblW w:w="0" w:type="auto"/>
        <w:tblLook w:val="04A0" w:firstRow="1" w:lastRow="0" w:firstColumn="1" w:lastColumn="0" w:noHBand="0" w:noVBand="1"/>
      </w:tblPr>
      <w:tblGrid>
        <w:gridCol w:w="2244"/>
        <w:gridCol w:w="1195"/>
        <w:gridCol w:w="1146"/>
        <w:gridCol w:w="2266"/>
        <w:gridCol w:w="1246"/>
        <w:gridCol w:w="1253"/>
      </w:tblGrid>
      <w:tr w:rsidR="00983664" w14:paraId="32E3A0AE" w14:textId="77777777" w:rsidTr="00983664">
        <w:tc>
          <w:tcPr>
            <w:tcW w:w="2244" w:type="dxa"/>
            <w:tcBorders>
              <w:right w:val="single" w:sz="4" w:space="0" w:color="auto"/>
            </w:tcBorders>
            <w:vAlign w:val="center"/>
          </w:tcPr>
          <w:p w14:paraId="62C665A0" w14:textId="5B266E62" w:rsidR="00983664" w:rsidRPr="00213F7F" w:rsidRDefault="00983664" w:rsidP="00A178B7">
            <w:pPr>
              <w:spacing w:after="120"/>
              <w:jc w:val="center"/>
              <w:rPr>
                <w:rFonts w:ascii="Helvetica" w:hAnsi="Helvetica"/>
                <w:b/>
                <w:bCs/>
                <w:sz w:val="22"/>
                <w:szCs w:val="22"/>
              </w:rPr>
            </w:pPr>
            <w:r w:rsidRPr="00213F7F">
              <w:rPr>
                <w:rFonts w:ascii="Helvetica" w:hAnsi="Helvetica"/>
                <w:b/>
                <w:bCs/>
                <w:sz w:val="22"/>
                <w:szCs w:val="22"/>
              </w:rPr>
              <w:t>Schizophrenia</w:t>
            </w:r>
          </w:p>
        </w:tc>
        <w:tc>
          <w:tcPr>
            <w:tcW w:w="1195" w:type="dxa"/>
            <w:tcBorders>
              <w:top w:val="nil"/>
              <w:left w:val="single" w:sz="4" w:space="0" w:color="auto"/>
              <w:bottom w:val="single" w:sz="4" w:space="0" w:color="auto"/>
              <w:right w:val="nil"/>
            </w:tcBorders>
            <w:vAlign w:val="center"/>
          </w:tcPr>
          <w:p w14:paraId="7035A6C1" w14:textId="77777777" w:rsidR="00983664" w:rsidRDefault="00983664" w:rsidP="00A178B7">
            <w:pPr>
              <w:spacing w:after="120"/>
              <w:jc w:val="center"/>
              <w:rPr>
                <w:rFonts w:ascii="Helvetica" w:hAnsi="Helvetica"/>
                <w:b/>
                <w:bCs/>
                <w:sz w:val="20"/>
                <w:szCs w:val="20"/>
              </w:rPr>
            </w:pPr>
          </w:p>
        </w:tc>
        <w:tc>
          <w:tcPr>
            <w:tcW w:w="1146" w:type="dxa"/>
            <w:tcBorders>
              <w:top w:val="nil"/>
              <w:left w:val="nil"/>
              <w:bottom w:val="single" w:sz="4" w:space="0" w:color="auto"/>
              <w:right w:val="nil"/>
            </w:tcBorders>
            <w:vAlign w:val="center"/>
          </w:tcPr>
          <w:p w14:paraId="554B2F13" w14:textId="77777777" w:rsidR="00983664" w:rsidRDefault="00983664" w:rsidP="00A178B7">
            <w:pPr>
              <w:spacing w:after="120"/>
              <w:jc w:val="center"/>
              <w:rPr>
                <w:rFonts w:ascii="Helvetica" w:hAnsi="Helvetica"/>
                <w:b/>
                <w:bCs/>
                <w:sz w:val="20"/>
                <w:szCs w:val="20"/>
              </w:rPr>
            </w:pPr>
          </w:p>
        </w:tc>
        <w:tc>
          <w:tcPr>
            <w:tcW w:w="2266" w:type="dxa"/>
            <w:tcBorders>
              <w:top w:val="nil"/>
              <w:left w:val="nil"/>
              <w:bottom w:val="single" w:sz="4" w:space="0" w:color="auto"/>
              <w:right w:val="nil"/>
            </w:tcBorders>
            <w:vAlign w:val="center"/>
          </w:tcPr>
          <w:p w14:paraId="4059DA92" w14:textId="77777777" w:rsidR="00983664" w:rsidRDefault="00983664" w:rsidP="00A178B7">
            <w:pPr>
              <w:spacing w:after="120"/>
              <w:jc w:val="center"/>
              <w:rPr>
                <w:rFonts w:ascii="Helvetica" w:hAnsi="Helvetica"/>
                <w:b/>
                <w:bCs/>
                <w:sz w:val="20"/>
                <w:szCs w:val="20"/>
              </w:rPr>
            </w:pPr>
          </w:p>
        </w:tc>
        <w:tc>
          <w:tcPr>
            <w:tcW w:w="1246" w:type="dxa"/>
            <w:tcBorders>
              <w:top w:val="nil"/>
              <w:left w:val="nil"/>
              <w:bottom w:val="single" w:sz="4" w:space="0" w:color="auto"/>
              <w:right w:val="nil"/>
            </w:tcBorders>
            <w:vAlign w:val="center"/>
          </w:tcPr>
          <w:p w14:paraId="5222F7BE" w14:textId="77777777" w:rsidR="00983664" w:rsidRDefault="00983664" w:rsidP="00A178B7">
            <w:pPr>
              <w:spacing w:after="120"/>
              <w:jc w:val="center"/>
              <w:rPr>
                <w:rFonts w:ascii="Helvetica" w:hAnsi="Helvetica"/>
                <w:b/>
                <w:bCs/>
                <w:sz w:val="20"/>
                <w:szCs w:val="20"/>
              </w:rPr>
            </w:pPr>
          </w:p>
        </w:tc>
        <w:tc>
          <w:tcPr>
            <w:tcW w:w="1253" w:type="dxa"/>
            <w:tcBorders>
              <w:top w:val="nil"/>
              <w:left w:val="nil"/>
              <w:bottom w:val="single" w:sz="4" w:space="0" w:color="auto"/>
              <w:right w:val="nil"/>
            </w:tcBorders>
            <w:vAlign w:val="center"/>
          </w:tcPr>
          <w:p w14:paraId="228712A9" w14:textId="77777777" w:rsidR="00983664" w:rsidRDefault="00983664" w:rsidP="00A178B7">
            <w:pPr>
              <w:spacing w:after="120"/>
              <w:jc w:val="center"/>
              <w:rPr>
                <w:rFonts w:ascii="Helvetica" w:hAnsi="Helvetica"/>
                <w:b/>
                <w:bCs/>
                <w:sz w:val="20"/>
                <w:szCs w:val="20"/>
              </w:rPr>
            </w:pPr>
          </w:p>
        </w:tc>
      </w:tr>
      <w:tr w:rsidR="00145DCE" w14:paraId="1BEB294E" w14:textId="77777777" w:rsidTr="00983664">
        <w:tc>
          <w:tcPr>
            <w:tcW w:w="2244" w:type="dxa"/>
            <w:vAlign w:val="center"/>
          </w:tcPr>
          <w:p w14:paraId="345E8013" w14:textId="3F778D81" w:rsidR="00145DCE" w:rsidRPr="007948C3" w:rsidRDefault="00145DCE" w:rsidP="00A178B7">
            <w:pPr>
              <w:spacing w:after="120"/>
              <w:jc w:val="center"/>
              <w:rPr>
                <w:rFonts w:ascii="Helvetica" w:hAnsi="Helvetica"/>
                <w:b/>
                <w:bCs/>
                <w:sz w:val="20"/>
                <w:szCs w:val="20"/>
              </w:rPr>
            </w:pPr>
            <w:r w:rsidRPr="007948C3">
              <w:rPr>
                <w:rFonts w:ascii="Helvetica" w:hAnsi="Helvetica"/>
                <w:b/>
                <w:bCs/>
                <w:sz w:val="20"/>
                <w:szCs w:val="20"/>
              </w:rPr>
              <w:t>Regime</w:t>
            </w:r>
            <w:r>
              <w:rPr>
                <w:rFonts w:ascii="Helvetica" w:hAnsi="Helvetica"/>
                <w:b/>
                <w:bCs/>
                <w:sz w:val="20"/>
                <w:szCs w:val="20"/>
              </w:rPr>
              <w:t xml:space="preserve"> Comparison</w:t>
            </w:r>
          </w:p>
        </w:tc>
        <w:tc>
          <w:tcPr>
            <w:tcW w:w="1195" w:type="dxa"/>
            <w:tcBorders>
              <w:top w:val="single" w:sz="4" w:space="0" w:color="auto"/>
            </w:tcBorders>
            <w:vAlign w:val="center"/>
          </w:tcPr>
          <w:p w14:paraId="286417FE" w14:textId="20280927" w:rsidR="00145DCE" w:rsidRPr="007948C3" w:rsidRDefault="00145DCE" w:rsidP="00A178B7">
            <w:pPr>
              <w:spacing w:after="120"/>
              <w:jc w:val="center"/>
              <w:rPr>
                <w:rFonts w:ascii="Helvetica" w:hAnsi="Helvetica"/>
                <w:b/>
                <w:bCs/>
                <w:sz w:val="20"/>
                <w:szCs w:val="20"/>
              </w:rPr>
            </w:pPr>
            <w:r>
              <w:rPr>
                <w:rFonts w:ascii="Helvetica" w:hAnsi="Helvetica"/>
                <w:b/>
                <w:bCs/>
                <w:sz w:val="20"/>
                <w:szCs w:val="20"/>
              </w:rPr>
              <w:t>Difference</w:t>
            </w:r>
          </w:p>
        </w:tc>
        <w:tc>
          <w:tcPr>
            <w:tcW w:w="1146" w:type="dxa"/>
            <w:tcBorders>
              <w:top w:val="single" w:sz="4" w:space="0" w:color="auto"/>
            </w:tcBorders>
            <w:vAlign w:val="center"/>
          </w:tcPr>
          <w:p w14:paraId="22F942DE" w14:textId="77777777" w:rsidR="00145DCE" w:rsidRPr="007948C3" w:rsidRDefault="00145DCE" w:rsidP="00A178B7">
            <w:pPr>
              <w:spacing w:after="120"/>
              <w:jc w:val="center"/>
              <w:rPr>
                <w:rFonts w:ascii="Helvetica" w:hAnsi="Helvetica"/>
                <w:b/>
                <w:bCs/>
                <w:sz w:val="20"/>
                <w:szCs w:val="20"/>
              </w:rPr>
            </w:pPr>
            <w:r>
              <w:rPr>
                <w:rFonts w:ascii="Helvetica" w:hAnsi="Helvetica"/>
                <w:b/>
                <w:bCs/>
                <w:sz w:val="20"/>
                <w:szCs w:val="20"/>
              </w:rPr>
              <w:t>Std. Error</w:t>
            </w:r>
          </w:p>
        </w:tc>
        <w:tc>
          <w:tcPr>
            <w:tcW w:w="2266" w:type="dxa"/>
            <w:tcBorders>
              <w:top w:val="single" w:sz="4" w:space="0" w:color="auto"/>
            </w:tcBorders>
            <w:vAlign w:val="center"/>
          </w:tcPr>
          <w:p w14:paraId="4F86FF16" w14:textId="77777777" w:rsidR="00145DCE" w:rsidRPr="007948C3" w:rsidRDefault="00145DCE" w:rsidP="00A178B7">
            <w:pPr>
              <w:spacing w:after="120"/>
              <w:jc w:val="center"/>
              <w:rPr>
                <w:rFonts w:ascii="Helvetica" w:hAnsi="Helvetica"/>
                <w:b/>
                <w:bCs/>
                <w:sz w:val="20"/>
                <w:szCs w:val="20"/>
              </w:rPr>
            </w:pPr>
            <w:r>
              <w:rPr>
                <w:rFonts w:ascii="Helvetica" w:hAnsi="Helvetica"/>
                <w:b/>
                <w:bCs/>
                <w:sz w:val="20"/>
                <w:szCs w:val="20"/>
              </w:rPr>
              <w:t>95% CI</w:t>
            </w:r>
          </w:p>
        </w:tc>
        <w:tc>
          <w:tcPr>
            <w:tcW w:w="1246" w:type="dxa"/>
            <w:tcBorders>
              <w:top w:val="single" w:sz="4" w:space="0" w:color="auto"/>
            </w:tcBorders>
            <w:vAlign w:val="center"/>
          </w:tcPr>
          <w:p w14:paraId="08F4D0ED" w14:textId="77777777" w:rsidR="00145DCE" w:rsidRPr="007948C3" w:rsidRDefault="00145DCE" w:rsidP="00A178B7">
            <w:pPr>
              <w:spacing w:after="120"/>
              <w:jc w:val="center"/>
              <w:rPr>
                <w:rFonts w:ascii="Helvetica" w:hAnsi="Helvetica"/>
                <w:b/>
                <w:bCs/>
                <w:sz w:val="20"/>
                <w:szCs w:val="20"/>
              </w:rPr>
            </w:pPr>
            <w:r>
              <w:rPr>
                <w:rFonts w:ascii="Helvetica" w:hAnsi="Helvetica"/>
                <w:b/>
                <w:bCs/>
                <w:sz w:val="20"/>
                <w:szCs w:val="20"/>
              </w:rPr>
              <w:t>p-value</w:t>
            </w:r>
          </w:p>
        </w:tc>
        <w:tc>
          <w:tcPr>
            <w:tcW w:w="1253" w:type="dxa"/>
            <w:tcBorders>
              <w:top w:val="single" w:sz="4" w:space="0" w:color="auto"/>
            </w:tcBorders>
            <w:vAlign w:val="center"/>
          </w:tcPr>
          <w:p w14:paraId="32FFD716" w14:textId="77777777" w:rsidR="00145DCE" w:rsidRPr="007948C3" w:rsidRDefault="00145DCE" w:rsidP="00A178B7">
            <w:pPr>
              <w:spacing w:after="120"/>
              <w:jc w:val="center"/>
              <w:rPr>
                <w:rFonts w:ascii="Helvetica" w:hAnsi="Helvetica"/>
                <w:b/>
                <w:bCs/>
                <w:sz w:val="20"/>
                <w:szCs w:val="20"/>
              </w:rPr>
            </w:pPr>
            <w:proofErr w:type="spellStart"/>
            <w:r>
              <w:rPr>
                <w:rFonts w:ascii="Helvetica" w:hAnsi="Helvetica"/>
                <w:b/>
                <w:bCs/>
                <w:sz w:val="20"/>
                <w:szCs w:val="20"/>
              </w:rPr>
              <w:t>pFDR</w:t>
            </w:r>
            <w:proofErr w:type="spellEnd"/>
          </w:p>
        </w:tc>
      </w:tr>
      <w:tr w:rsidR="00145DCE" w14:paraId="33842006" w14:textId="77777777" w:rsidTr="009B568A">
        <w:tc>
          <w:tcPr>
            <w:tcW w:w="2244" w:type="dxa"/>
            <w:vAlign w:val="center"/>
          </w:tcPr>
          <w:p w14:paraId="279C65A9" w14:textId="4DF86083" w:rsidR="00145DCE" w:rsidRPr="009B568A" w:rsidRDefault="00145DCE" w:rsidP="00A178B7">
            <w:pPr>
              <w:spacing w:after="120"/>
              <w:jc w:val="center"/>
              <w:rPr>
                <w:rFonts w:ascii="Helvetica" w:hAnsi="Helvetica"/>
                <w:sz w:val="18"/>
                <w:szCs w:val="18"/>
              </w:rPr>
            </w:pPr>
            <w:r w:rsidRPr="009B568A">
              <w:rPr>
                <w:rFonts w:ascii="Helvetica" w:hAnsi="Helvetica"/>
                <w:sz w:val="18"/>
                <w:szCs w:val="18"/>
              </w:rPr>
              <w:t>Shifting - Locked</w:t>
            </w:r>
          </w:p>
        </w:tc>
        <w:tc>
          <w:tcPr>
            <w:tcW w:w="1195" w:type="dxa"/>
            <w:vAlign w:val="center"/>
          </w:tcPr>
          <w:p w14:paraId="35F4D372" w14:textId="175EA12A"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0.002343</w:t>
            </w:r>
          </w:p>
        </w:tc>
        <w:tc>
          <w:tcPr>
            <w:tcW w:w="1146" w:type="dxa"/>
            <w:vAlign w:val="center"/>
          </w:tcPr>
          <w:p w14:paraId="0C608818" w14:textId="2AF10FF9"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0.000552</w:t>
            </w:r>
          </w:p>
        </w:tc>
        <w:tc>
          <w:tcPr>
            <w:tcW w:w="2266" w:type="dxa"/>
            <w:vAlign w:val="center"/>
          </w:tcPr>
          <w:p w14:paraId="6E51C5BA" w14:textId="170D6456"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[0.001049, 0.003637]</w:t>
            </w:r>
          </w:p>
        </w:tc>
        <w:tc>
          <w:tcPr>
            <w:tcW w:w="1246" w:type="dxa"/>
            <w:vAlign w:val="center"/>
          </w:tcPr>
          <w:p w14:paraId="521B5593" w14:textId="61EE1E3E"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6.56 × 10</w:t>
            </w:r>
            <w:r w:rsidRPr="009B568A">
              <w:rPr>
                <w:rFonts w:ascii="Cambria Math" w:hAnsi="Cambria Math" w:cs="Cambria Math"/>
                <w:sz w:val="18"/>
                <w:szCs w:val="18"/>
              </w:rPr>
              <w:t>⁻</w:t>
            </w:r>
            <w:r w:rsidRPr="009B568A">
              <w:rPr>
                <w:rFonts w:ascii="Cambria Math" w:hAnsi="Cambria Math"/>
                <w:sz w:val="18"/>
                <w:szCs w:val="18"/>
              </w:rPr>
              <w:t>⁵</w:t>
            </w:r>
          </w:p>
        </w:tc>
        <w:tc>
          <w:tcPr>
            <w:tcW w:w="1253" w:type="dxa"/>
            <w:vAlign w:val="center"/>
          </w:tcPr>
          <w:p w14:paraId="7DAEBC8B" w14:textId="6D022FDC" w:rsidR="00145DCE" w:rsidRPr="009B568A" w:rsidRDefault="0009643A" w:rsidP="00A178B7">
            <w:pPr>
              <w:spacing w:after="120"/>
              <w:jc w:val="center"/>
              <w:rPr>
                <w:rFonts w:ascii="Cambria Math" w:hAnsi="Cambria Math"/>
                <w:sz w:val="18"/>
                <w:szCs w:val="18"/>
              </w:rPr>
            </w:pPr>
            <m:oMathPara>
              <m:oMath>
                <m:r>
                  <w:rPr>
                    <w:rFonts w:ascii="Cambria Math" w:hAnsi="Cambria Math" w:cs="Cambria Math"/>
                    <w:sz w:val="18"/>
                    <w:szCs w:val="18"/>
                  </w:rPr>
                  <m:t>1.97</m:t>
                </m:r>
                <m:r>
                  <m:rPr>
                    <m:sty m:val="p"/>
                  </m:rPr>
                  <w:rPr>
                    <w:rFonts w:ascii="Cambria Math" w:hAnsi="Cambria Math"/>
                    <w:sz w:val="18"/>
                    <w:szCs w:val="18"/>
                  </w:rPr>
                  <m:t>×</m:t>
                </m:r>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-4</m:t>
                    </m:r>
                  </m:sup>
                </m:sSup>
              </m:oMath>
            </m:oMathPara>
          </w:p>
        </w:tc>
      </w:tr>
      <w:tr w:rsidR="00145DCE" w14:paraId="3AD104C8" w14:textId="77777777" w:rsidTr="00B3180D">
        <w:tc>
          <w:tcPr>
            <w:tcW w:w="2244" w:type="dxa"/>
            <w:vAlign w:val="center"/>
          </w:tcPr>
          <w:p w14:paraId="6ECD65DC" w14:textId="517A49F1" w:rsidR="00145DCE" w:rsidRPr="009B568A" w:rsidRDefault="00145DCE" w:rsidP="00A178B7">
            <w:pPr>
              <w:spacing w:after="120"/>
              <w:jc w:val="center"/>
              <w:rPr>
                <w:rFonts w:ascii="Helvetica" w:hAnsi="Helvetica"/>
                <w:sz w:val="18"/>
                <w:szCs w:val="18"/>
              </w:rPr>
            </w:pPr>
            <w:r w:rsidRPr="009B568A">
              <w:rPr>
                <w:rFonts w:ascii="Helvetica" w:hAnsi="Helvetica"/>
                <w:sz w:val="18"/>
                <w:szCs w:val="18"/>
              </w:rPr>
              <w:t>Shifting - Stabilizing</w:t>
            </w:r>
          </w:p>
        </w:tc>
        <w:tc>
          <w:tcPr>
            <w:tcW w:w="1195" w:type="dxa"/>
            <w:tcBorders>
              <w:bottom w:val="single" w:sz="4" w:space="0" w:color="auto"/>
            </w:tcBorders>
            <w:vAlign w:val="center"/>
          </w:tcPr>
          <w:p w14:paraId="58C9A766" w14:textId="7A3F3485"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0.001025</w:t>
            </w:r>
          </w:p>
        </w:tc>
        <w:tc>
          <w:tcPr>
            <w:tcW w:w="1146" w:type="dxa"/>
            <w:tcBorders>
              <w:bottom w:val="single" w:sz="4" w:space="0" w:color="auto"/>
            </w:tcBorders>
            <w:vAlign w:val="center"/>
          </w:tcPr>
          <w:p w14:paraId="4B27E545" w14:textId="4B8A2EBC"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0.000326</w:t>
            </w:r>
          </w:p>
        </w:tc>
        <w:tc>
          <w:tcPr>
            <w:tcW w:w="2266" w:type="dxa"/>
            <w:tcBorders>
              <w:bottom w:val="single" w:sz="4" w:space="0" w:color="auto"/>
            </w:tcBorders>
            <w:vAlign w:val="center"/>
          </w:tcPr>
          <w:p w14:paraId="54937383" w14:textId="4B4E11E6"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[0.000260, 0.001790]</w:t>
            </w:r>
          </w:p>
        </w:tc>
        <w:tc>
          <w:tcPr>
            <w:tcW w:w="1246" w:type="dxa"/>
            <w:vAlign w:val="center"/>
          </w:tcPr>
          <w:p w14:paraId="37C35490" w14:textId="2FB44ABF"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4.79 × 10</w:t>
            </w:r>
            <w:r w:rsidRPr="009B568A">
              <w:rPr>
                <w:rFonts w:ascii="Cambria Math" w:hAnsi="Cambria Math" w:cs="Cambria Math"/>
                <w:sz w:val="18"/>
                <w:szCs w:val="18"/>
              </w:rPr>
              <w:t>⁻</w:t>
            </w:r>
            <w:r w:rsidRPr="009B568A">
              <w:rPr>
                <w:rFonts w:ascii="Cambria Math" w:hAnsi="Cambria Math"/>
                <w:sz w:val="18"/>
                <w:szCs w:val="18"/>
              </w:rPr>
              <w:t>³</w:t>
            </w:r>
          </w:p>
        </w:tc>
        <w:tc>
          <w:tcPr>
            <w:tcW w:w="1253" w:type="dxa"/>
            <w:vAlign w:val="center"/>
          </w:tcPr>
          <w:p w14:paraId="5B8FE856" w14:textId="2E701B1E" w:rsidR="00145DCE" w:rsidRPr="009B568A" w:rsidRDefault="0009643A" w:rsidP="00A178B7">
            <w:pPr>
              <w:spacing w:after="120"/>
              <w:jc w:val="center"/>
              <w:rPr>
                <w:rFonts w:ascii="Cambria Math" w:hAnsi="Cambria Math"/>
                <w:sz w:val="18"/>
                <w:szCs w:val="18"/>
              </w:rPr>
            </w:pPr>
            <m:oMathPara>
              <m:oMath>
                <m:r>
                  <w:rPr>
                    <w:rFonts w:ascii="Cambria Math" w:hAnsi="Cambria Math"/>
                    <w:sz w:val="18"/>
                    <w:szCs w:val="18"/>
                  </w:rPr>
                  <m:t xml:space="preserve">7.2 × </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oMath>
            </m:oMathPara>
          </w:p>
        </w:tc>
      </w:tr>
      <w:tr w:rsidR="00145DCE" w14:paraId="6F8936CD" w14:textId="77777777" w:rsidTr="00B3180D">
        <w:tc>
          <w:tcPr>
            <w:tcW w:w="2244" w:type="dxa"/>
            <w:tcBorders>
              <w:bottom w:val="single" w:sz="4" w:space="0" w:color="auto"/>
            </w:tcBorders>
            <w:vAlign w:val="center"/>
          </w:tcPr>
          <w:p w14:paraId="7FB148D1" w14:textId="4C9B615A" w:rsidR="00145DCE" w:rsidRPr="009B568A" w:rsidRDefault="00145DCE" w:rsidP="00A178B7">
            <w:pPr>
              <w:spacing w:after="120"/>
              <w:jc w:val="center"/>
              <w:rPr>
                <w:rFonts w:ascii="Helvetica" w:hAnsi="Helvetica"/>
                <w:sz w:val="18"/>
                <w:szCs w:val="18"/>
              </w:rPr>
            </w:pPr>
            <w:r w:rsidRPr="009B568A">
              <w:rPr>
                <w:rFonts w:ascii="Helvetica" w:hAnsi="Helvetica"/>
                <w:sz w:val="18"/>
                <w:szCs w:val="18"/>
              </w:rPr>
              <w:t>Stabilizing - Shifting</w:t>
            </w:r>
          </w:p>
        </w:tc>
        <w:tc>
          <w:tcPr>
            <w:tcW w:w="1195" w:type="dxa"/>
            <w:tcBorders>
              <w:bottom w:val="single" w:sz="4" w:space="0" w:color="auto"/>
            </w:tcBorders>
            <w:vAlign w:val="center"/>
          </w:tcPr>
          <w:p w14:paraId="4F4363CD" w14:textId="3668933E" w:rsidR="00145DCE" w:rsidRPr="009B568A" w:rsidRDefault="0009643A" w:rsidP="00A178B7">
            <w:pPr>
              <w:spacing w:after="120"/>
              <w:jc w:val="center"/>
              <w:rPr>
                <w:rFonts w:ascii="Cambria Math" w:hAnsi="Cambria Math"/>
                <w:sz w:val="18"/>
                <w:szCs w:val="18"/>
              </w:rPr>
            </w:pPr>
            <m:oMathPara>
              <m:oMath>
                <m:r>
                  <w:rPr>
                    <w:rFonts w:ascii="Cambria Math" w:hAnsi="Cambria Math"/>
                    <w:sz w:val="18"/>
                    <w:szCs w:val="18"/>
                  </w:rPr>
                  <m:t>0.001318</m:t>
                </m:r>
              </m:oMath>
            </m:oMathPara>
          </w:p>
        </w:tc>
        <w:tc>
          <w:tcPr>
            <w:tcW w:w="1146" w:type="dxa"/>
            <w:tcBorders>
              <w:bottom w:val="single" w:sz="4" w:space="0" w:color="auto"/>
            </w:tcBorders>
            <w:vAlign w:val="center"/>
          </w:tcPr>
          <w:p w14:paraId="67587C46" w14:textId="3653F362"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0.000563</w:t>
            </w:r>
          </w:p>
        </w:tc>
        <w:tc>
          <w:tcPr>
            <w:tcW w:w="2266" w:type="dxa"/>
            <w:tcBorders>
              <w:bottom w:val="single" w:sz="4" w:space="0" w:color="auto"/>
            </w:tcBorders>
            <w:vAlign w:val="center"/>
          </w:tcPr>
          <w:p w14:paraId="48A46A3D" w14:textId="2F3DCAF7"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[−1.07 × 10</w:t>
            </w:r>
            <w:r w:rsidRPr="009B568A">
              <w:rPr>
                <w:rFonts w:ascii="Cambria Math" w:hAnsi="Cambria Math" w:cs="Cambria Math"/>
                <w:sz w:val="18"/>
                <w:szCs w:val="18"/>
              </w:rPr>
              <w:t>⁻</w:t>
            </w:r>
            <w:r w:rsidRPr="009B568A">
              <w:rPr>
                <w:rFonts w:ascii="Cambria Math" w:hAnsi="Cambria Math"/>
                <w:sz w:val="18"/>
                <w:szCs w:val="18"/>
              </w:rPr>
              <w:t>⁶, 0.002637]</w:t>
            </w:r>
          </w:p>
        </w:tc>
        <w:tc>
          <w:tcPr>
            <w:tcW w:w="1246" w:type="dxa"/>
            <w:tcBorders>
              <w:bottom w:val="single" w:sz="4" w:space="0" w:color="auto"/>
            </w:tcBorders>
            <w:vAlign w:val="center"/>
          </w:tcPr>
          <w:p w14:paraId="668C73B5" w14:textId="3D352F26" w:rsidR="00145DCE" w:rsidRPr="009B568A" w:rsidRDefault="00F76BB9" w:rsidP="00A178B7">
            <w:pPr>
              <w:spacing w:after="120"/>
              <w:jc w:val="center"/>
              <w:rPr>
                <w:rFonts w:ascii="Cambria Math" w:hAnsi="Cambria Math"/>
                <w:sz w:val="18"/>
                <w:szCs w:val="18"/>
              </w:rPr>
            </w:pPr>
            <w:r w:rsidRPr="009B568A">
              <w:rPr>
                <w:rFonts w:ascii="Cambria Math" w:hAnsi="Cambria Math"/>
                <w:sz w:val="18"/>
                <w:szCs w:val="18"/>
              </w:rPr>
              <w:t>5.02 × 10</w:t>
            </w:r>
            <w:r w:rsidRPr="009B568A">
              <w:rPr>
                <w:rFonts w:ascii="Cambria Math" w:hAnsi="Cambria Math" w:cs="Cambria Math"/>
                <w:sz w:val="18"/>
                <w:szCs w:val="18"/>
              </w:rPr>
              <w:t>⁻</w:t>
            </w:r>
            <w:r w:rsidRPr="009B568A">
              <w:rPr>
                <w:rFonts w:ascii="Cambria Math" w:hAnsi="Cambria Math"/>
                <w:sz w:val="18"/>
                <w:szCs w:val="18"/>
              </w:rPr>
              <w:t>²</w:t>
            </w:r>
          </w:p>
        </w:tc>
        <w:tc>
          <w:tcPr>
            <w:tcW w:w="1253" w:type="dxa"/>
            <w:tcBorders>
              <w:bottom w:val="single" w:sz="4" w:space="0" w:color="auto"/>
            </w:tcBorders>
            <w:vAlign w:val="center"/>
          </w:tcPr>
          <w:p w14:paraId="353FE6E2" w14:textId="1D252F20" w:rsidR="00145DCE" w:rsidRPr="009B568A" w:rsidRDefault="0009643A" w:rsidP="00A178B7">
            <w:pPr>
              <w:spacing w:after="120"/>
              <w:jc w:val="center"/>
              <w:rPr>
                <w:rFonts w:ascii="Cambria Math" w:hAnsi="Cambria Math"/>
                <w:sz w:val="18"/>
                <w:szCs w:val="18"/>
              </w:rPr>
            </w:pPr>
            <m:oMathPara>
              <m:oMath>
                <m:r>
                  <w:rPr>
                    <w:rFonts w:ascii="Cambria Math" w:hAnsi="Cambria Math"/>
                    <w:sz w:val="18"/>
                    <w:szCs w:val="18"/>
                  </w:rPr>
                  <m:t xml:space="preserve">6.02 × </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oMath>
            </m:oMathPara>
          </w:p>
        </w:tc>
      </w:tr>
      <w:tr w:rsidR="00983664" w14:paraId="6E0DAD10" w14:textId="77777777" w:rsidTr="00B3180D">
        <w:tc>
          <w:tcPr>
            <w:tcW w:w="2244" w:type="dxa"/>
            <w:tcBorders>
              <w:right w:val="single" w:sz="4" w:space="0" w:color="auto"/>
            </w:tcBorders>
            <w:vAlign w:val="center"/>
          </w:tcPr>
          <w:p w14:paraId="04E4F3EE" w14:textId="175A5A05" w:rsidR="00983664" w:rsidRPr="00213F7F" w:rsidRDefault="00983664" w:rsidP="00983664">
            <w:pPr>
              <w:spacing w:after="120"/>
              <w:jc w:val="center"/>
              <w:rPr>
                <w:rFonts w:ascii="Helvetica" w:hAnsi="Helvetica"/>
                <w:b/>
                <w:bCs/>
                <w:sz w:val="22"/>
                <w:szCs w:val="22"/>
              </w:rPr>
            </w:pPr>
            <w:r w:rsidRPr="00213F7F">
              <w:rPr>
                <w:rFonts w:ascii="Helvetica" w:hAnsi="Helvetica"/>
                <w:b/>
                <w:bCs/>
                <w:sz w:val="22"/>
                <w:szCs w:val="22"/>
              </w:rPr>
              <w:t>Controls</w:t>
            </w:r>
          </w:p>
        </w:tc>
        <w:tc>
          <w:tcPr>
            <w:tcW w:w="1195" w:type="dxa"/>
            <w:tcBorders>
              <w:top w:val="single" w:sz="4" w:space="0" w:color="auto"/>
              <w:left w:val="single" w:sz="4" w:space="0" w:color="auto"/>
              <w:bottom w:val="single" w:sz="4" w:space="0" w:color="auto"/>
              <w:right w:val="nil"/>
            </w:tcBorders>
            <w:vAlign w:val="center"/>
          </w:tcPr>
          <w:p w14:paraId="5E6EA370" w14:textId="77777777" w:rsidR="00983664" w:rsidRPr="009B568A" w:rsidRDefault="00983664" w:rsidP="00A178B7">
            <w:pPr>
              <w:spacing w:after="120"/>
              <w:jc w:val="center"/>
              <w:rPr>
                <w:rFonts w:ascii="Helvetica" w:eastAsia="Aptos" w:hAnsi="Helvetica" w:cs="Times New Roman"/>
                <w:sz w:val="18"/>
                <w:szCs w:val="18"/>
              </w:rPr>
            </w:pPr>
          </w:p>
        </w:tc>
        <w:tc>
          <w:tcPr>
            <w:tcW w:w="1146" w:type="dxa"/>
            <w:tcBorders>
              <w:top w:val="single" w:sz="4" w:space="0" w:color="auto"/>
              <w:left w:val="nil"/>
              <w:bottom w:val="single" w:sz="4" w:space="0" w:color="auto"/>
              <w:right w:val="nil"/>
            </w:tcBorders>
            <w:vAlign w:val="center"/>
          </w:tcPr>
          <w:p w14:paraId="5580DF72" w14:textId="77777777" w:rsidR="00983664" w:rsidRPr="009B568A" w:rsidRDefault="00983664" w:rsidP="00A178B7">
            <w:pPr>
              <w:spacing w:after="120"/>
              <w:jc w:val="center"/>
              <w:rPr>
                <w:rFonts w:ascii="Cambria Math" w:hAnsi="Cambria Math"/>
                <w:sz w:val="18"/>
                <w:szCs w:val="18"/>
              </w:rPr>
            </w:pPr>
          </w:p>
        </w:tc>
        <w:tc>
          <w:tcPr>
            <w:tcW w:w="2266" w:type="dxa"/>
            <w:tcBorders>
              <w:top w:val="single" w:sz="4" w:space="0" w:color="auto"/>
              <w:left w:val="nil"/>
              <w:bottom w:val="single" w:sz="4" w:space="0" w:color="auto"/>
              <w:right w:val="nil"/>
            </w:tcBorders>
            <w:vAlign w:val="center"/>
          </w:tcPr>
          <w:p w14:paraId="4C08F77F" w14:textId="77777777" w:rsidR="00983664" w:rsidRPr="009B568A" w:rsidRDefault="00983664" w:rsidP="00A178B7">
            <w:pPr>
              <w:spacing w:after="120"/>
              <w:jc w:val="center"/>
              <w:rPr>
                <w:rFonts w:ascii="Cambria Math" w:hAnsi="Cambria Math"/>
                <w:sz w:val="18"/>
                <w:szCs w:val="18"/>
              </w:rPr>
            </w:pPr>
          </w:p>
        </w:tc>
        <w:tc>
          <w:tcPr>
            <w:tcW w:w="1246" w:type="dxa"/>
            <w:tcBorders>
              <w:left w:val="nil"/>
              <w:bottom w:val="single" w:sz="4" w:space="0" w:color="auto"/>
              <w:right w:val="nil"/>
            </w:tcBorders>
            <w:vAlign w:val="center"/>
          </w:tcPr>
          <w:p w14:paraId="0F0BB03C" w14:textId="77777777" w:rsidR="00983664" w:rsidRPr="009B568A" w:rsidRDefault="00983664" w:rsidP="00A178B7">
            <w:pPr>
              <w:spacing w:after="120"/>
              <w:jc w:val="center"/>
              <w:rPr>
                <w:rFonts w:ascii="Cambria Math" w:hAnsi="Cambria Math"/>
                <w:sz w:val="18"/>
                <w:szCs w:val="18"/>
              </w:rPr>
            </w:pPr>
          </w:p>
        </w:tc>
        <w:tc>
          <w:tcPr>
            <w:tcW w:w="1253" w:type="dxa"/>
            <w:tcBorders>
              <w:left w:val="nil"/>
              <w:right w:val="nil"/>
            </w:tcBorders>
            <w:vAlign w:val="center"/>
          </w:tcPr>
          <w:p w14:paraId="4E74B341" w14:textId="77777777" w:rsidR="00983664" w:rsidRPr="009B568A" w:rsidRDefault="00983664" w:rsidP="00A178B7">
            <w:pPr>
              <w:spacing w:after="120"/>
              <w:jc w:val="center"/>
              <w:rPr>
                <w:rFonts w:ascii="Cambria Math" w:eastAsia="Aptos" w:hAnsi="Cambria Math" w:cs="Times New Roman"/>
                <w:sz w:val="18"/>
                <w:szCs w:val="18"/>
              </w:rPr>
            </w:pPr>
          </w:p>
        </w:tc>
      </w:tr>
      <w:tr w:rsidR="00983664" w14:paraId="584AF3D5" w14:textId="77777777" w:rsidTr="00B3180D">
        <w:tc>
          <w:tcPr>
            <w:tcW w:w="2244" w:type="dxa"/>
            <w:vAlign w:val="center"/>
          </w:tcPr>
          <w:p w14:paraId="1DB52099" w14:textId="061E1B06" w:rsidR="00983664" w:rsidRPr="009B568A" w:rsidRDefault="00983664" w:rsidP="00983664">
            <w:pPr>
              <w:spacing w:after="120"/>
              <w:jc w:val="center"/>
              <w:rPr>
                <w:rFonts w:ascii="Helvetica" w:hAnsi="Helvetica"/>
                <w:sz w:val="18"/>
                <w:szCs w:val="18"/>
              </w:rPr>
            </w:pPr>
            <w:r w:rsidRPr="007948C3">
              <w:rPr>
                <w:rFonts w:ascii="Helvetica" w:hAnsi="Helvetica"/>
                <w:b/>
                <w:bCs/>
                <w:sz w:val="20"/>
                <w:szCs w:val="20"/>
              </w:rPr>
              <w:t>Regime</w:t>
            </w:r>
            <w:r>
              <w:rPr>
                <w:rFonts w:ascii="Helvetica" w:hAnsi="Helvetica"/>
                <w:b/>
                <w:bCs/>
                <w:sz w:val="20"/>
                <w:szCs w:val="20"/>
              </w:rPr>
              <w:t xml:space="preserve"> Comparison</w:t>
            </w:r>
          </w:p>
        </w:tc>
        <w:tc>
          <w:tcPr>
            <w:tcW w:w="1195" w:type="dxa"/>
            <w:tcBorders>
              <w:top w:val="single" w:sz="4" w:space="0" w:color="auto"/>
            </w:tcBorders>
            <w:vAlign w:val="center"/>
          </w:tcPr>
          <w:p w14:paraId="48B042B5" w14:textId="4BFF6296" w:rsidR="00983664" w:rsidRPr="009B568A" w:rsidRDefault="00983664" w:rsidP="00983664">
            <w:pPr>
              <w:spacing w:after="120"/>
              <w:jc w:val="center"/>
              <w:rPr>
                <w:rFonts w:ascii="Helvetica" w:eastAsia="Aptos" w:hAnsi="Helvetica" w:cs="Times New Roman"/>
                <w:sz w:val="18"/>
                <w:szCs w:val="18"/>
              </w:rPr>
            </w:pPr>
            <w:r>
              <w:rPr>
                <w:rFonts w:ascii="Helvetica" w:hAnsi="Helvetica"/>
                <w:b/>
                <w:bCs/>
                <w:sz w:val="20"/>
                <w:szCs w:val="20"/>
              </w:rPr>
              <w:t>Difference</w:t>
            </w:r>
          </w:p>
        </w:tc>
        <w:tc>
          <w:tcPr>
            <w:tcW w:w="1146" w:type="dxa"/>
            <w:tcBorders>
              <w:top w:val="single" w:sz="4" w:space="0" w:color="auto"/>
            </w:tcBorders>
            <w:vAlign w:val="center"/>
          </w:tcPr>
          <w:p w14:paraId="2CFBEB47" w14:textId="1F75F12E" w:rsidR="00983664" w:rsidRPr="009B568A" w:rsidRDefault="00983664" w:rsidP="00983664">
            <w:pPr>
              <w:spacing w:after="120"/>
              <w:jc w:val="center"/>
              <w:rPr>
                <w:rFonts w:ascii="Cambria Math" w:hAnsi="Cambria Math"/>
                <w:sz w:val="18"/>
                <w:szCs w:val="18"/>
              </w:rPr>
            </w:pPr>
            <w:r>
              <w:rPr>
                <w:rFonts w:ascii="Helvetica" w:hAnsi="Helvetica"/>
                <w:b/>
                <w:bCs/>
                <w:sz w:val="20"/>
                <w:szCs w:val="20"/>
              </w:rPr>
              <w:t>Std. Error</w:t>
            </w:r>
          </w:p>
        </w:tc>
        <w:tc>
          <w:tcPr>
            <w:tcW w:w="2266" w:type="dxa"/>
            <w:tcBorders>
              <w:top w:val="single" w:sz="4" w:space="0" w:color="auto"/>
            </w:tcBorders>
            <w:vAlign w:val="center"/>
          </w:tcPr>
          <w:p w14:paraId="577DCE3F" w14:textId="0AB23FA4" w:rsidR="00983664" w:rsidRPr="009B568A" w:rsidRDefault="00983664" w:rsidP="00983664">
            <w:pPr>
              <w:spacing w:after="120"/>
              <w:jc w:val="center"/>
              <w:rPr>
                <w:rFonts w:ascii="Cambria Math" w:hAnsi="Cambria Math"/>
                <w:sz w:val="18"/>
                <w:szCs w:val="18"/>
              </w:rPr>
            </w:pPr>
            <w:r>
              <w:rPr>
                <w:rFonts w:ascii="Helvetica" w:hAnsi="Helvetica"/>
                <w:b/>
                <w:bCs/>
                <w:sz w:val="20"/>
                <w:szCs w:val="20"/>
              </w:rPr>
              <w:t>95% CI</w:t>
            </w:r>
          </w:p>
        </w:tc>
        <w:tc>
          <w:tcPr>
            <w:tcW w:w="1246" w:type="dxa"/>
            <w:tcBorders>
              <w:top w:val="single" w:sz="4" w:space="0" w:color="auto"/>
            </w:tcBorders>
            <w:vAlign w:val="center"/>
          </w:tcPr>
          <w:p w14:paraId="105E1D5B" w14:textId="73402674" w:rsidR="00983664" w:rsidRPr="009B568A" w:rsidRDefault="00983664" w:rsidP="00983664">
            <w:pPr>
              <w:spacing w:after="120"/>
              <w:jc w:val="center"/>
              <w:rPr>
                <w:rFonts w:ascii="Cambria Math" w:hAnsi="Cambria Math"/>
                <w:sz w:val="18"/>
                <w:szCs w:val="18"/>
              </w:rPr>
            </w:pPr>
            <w:r>
              <w:rPr>
                <w:rFonts w:ascii="Helvetica" w:hAnsi="Helvetica"/>
                <w:b/>
                <w:bCs/>
                <w:sz w:val="20"/>
                <w:szCs w:val="20"/>
              </w:rPr>
              <w:t>p-value</w:t>
            </w:r>
          </w:p>
        </w:tc>
        <w:tc>
          <w:tcPr>
            <w:tcW w:w="1253" w:type="dxa"/>
            <w:vAlign w:val="center"/>
          </w:tcPr>
          <w:p w14:paraId="0598F711" w14:textId="7F1032F6" w:rsidR="00983664" w:rsidRPr="009B568A" w:rsidRDefault="00983664" w:rsidP="00983664">
            <w:pPr>
              <w:spacing w:after="120"/>
              <w:jc w:val="center"/>
              <w:rPr>
                <w:rFonts w:ascii="Cambria Math" w:eastAsia="Aptos" w:hAnsi="Cambria Math" w:cs="Times New Roman"/>
                <w:sz w:val="18"/>
                <w:szCs w:val="18"/>
              </w:rPr>
            </w:pPr>
            <w:proofErr w:type="spellStart"/>
            <w:r>
              <w:rPr>
                <w:rFonts w:ascii="Helvetica" w:hAnsi="Helvetica"/>
                <w:b/>
                <w:bCs/>
                <w:sz w:val="20"/>
                <w:szCs w:val="20"/>
              </w:rPr>
              <w:t>pFDR</w:t>
            </w:r>
            <w:proofErr w:type="spellEnd"/>
          </w:p>
        </w:tc>
      </w:tr>
      <w:tr w:rsidR="00983664" w14:paraId="1F5DCE1B" w14:textId="77777777" w:rsidTr="009B568A">
        <w:tc>
          <w:tcPr>
            <w:tcW w:w="2244" w:type="dxa"/>
            <w:vAlign w:val="center"/>
          </w:tcPr>
          <w:p w14:paraId="4E79161C" w14:textId="72403D4D" w:rsidR="00983664" w:rsidRPr="009B568A" w:rsidRDefault="00983664" w:rsidP="00983664">
            <w:pPr>
              <w:spacing w:after="120"/>
              <w:jc w:val="center"/>
              <w:rPr>
                <w:rFonts w:ascii="Helvetica" w:hAnsi="Helvetica"/>
                <w:sz w:val="18"/>
                <w:szCs w:val="18"/>
              </w:rPr>
            </w:pPr>
            <w:r w:rsidRPr="009B568A">
              <w:rPr>
                <w:rFonts w:ascii="Helvetica" w:hAnsi="Helvetica"/>
                <w:sz w:val="18"/>
                <w:szCs w:val="18"/>
              </w:rPr>
              <w:t>Shifting - Locked</w:t>
            </w:r>
          </w:p>
        </w:tc>
        <w:tc>
          <w:tcPr>
            <w:tcW w:w="1195" w:type="dxa"/>
            <w:vAlign w:val="center"/>
          </w:tcPr>
          <w:p w14:paraId="165200F3" w14:textId="257CB2BA" w:rsidR="00983664" w:rsidRPr="009B568A" w:rsidRDefault="00983664" w:rsidP="00983664">
            <w:pPr>
              <w:spacing w:after="120"/>
              <w:jc w:val="center"/>
              <w:rPr>
                <w:rFonts w:ascii="Helvetica" w:eastAsia="Aptos" w:hAnsi="Helvetica" w:cs="Times New Roman"/>
                <w:sz w:val="18"/>
                <w:szCs w:val="18"/>
              </w:rPr>
            </w:pPr>
            <m:oMathPara>
              <m:oMath>
                <m:r>
                  <w:rPr>
                    <w:rFonts w:ascii="Cambria Math" w:hAnsi="Cambria Math"/>
                    <w:sz w:val="18"/>
                    <w:szCs w:val="18"/>
                  </w:rPr>
                  <m:t>0.001600</m:t>
                </m:r>
              </m:oMath>
            </m:oMathPara>
          </w:p>
        </w:tc>
        <w:tc>
          <w:tcPr>
            <w:tcW w:w="1146" w:type="dxa"/>
            <w:vAlign w:val="center"/>
          </w:tcPr>
          <w:p w14:paraId="62FB1669" w14:textId="3BE157DF"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0.000491</m:t>
                </m:r>
              </m:oMath>
            </m:oMathPara>
          </w:p>
        </w:tc>
        <w:tc>
          <w:tcPr>
            <w:tcW w:w="2266" w:type="dxa"/>
            <w:vAlign w:val="center"/>
          </w:tcPr>
          <w:p w14:paraId="55979375" w14:textId="4EF4D8BB"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[0.000449, 0.002751]</m:t>
                </m:r>
              </m:oMath>
            </m:oMathPara>
          </w:p>
        </w:tc>
        <w:tc>
          <w:tcPr>
            <w:tcW w:w="1246" w:type="dxa"/>
            <w:vAlign w:val="center"/>
          </w:tcPr>
          <w:p w14:paraId="3300DD20" w14:textId="222B6C28"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3.23 × 10</m:t>
                </m:r>
                <m:r>
                  <w:rPr>
                    <w:rFonts w:ascii="Cambria Math" w:hAnsi="Cambria Math" w:cs="Cambria Math"/>
                    <w:sz w:val="18"/>
                    <w:szCs w:val="18"/>
                  </w:rPr>
                  <m:t>⁻</m:t>
                </m:r>
                <m:r>
                  <w:rPr>
                    <w:rFonts w:ascii="Cambria Math" w:hAnsi="Cambria Math"/>
                    <w:sz w:val="18"/>
                    <w:szCs w:val="18"/>
                  </w:rPr>
                  <m:t>³</m:t>
                </m:r>
              </m:oMath>
            </m:oMathPara>
          </w:p>
        </w:tc>
        <w:tc>
          <w:tcPr>
            <w:tcW w:w="1253" w:type="dxa"/>
            <w:vAlign w:val="center"/>
          </w:tcPr>
          <w:p w14:paraId="432FE480" w14:textId="76E0F56C" w:rsidR="00983664" w:rsidRPr="009B568A" w:rsidRDefault="00983664" w:rsidP="00983664">
            <w:pPr>
              <w:spacing w:after="120"/>
              <w:jc w:val="center"/>
              <w:rPr>
                <w:rFonts w:ascii="Cambria Math" w:eastAsia="Aptos" w:hAnsi="Cambria Math" w:cs="Times New Roman"/>
                <w:sz w:val="18"/>
                <w:szCs w:val="18"/>
              </w:rPr>
            </w:pPr>
            <m:oMathPara>
              <m:oMath>
                <m:r>
                  <w:rPr>
                    <w:rFonts w:ascii="Cambria Math" w:hAnsi="Cambria Math"/>
                    <w:sz w:val="18"/>
                    <w:szCs w:val="18"/>
                  </w:rPr>
                  <m:t>6.5×</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oMath>
            </m:oMathPara>
          </w:p>
        </w:tc>
      </w:tr>
      <w:tr w:rsidR="00983664" w14:paraId="06ACA55E" w14:textId="77777777" w:rsidTr="009B568A">
        <w:tc>
          <w:tcPr>
            <w:tcW w:w="2244" w:type="dxa"/>
            <w:vAlign w:val="center"/>
          </w:tcPr>
          <w:p w14:paraId="6CB89FD9" w14:textId="2F342799" w:rsidR="00983664" w:rsidRPr="009B568A" w:rsidRDefault="00983664" w:rsidP="00983664">
            <w:pPr>
              <w:spacing w:after="120"/>
              <w:jc w:val="center"/>
              <w:rPr>
                <w:rFonts w:ascii="Helvetica" w:hAnsi="Helvetica"/>
                <w:sz w:val="18"/>
                <w:szCs w:val="18"/>
              </w:rPr>
            </w:pPr>
            <w:r w:rsidRPr="009B568A">
              <w:rPr>
                <w:rFonts w:ascii="Helvetica" w:hAnsi="Helvetica"/>
                <w:sz w:val="18"/>
                <w:szCs w:val="18"/>
              </w:rPr>
              <w:t>Shifting - Stabilizing</w:t>
            </w:r>
          </w:p>
        </w:tc>
        <w:tc>
          <w:tcPr>
            <w:tcW w:w="1195" w:type="dxa"/>
            <w:vAlign w:val="center"/>
          </w:tcPr>
          <w:p w14:paraId="01D930F6" w14:textId="7EDFD9B1" w:rsidR="00983664" w:rsidRPr="009B568A" w:rsidRDefault="00983664" w:rsidP="00983664">
            <w:pPr>
              <w:spacing w:after="120"/>
              <w:jc w:val="center"/>
              <w:rPr>
                <w:rFonts w:ascii="Helvetica" w:eastAsia="Aptos" w:hAnsi="Helvetica" w:cs="Times New Roman"/>
                <w:sz w:val="18"/>
                <w:szCs w:val="18"/>
              </w:rPr>
            </w:pPr>
            <m:oMathPara>
              <m:oMath>
                <m:r>
                  <w:rPr>
                    <w:rFonts w:ascii="Cambria Math" w:hAnsi="Cambria Math"/>
                    <w:sz w:val="18"/>
                    <w:szCs w:val="18"/>
                  </w:rPr>
                  <m:t>0.001329</m:t>
                </m:r>
              </m:oMath>
            </m:oMathPara>
          </w:p>
        </w:tc>
        <w:tc>
          <w:tcPr>
            <w:tcW w:w="1146" w:type="dxa"/>
            <w:vAlign w:val="center"/>
          </w:tcPr>
          <w:p w14:paraId="0437FADA" w14:textId="6CAF5595"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0.000290</m:t>
                </m:r>
              </m:oMath>
            </m:oMathPara>
          </w:p>
        </w:tc>
        <w:tc>
          <w:tcPr>
            <w:tcW w:w="2266" w:type="dxa"/>
            <w:vAlign w:val="center"/>
          </w:tcPr>
          <w:p w14:paraId="729F3A7C" w14:textId="1D731FC1"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[0.000649, 0.002009]</m:t>
                </m:r>
              </m:oMath>
            </m:oMathPara>
          </w:p>
        </w:tc>
        <w:tc>
          <w:tcPr>
            <w:tcW w:w="1246" w:type="dxa"/>
            <w:vAlign w:val="center"/>
          </w:tcPr>
          <w:p w14:paraId="6193AE36" w14:textId="6495F4DF"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1.38 × 10</m:t>
                </m:r>
                <m:r>
                  <w:rPr>
                    <w:rFonts w:ascii="Cambria Math" w:hAnsi="Cambria Math" w:cs="Cambria Math"/>
                    <w:sz w:val="18"/>
                    <w:szCs w:val="18"/>
                  </w:rPr>
                  <m:t>⁻</m:t>
                </m:r>
                <m:r>
                  <w:rPr>
                    <w:rFonts w:ascii="Cambria Math" w:hAnsi="Cambria Math"/>
                    <w:sz w:val="18"/>
                    <w:szCs w:val="18"/>
                  </w:rPr>
                  <m:t>⁵</m:t>
                </m:r>
              </m:oMath>
            </m:oMathPara>
          </w:p>
        </w:tc>
        <w:tc>
          <w:tcPr>
            <w:tcW w:w="1253" w:type="dxa"/>
            <w:vAlign w:val="center"/>
          </w:tcPr>
          <w:p w14:paraId="798F39E3" w14:textId="67DFECF8" w:rsidR="00983664" w:rsidRPr="009B568A" w:rsidRDefault="00983664" w:rsidP="00983664">
            <w:pPr>
              <w:spacing w:after="120"/>
              <w:jc w:val="center"/>
              <w:rPr>
                <w:rFonts w:ascii="Cambria Math" w:eastAsia="Aptos" w:hAnsi="Cambria Math" w:cs="Times New Roman"/>
                <w:sz w:val="18"/>
                <w:szCs w:val="18"/>
              </w:rPr>
            </w:pPr>
            <m:oMathPara>
              <m:oMath>
                <m:r>
                  <w:rPr>
                    <w:rFonts w:ascii="Cambria Math" w:hAnsi="Cambria Math"/>
                    <w:sz w:val="18"/>
                    <w:szCs w:val="18"/>
                  </w:rPr>
                  <m:t xml:space="preserve">8.28 × </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-5</m:t>
                    </m:r>
                  </m:sup>
                </m:sSup>
              </m:oMath>
            </m:oMathPara>
          </w:p>
        </w:tc>
      </w:tr>
      <w:tr w:rsidR="00983664" w14:paraId="764F1F45" w14:textId="77777777" w:rsidTr="009B568A">
        <w:tc>
          <w:tcPr>
            <w:tcW w:w="2244" w:type="dxa"/>
            <w:vAlign w:val="center"/>
          </w:tcPr>
          <w:p w14:paraId="2850A9D8" w14:textId="1492DDC2" w:rsidR="00983664" w:rsidRPr="009B568A" w:rsidRDefault="00983664" w:rsidP="00983664">
            <w:pPr>
              <w:spacing w:after="120"/>
              <w:jc w:val="center"/>
              <w:rPr>
                <w:rFonts w:ascii="Helvetica" w:hAnsi="Helvetica"/>
                <w:sz w:val="18"/>
                <w:szCs w:val="18"/>
              </w:rPr>
            </w:pPr>
            <w:r w:rsidRPr="009B568A">
              <w:rPr>
                <w:rFonts w:ascii="Helvetica" w:hAnsi="Helvetica"/>
                <w:sz w:val="18"/>
                <w:szCs w:val="18"/>
              </w:rPr>
              <w:t>Stabilizing - Shifting</w:t>
            </w:r>
          </w:p>
        </w:tc>
        <w:tc>
          <w:tcPr>
            <w:tcW w:w="1195" w:type="dxa"/>
            <w:vAlign w:val="center"/>
          </w:tcPr>
          <w:p w14:paraId="39907AC4" w14:textId="61521206" w:rsidR="00983664" w:rsidRPr="009B568A" w:rsidRDefault="00983664" w:rsidP="00983664">
            <w:pPr>
              <w:spacing w:after="120"/>
              <w:jc w:val="center"/>
              <w:rPr>
                <w:rFonts w:ascii="Helvetica" w:eastAsia="Aptos" w:hAnsi="Helvetica" w:cs="Times New Roman"/>
                <w:sz w:val="18"/>
                <w:szCs w:val="18"/>
              </w:rPr>
            </w:pPr>
            <m:oMathPara>
              <m:oMath>
                <m:r>
                  <w:rPr>
                    <w:rFonts w:ascii="Cambria Math" w:hAnsi="Cambria Math"/>
                    <w:sz w:val="18"/>
                    <w:szCs w:val="18"/>
                  </w:rPr>
                  <m:t>0.000270</m:t>
                </m:r>
              </m:oMath>
            </m:oMathPara>
          </w:p>
        </w:tc>
        <w:tc>
          <w:tcPr>
            <w:tcW w:w="1146" w:type="dxa"/>
            <w:vAlign w:val="center"/>
          </w:tcPr>
          <w:p w14:paraId="76C28CFD" w14:textId="248A5303"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0.000500</m:t>
                </m:r>
              </m:oMath>
            </m:oMathPara>
          </w:p>
        </w:tc>
        <w:tc>
          <w:tcPr>
            <w:tcW w:w="2266" w:type="dxa"/>
            <w:vAlign w:val="center"/>
          </w:tcPr>
          <w:p w14:paraId="20A7B34F" w14:textId="699F63F8"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[-0.000903, 0.001443]</m:t>
                </m:r>
              </m:oMath>
            </m:oMathPara>
          </w:p>
        </w:tc>
        <w:tc>
          <w:tcPr>
            <w:tcW w:w="1246" w:type="dxa"/>
            <w:vAlign w:val="center"/>
          </w:tcPr>
          <w:p w14:paraId="5C9698AB" w14:textId="22CAFEAE" w:rsidR="00983664" w:rsidRPr="009B568A" w:rsidRDefault="00983664" w:rsidP="00983664">
            <w:pPr>
              <w:spacing w:after="120"/>
              <w:jc w:val="center"/>
              <w:rPr>
                <w:rFonts w:ascii="Cambria Math" w:hAnsi="Cambria Math"/>
                <w:sz w:val="18"/>
                <w:szCs w:val="18"/>
              </w:rPr>
            </w:pPr>
            <m:oMathPara>
              <m:oMath>
                <m:r>
                  <w:rPr>
                    <w:rFonts w:ascii="Cambria Math" w:hAnsi="Cambria Math"/>
                    <w:sz w:val="18"/>
                    <w:szCs w:val="18"/>
                  </w:rPr>
                  <m:t>0.851</m:t>
                </m:r>
              </m:oMath>
            </m:oMathPara>
          </w:p>
        </w:tc>
        <w:tc>
          <w:tcPr>
            <w:tcW w:w="1253" w:type="dxa"/>
            <w:vAlign w:val="center"/>
          </w:tcPr>
          <w:p w14:paraId="186BB017" w14:textId="60992E07" w:rsidR="00983664" w:rsidRPr="009B568A" w:rsidRDefault="00983664" w:rsidP="00BD67CA">
            <w:pPr>
              <w:keepNext/>
              <w:spacing w:after="120"/>
              <w:jc w:val="center"/>
              <w:rPr>
                <w:rFonts w:ascii="Cambria Math" w:eastAsia="Aptos" w:hAnsi="Cambria Math" w:cs="Times New Roman"/>
                <w:sz w:val="18"/>
                <w:szCs w:val="18"/>
              </w:rPr>
            </w:pPr>
            <m:oMathPara>
              <m:oMath>
                <m:r>
                  <w:rPr>
                    <w:rFonts w:ascii="Cambria Math" w:hAnsi="Cambria Math"/>
                    <w:sz w:val="18"/>
                    <w:szCs w:val="18"/>
                  </w:rPr>
                  <m:t>0.851</m:t>
                </m:r>
              </m:oMath>
            </m:oMathPara>
          </w:p>
        </w:tc>
      </w:tr>
    </w:tbl>
    <w:p w14:paraId="70074B3C" w14:textId="53F09AAE" w:rsidR="005F7C87" w:rsidRPr="00BD67CA" w:rsidRDefault="00BD67CA" w:rsidP="00BD67CA">
      <w:pPr>
        <w:pStyle w:val="Caption"/>
        <w:jc w:val="both"/>
        <w:rPr>
          <w:rFonts w:ascii="Helvetica" w:hAnsi="Helvetica"/>
          <w:color w:val="000000" w:themeColor="text1"/>
        </w:rPr>
      </w:pPr>
      <w:r w:rsidRPr="00BD67CA">
        <w:rPr>
          <w:rFonts w:ascii="Helvetica" w:hAnsi="Helvetica"/>
          <w:color w:val="000000" w:themeColor="text1"/>
        </w:rPr>
        <w:t xml:space="preserve">Table </w:t>
      </w:r>
      <w:r w:rsidRPr="00BD67CA">
        <w:rPr>
          <w:rFonts w:ascii="Helvetica" w:hAnsi="Helvetica"/>
          <w:color w:val="000000" w:themeColor="text1"/>
        </w:rPr>
        <w:fldChar w:fldCharType="begin"/>
      </w:r>
      <w:r w:rsidRPr="00BD67CA">
        <w:rPr>
          <w:rFonts w:ascii="Helvetica" w:hAnsi="Helvetica"/>
          <w:color w:val="000000" w:themeColor="text1"/>
        </w:rPr>
        <w:instrText xml:space="preserve"> SEQ Table \* ARABIC </w:instrText>
      </w:r>
      <w:r w:rsidRPr="00BD67CA">
        <w:rPr>
          <w:rFonts w:ascii="Helvetica" w:hAnsi="Helvetica"/>
          <w:color w:val="000000" w:themeColor="text1"/>
        </w:rPr>
        <w:fldChar w:fldCharType="separate"/>
      </w:r>
      <w:r>
        <w:rPr>
          <w:rFonts w:ascii="Helvetica" w:hAnsi="Helvetica"/>
          <w:noProof/>
          <w:color w:val="000000" w:themeColor="text1"/>
        </w:rPr>
        <w:t>2</w:t>
      </w:r>
      <w:r w:rsidRPr="00BD67CA">
        <w:rPr>
          <w:rFonts w:ascii="Helvetica" w:hAnsi="Helvetica"/>
          <w:color w:val="000000" w:themeColor="text1"/>
        </w:rPr>
        <w:fldChar w:fldCharType="end"/>
      </w:r>
      <w:r w:rsidRPr="00BD67CA">
        <w:rPr>
          <w:rFonts w:ascii="Helvetica" w:hAnsi="Helvetica"/>
          <w:color w:val="000000" w:themeColor="text1"/>
        </w:rPr>
        <w:t xml:space="preserve"> Within-group pairwise comparisons of regime-conditioned latent-state magnitude for schizophrenia and control participants. Differences reflect contrasts between functional inertia regimes within the same diagnostic group, estimated from a repeated-measures ANCOVA model with covariate adjustment. Positive differences indicate higher latent-state magnitude in the first-listed regime. False discovery rate (FDR) correction was applied separately within each group to account for multiple regime comparisons.</w:t>
      </w:r>
    </w:p>
    <w:p w14:paraId="28D3E4FC" w14:textId="2EF4F410" w:rsidR="00B3267A" w:rsidRDefault="00B3267A" w:rsidP="00082589">
      <w:pPr>
        <w:spacing w:after="120" w:line="240" w:lineRule="auto"/>
        <w:jc w:val="both"/>
        <w:rPr>
          <w:rFonts w:ascii="Helvetica" w:hAnsi="Helvetica"/>
        </w:rPr>
      </w:pPr>
      <w:r w:rsidRPr="00B3267A">
        <w:rPr>
          <w:rFonts w:ascii="Helvetica" w:hAnsi="Helvetica"/>
        </w:rPr>
        <w:t>S</w:t>
      </w:r>
      <w:r w:rsidRPr="00B3267A">
        <w:rPr>
          <w:rFonts w:ascii="Helvetica" w:hAnsi="Helvetica"/>
          <w:i/>
          <w:iCs/>
        </w:rPr>
        <w:t>upplementary Table 3 | Cross-group, cross-regime comparisons of latent-state magnitude</w:t>
      </w:r>
    </w:p>
    <w:tbl>
      <w:tblPr>
        <w:tblStyle w:val="TableGrid"/>
        <w:tblW w:w="0" w:type="auto"/>
        <w:tblLook w:val="04A0" w:firstRow="1" w:lastRow="0" w:firstColumn="1" w:lastColumn="0" w:noHBand="0" w:noVBand="1"/>
      </w:tblPr>
      <w:tblGrid>
        <w:gridCol w:w="1583"/>
        <w:gridCol w:w="1652"/>
        <w:gridCol w:w="1710"/>
        <w:gridCol w:w="1890"/>
        <w:gridCol w:w="1260"/>
        <w:gridCol w:w="1255"/>
      </w:tblGrid>
      <w:tr w:rsidR="006D4904" w14:paraId="2EAEDFEB" w14:textId="77777777" w:rsidTr="0047727E">
        <w:tc>
          <w:tcPr>
            <w:tcW w:w="1583" w:type="dxa"/>
            <w:vAlign w:val="center"/>
          </w:tcPr>
          <w:p w14:paraId="4B4F4931" w14:textId="456C9C05" w:rsidR="006D4904" w:rsidRPr="006D4904" w:rsidRDefault="006D4904" w:rsidP="006D4904">
            <w:pPr>
              <w:spacing w:after="120"/>
              <w:jc w:val="center"/>
              <w:rPr>
                <w:rFonts w:ascii="Helvetica" w:hAnsi="Helvetica"/>
                <w:b/>
                <w:bCs/>
                <w:sz w:val="20"/>
                <w:szCs w:val="20"/>
              </w:rPr>
            </w:pPr>
            <w:r w:rsidRPr="006D4904">
              <w:rPr>
                <w:rFonts w:ascii="Helvetica" w:hAnsi="Helvetica"/>
                <w:b/>
                <w:bCs/>
                <w:sz w:val="20"/>
                <w:szCs w:val="20"/>
              </w:rPr>
              <w:t>Schizophrenia Regime</w:t>
            </w:r>
          </w:p>
        </w:tc>
        <w:tc>
          <w:tcPr>
            <w:tcW w:w="1652" w:type="dxa"/>
            <w:vAlign w:val="center"/>
          </w:tcPr>
          <w:p w14:paraId="3BB7CB65" w14:textId="0DFC0E3F" w:rsidR="006D4904" w:rsidRPr="006D4904" w:rsidRDefault="006D4904" w:rsidP="006D4904">
            <w:pPr>
              <w:spacing w:after="120"/>
              <w:jc w:val="center"/>
              <w:rPr>
                <w:rFonts w:ascii="Helvetica" w:hAnsi="Helvetica"/>
                <w:b/>
                <w:bCs/>
                <w:sz w:val="20"/>
                <w:szCs w:val="20"/>
              </w:rPr>
            </w:pPr>
            <w:r w:rsidRPr="006D4904">
              <w:rPr>
                <w:rFonts w:ascii="Helvetica" w:hAnsi="Helvetica"/>
                <w:b/>
                <w:bCs/>
                <w:sz w:val="20"/>
                <w:szCs w:val="20"/>
              </w:rPr>
              <w:t>Control Regime</w:t>
            </w:r>
          </w:p>
        </w:tc>
        <w:tc>
          <w:tcPr>
            <w:tcW w:w="1710" w:type="dxa"/>
            <w:vAlign w:val="center"/>
          </w:tcPr>
          <w:p w14:paraId="1502BF6E" w14:textId="6E0E8BED" w:rsidR="006D4904" w:rsidRPr="006D4904" w:rsidRDefault="006D4904" w:rsidP="006D4904">
            <w:pPr>
              <w:spacing w:after="120"/>
              <w:jc w:val="center"/>
              <w:rPr>
                <w:rFonts w:ascii="Helvetica" w:hAnsi="Helvetica"/>
                <w:b/>
                <w:bCs/>
                <w:sz w:val="20"/>
                <w:szCs w:val="20"/>
              </w:rPr>
            </w:pPr>
            <w:r w:rsidRPr="00145DCE">
              <w:rPr>
                <w:rFonts w:ascii="Helvetica" w:hAnsi="Helvetica"/>
                <w:b/>
                <w:bCs/>
                <w:sz w:val="20"/>
                <w:szCs w:val="20"/>
              </w:rPr>
              <w:t>Δ</w:t>
            </w:r>
            <w:r>
              <w:rPr>
                <w:rFonts w:ascii="Helvetica" w:hAnsi="Helvetica"/>
                <w:b/>
                <w:bCs/>
                <w:sz w:val="20"/>
                <w:szCs w:val="20"/>
              </w:rPr>
              <w:t xml:space="preserve"> (</w:t>
            </w:r>
            <w:proofErr w:type="spellStart"/>
            <w:r>
              <w:rPr>
                <w:rFonts w:ascii="Helvetica" w:hAnsi="Helvetica"/>
                <w:b/>
                <w:bCs/>
                <w:sz w:val="20"/>
                <w:szCs w:val="20"/>
              </w:rPr>
              <w:t>Schizo</w:t>
            </w:r>
            <w:proofErr w:type="spellEnd"/>
            <w:r>
              <w:rPr>
                <w:rFonts w:ascii="Helvetica" w:hAnsi="Helvetica"/>
                <w:b/>
                <w:bCs/>
                <w:sz w:val="20"/>
                <w:szCs w:val="20"/>
              </w:rPr>
              <w:t>. – Control)</w:t>
            </w:r>
          </w:p>
        </w:tc>
        <w:tc>
          <w:tcPr>
            <w:tcW w:w="1890" w:type="dxa"/>
            <w:vAlign w:val="center"/>
          </w:tcPr>
          <w:p w14:paraId="25769B5B" w14:textId="2F80BB3C" w:rsidR="006D4904" w:rsidRPr="006D4904" w:rsidRDefault="006D4904" w:rsidP="006D4904">
            <w:pPr>
              <w:spacing w:after="120"/>
              <w:jc w:val="center"/>
              <w:rPr>
                <w:rFonts w:ascii="Helvetica" w:hAnsi="Helvetica"/>
                <w:b/>
                <w:bCs/>
                <w:sz w:val="20"/>
                <w:szCs w:val="20"/>
              </w:rPr>
            </w:pPr>
            <w:r w:rsidRPr="006D4904">
              <w:rPr>
                <w:rFonts w:ascii="Helvetica" w:hAnsi="Helvetica"/>
                <w:b/>
                <w:bCs/>
                <w:sz w:val="20"/>
                <w:szCs w:val="20"/>
              </w:rPr>
              <w:t>95% CI</w:t>
            </w:r>
          </w:p>
        </w:tc>
        <w:tc>
          <w:tcPr>
            <w:tcW w:w="1260" w:type="dxa"/>
            <w:vAlign w:val="center"/>
          </w:tcPr>
          <w:p w14:paraId="5232B4F8" w14:textId="7E3F8D11" w:rsidR="006D4904" w:rsidRPr="006D4904" w:rsidRDefault="006D4904" w:rsidP="006D4904">
            <w:pPr>
              <w:spacing w:after="120"/>
              <w:jc w:val="center"/>
              <w:rPr>
                <w:rFonts w:ascii="Helvetica" w:hAnsi="Helvetica"/>
                <w:b/>
                <w:bCs/>
                <w:sz w:val="20"/>
                <w:szCs w:val="20"/>
              </w:rPr>
            </w:pPr>
            <w:r>
              <w:rPr>
                <w:rFonts w:ascii="Helvetica" w:hAnsi="Helvetica"/>
                <w:b/>
                <w:bCs/>
                <w:sz w:val="20"/>
                <w:szCs w:val="20"/>
              </w:rPr>
              <w:t>p-value</w:t>
            </w:r>
          </w:p>
        </w:tc>
        <w:tc>
          <w:tcPr>
            <w:tcW w:w="1255" w:type="dxa"/>
            <w:vAlign w:val="center"/>
          </w:tcPr>
          <w:p w14:paraId="7E556FCC" w14:textId="2510DDE1" w:rsidR="006D4904" w:rsidRPr="006D4904" w:rsidRDefault="006D4904" w:rsidP="006D4904">
            <w:pPr>
              <w:spacing w:after="120"/>
              <w:jc w:val="center"/>
              <w:rPr>
                <w:rFonts w:ascii="Helvetica" w:hAnsi="Helvetica"/>
                <w:b/>
                <w:bCs/>
                <w:sz w:val="20"/>
                <w:szCs w:val="20"/>
              </w:rPr>
            </w:pPr>
            <w:proofErr w:type="spellStart"/>
            <w:r w:rsidRPr="006D4904">
              <w:rPr>
                <w:rFonts w:ascii="Helvetica" w:hAnsi="Helvetica"/>
                <w:b/>
                <w:bCs/>
                <w:sz w:val="20"/>
                <w:szCs w:val="20"/>
              </w:rPr>
              <w:t>pFDR</w:t>
            </w:r>
            <w:proofErr w:type="spellEnd"/>
          </w:p>
        </w:tc>
      </w:tr>
      <w:tr w:rsidR="006D4904" w14:paraId="7DB8CAA8" w14:textId="77777777" w:rsidTr="0047727E">
        <w:tc>
          <w:tcPr>
            <w:tcW w:w="1583" w:type="dxa"/>
            <w:vAlign w:val="center"/>
          </w:tcPr>
          <w:p w14:paraId="05D10920" w14:textId="0B25C811"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Stabilizing</w:t>
            </w:r>
          </w:p>
        </w:tc>
        <w:tc>
          <w:tcPr>
            <w:tcW w:w="1652" w:type="dxa"/>
            <w:vAlign w:val="center"/>
          </w:tcPr>
          <w:p w14:paraId="3F57C06E" w14:textId="5535C5A0"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Locked</w:t>
            </w:r>
          </w:p>
        </w:tc>
        <w:tc>
          <w:tcPr>
            <w:tcW w:w="1710" w:type="dxa"/>
            <w:vAlign w:val="center"/>
          </w:tcPr>
          <w:p w14:paraId="247E1175" w14:textId="552FB147"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0.01608</w:t>
            </w:r>
          </w:p>
        </w:tc>
        <w:tc>
          <w:tcPr>
            <w:tcW w:w="1890" w:type="dxa"/>
            <w:vAlign w:val="center"/>
          </w:tcPr>
          <w:p w14:paraId="137072A6" w14:textId="65310EA7"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[0.01073, 0.02143]</w:t>
            </w:r>
          </w:p>
        </w:tc>
        <w:tc>
          <w:tcPr>
            <w:tcW w:w="1260" w:type="dxa"/>
            <w:vAlign w:val="center"/>
          </w:tcPr>
          <w:p w14:paraId="5BEB062C" w14:textId="4140FC81"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1.1 × 10</w:t>
            </w:r>
            <w:r w:rsidRPr="0047727E">
              <w:rPr>
                <w:rFonts w:ascii="Cambria Math" w:hAnsi="Cambria Math" w:cs="Cambria Math"/>
                <w:sz w:val="18"/>
                <w:szCs w:val="18"/>
              </w:rPr>
              <w:t>⁻</w:t>
            </w:r>
            <w:r w:rsidRPr="0047727E">
              <w:rPr>
                <w:rFonts w:ascii="Cambria Math" w:hAnsi="Cambria Math"/>
                <w:sz w:val="18"/>
                <w:szCs w:val="18"/>
              </w:rPr>
              <w:t>⁸</w:t>
            </w:r>
          </w:p>
        </w:tc>
        <w:tc>
          <w:tcPr>
            <w:tcW w:w="1255" w:type="dxa"/>
            <w:vAlign w:val="center"/>
          </w:tcPr>
          <w:p w14:paraId="6258A4D8" w14:textId="2A6705D1"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1.1 × 10</w:t>
            </w:r>
            <w:r w:rsidRPr="0047727E">
              <w:rPr>
                <w:rFonts w:ascii="Cambria Math" w:hAnsi="Cambria Math" w:cs="Cambria Math"/>
                <w:sz w:val="18"/>
                <w:szCs w:val="18"/>
              </w:rPr>
              <w:t>⁻</w:t>
            </w:r>
            <w:r w:rsidRPr="0047727E">
              <w:rPr>
                <w:rFonts w:ascii="Cambria Math" w:hAnsi="Cambria Math"/>
                <w:sz w:val="18"/>
                <w:szCs w:val="18"/>
              </w:rPr>
              <w:t>⁸</w:t>
            </w:r>
          </w:p>
        </w:tc>
      </w:tr>
      <w:tr w:rsidR="006D4904" w14:paraId="7A92DE77" w14:textId="77777777" w:rsidTr="0047727E">
        <w:tc>
          <w:tcPr>
            <w:tcW w:w="1583" w:type="dxa"/>
            <w:vAlign w:val="center"/>
          </w:tcPr>
          <w:p w14:paraId="35438738" w14:textId="58969BA3"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Stabilizing</w:t>
            </w:r>
          </w:p>
        </w:tc>
        <w:tc>
          <w:tcPr>
            <w:tcW w:w="1652" w:type="dxa"/>
            <w:vAlign w:val="center"/>
          </w:tcPr>
          <w:p w14:paraId="7AA7304E" w14:textId="50BB9DC8" w:rsidR="006D4904" w:rsidRPr="006D4904" w:rsidRDefault="00121AF6" w:rsidP="006D4904">
            <w:pPr>
              <w:spacing w:after="120"/>
              <w:jc w:val="center"/>
              <w:rPr>
                <w:rFonts w:ascii="Helvetica" w:hAnsi="Helvetica"/>
                <w:sz w:val="20"/>
                <w:szCs w:val="20"/>
              </w:rPr>
            </w:pPr>
            <w:r w:rsidRPr="009B568A">
              <w:rPr>
                <w:rFonts w:ascii="Helvetica" w:hAnsi="Helvetica"/>
                <w:sz w:val="18"/>
                <w:szCs w:val="18"/>
              </w:rPr>
              <w:t>Stabilizing</w:t>
            </w:r>
          </w:p>
        </w:tc>
        <w:tc>
          <w:tcPr>
            <w:tcW w:w="1710" w:type="dxa"/>
            <w:vAlign w:val="center"/>
          </w:tcPr>
          <w:p w14:paraId="7AF50CAE" w14:textId="557BADCF"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0.01586</w:t>
            </w:r>
          </w:p>
        </w:tc>
        <w:tc>
          <w:tcPr>
            <w:tcW w:w="1890" w:type="dxa"/>
            <w:vAlign w:val="center"/>
          </w:tcPr>
          <w:p w14:paraId="25F46214" w14:textId="05AE6B51"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[0.01046, 0.02127]</w:t>
            </w:r>
          </w:p>
        </w:tc>
        <w:tc>
          <w:tcPr>
            <w:tcW w:w="1260" w:type="dxa"/>
            <w:vAlign w:val="center"/>
          </w:tcPr>
          <w:p w14:paraId="2B635E47" w14:textId="088EE423"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9.0 × 10</w:t>
            </w:r>
            <w:r w:rsidRPr="0047727E">
              <w:rPr>
                <w:rFonts w:ascii="Cambria Math" w:hAnsi="Cambria Math" w:cs="Cambria Math"/>
                <w:sz w:val="18"/>
                <w:szCs w:val="18"/>
              </w:rPr>
              <w:t>⁻</w:t>
            </w:r>
            <w:r w:rsidRPr="0047727E">
              <w:rPr>
                <w:rFonts w:ascii="Cambria Math" w:hAnsi="Cambria Math"/>
                <w:sz w:val="18"/>
                <w:szCs w:val="18"/>
              </w:rPr>
              <w:t>⁹</w:t>
            </w:r>
          </w:p>
        </w:tc>
        <w:tc>
          <w:tcPr>
            <w:tcW w:w="1255" w:type="dxa"/>
            <w:vAlign w:val="center"/>
          </w:tcPr>
          <w:p w14:paraId="1E24886F" w14:textId="076C402C"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1.35 × 10</w:t>
            </w:r>
            <w:r w:rsidRPr="0047727E">
              <w:rPr>
                <w:rFonts w:ascii="Cambria Math" w:hAnsi="Cambria Math" w:cs="Cambria Math"/>
                <w:sz w:val="18"/>
                <w:szCs w:val="18"/>
              </w:rPr>
              <w:t>⁻</w:t>
            </w:r>
            <w:r w:rsidRPr="0047727E">
              <w:rPr>
                <w:rFonts w:ascii="Cambria Math" w:hAnsi="Cambria Math"/>
                <w:sz w:val="18"/>
                <w:szCs w:val="18"/>
              </w:rPr>
              <w:t>⁸</w:t>
            </w:r>
          </w:p>
        </w:tc>
      </w:tr>
      <w:tr w:rsidR="006D4904" w14:paraId="495F5C10" w14:textId="77777777" w:rsidTr="0047727E">
        <w:tc>
          <w:tcPr>
            <w:tcW w:w="1583" w:type="dxa"/>
            <w:vAlign w:val="center"/>
          </w:tcPr>
          <w:p w14:paraId="6F6D7AC1" w14:textId="24DD948F"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Stabilizing</w:t>
            </w:r>
          </w:p>
        </w:tc>
        <w:tc>
          <w:tcPr>
            <w:tcW w:w="1652" w:type="dxa"/>
            <w:vAlign w:val="center"/>
          </w:tcPr>
          <w:p w14:paraId="560B4429" w14:textId="293841E3" w:rsidR="006D4904" w:rsidRPr="006D4904" w:rsidRDefault="00121AF6" w:rsidP="006D4904">
            <w:pPr>
              <w:spacing w:after="120"/>
              <w:jc w:val="center"/>
              <w:rPr>
                <w:rFonts w:ascii="Helvetica" w:hAnsi="Helvetica"/>
                <w:sz w:val="20"/>
                <w:szCs w:val="20"/>
              </w:rPr>
            </w:pPr>
            <w:r w:rsidRPr="009B568A">
              <w:rPr>
                <w:rFonts w:ascii="Helvetica" w:hAnsi="Helvetica"/>
                <w:sz w:val="18"/>
                <w:szCs w:val="18"/>
              </w:rPr>
              <w:t>Shifting</w:t>
            </w:r>
          </w:p>
        </w:tc>
        <w:tc>
          <w:tcPr>
            <w:tcW w:w="1710" w:type="dxa"/>
            <w:vAlign w:val="center"/>
          </w:tcPr>
          <w:p w14:paraId="0942B117" w14:textId="50CD61EA"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0.01453</w:t>
            </w:r>
          </w:p>
        </w:tc>
        <w:tc>
          <w:tcPr>
            <w:tcW w:w="1890" w:type="dxa"/>
            <w:vAlign w:val="center"/>
          </w:tcPr>
          <w:p w14:paraId="5E906AD0" w14:textId="6DAECF09"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[0.00921, 0.01985]</w:t>
            </w:r>
          </w:p>
        </w:tc>
        <w:tc>
          <w:tcPr>
            <w:tcW w:w="1260" w:type="dxa"/>
            <w:vAlign w:val="center"/>
          </w:tcPr>
          <w:p w14:paraId="655E94E3" w14:textId="6270A10A"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2.4 × 10</w:t>
            </w:r>
            <w:r w:rsidRPr="0047727E">
              <w:rPr>
                <w:rFonts w:ascii="Cambria Math" w:hAnsi="Cambria Math" w:cs="Cambria Math"/>
                <w:sz w:val="18"/>
                <w:szCs w:val="18"/>
              </w:rPr>
              <w:t>⁻</w:t>
            </w:r>
            <w:r w:rsidRPr="0047727E">
              <w:rPr>
                <w:rFonts w:ascii="Cambria Math" w:hAnsi="Cambria Math"/>
                <w:sz w:val="18"/>
                <w:szCs w:val="18"/>
              </w:rPr>
              <w:t>⁷</w:t>
            </w:r>
          </w:p>
        </w:tc>
        <w:tc>
          <w:tcPr>
            <w:tcW w:w="1255" w:type="dxa"/>
            <w:vAlign w:val="center"/>
          </w:tcPr>
          <w:p w14:paraId="7882B4CF" w14:textId="67294686"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2.9 × 10</w:t>
            </w:r>
            <w:r w:rsidRPr="0047727E">
              <w:rPr>
                <w:rFonts w:ascii="Cambria Math" w:hAnsi="Cambria Math" w:cs="Cambria Math"/>
                <w:sz w:val="18"/>
                <w:szCs w:val="18"/>
              </w:rPr>
              <w:t>⁻</w:t>
            </w:r>
            <w:r w:rsidRPr="0047727E">
              <w:rPr>
                <w:rFonts w:ascii="Cambria Math" w:hAnsi="Cambria Math"/>
                <w:sz w:val="18"/>
                <w:szCs w:val="18"/>
              </w:rPr>
              <w:t>⁷</w:t>
            </w:r>
          </w:p>
        </w:tc>
      </w:tr>
      <w:tr w:rsidR="006D4904" w14:paraId="4CF91FB2" w14:textId="77777777" w:rsidTr="0047727E">
        <w:tc>
          <w:tcPr>
            <w:tcW w:w="1583" w:type="dxa"/>
            <w:vAlign w:val="center"/>
          </w:tcPr>
          <w:p w14:paraId="6A5BBD2F" w14:textId="7DC0D240"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Locked</w:t>
            </w:r>
          </w:p>
        </w:tc>
        <w:tc>
          <w:tcPr>
            <w:tcW w:w="1652" w:type="dxa"/>
            <w:vAlign w:val="center"/>
          </w:tcPr>
          <w:p w14:paraId="5C759913" w14:textId="0AEB753A"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Locked</w:t>
            </w:r>
          </w:p>
        </w:tc>
        <w:tc>
          <w:tcPr>
            <w:tcW w:w="1710" w:type="dxa"/>
            <w:vAlign w:val="center"/>
          </w:tcPr>
          <w:p w14:paraId="267E6869" w14:textId="310E8396"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0.01482</w:t>
            </w:r>
          </w:p>
        </w:tc>
        <w:tc>
          <w:tcPr>
            <w:tcW w:w="1890" w:type="dxa"/>
            <w:vAlign w:val="center"/>
          </w:tcPr>
          <w:p w14:paraId="5A785D4F" w14:textId="7C8AB40D"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[0.00950, 0.02014]</w:t>
            </w:r>
          </w:p>
        </w:tc>
        <w:tc>
          <w:tcPr>
            <w:tcW w:w="1260" w:type="dxa"/>
            <w:vAlign w:val="center"/>
          </w:tcPr>
          <w:p w14:paraId="56A07F62" w14:textId="537DF250"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4.8 × 10</w:t>
            </w:r>
            <w:r w:rsidRPr="0047727E">
              <w:rPr>
                <w:rFonts w:ascii="Cambria Math" w:hAnsi="Cambria Math" w:cs="Cambria Math"/>
                <w:sz w:val="18"/>
                <w:szCs w:val="18"/>
              </w:rPr>
              <w:t>⁻</w:t>
            </w:r>
            <w:r w:rsidRPr="0047727E">
              <w:rPr>
                <w:rFonts w:ascii="Cambria Math" w:hAnsi="Cambria Math"/>
                <w:sz w:val="18"/>
                <w:szCs w:val="18"/>
              </w:rPr>
              <w:t>⁸</w:t>
            </w:r>
          </w:p>
        </w:tc>
        <w:tc>
          <w:tcPr>
            <w:tcW w:w="1255" w:type="dxa"/>
            <w:vAlign w:val="center"/>
          </w:tcPr>
          <w:p w14:paraId="6643AAB7" w14:textId="42C7EF59"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4.8 × 10</w:t>
            </w:r>
            <w:r w:rsidRPr="0047727E">
              <w:rPr>
                <w:rFonts w:ascii="Cambria Math" w:hAnsi="Cambria Math" w:cs="Cambria Math"/>
                <w:sz w:val="18"/>
                <w:szCs w:val="18"/>
              </w:rPr>
              <w:t>⁻</w:t>
            </w:r>
            <w:r w:rsidRPr="0047727E">
              <w:rPr>
                <w:rFonts w:ascii="Cambria Math" w:hAnsi="Cambria Math"/>
                <w:sz w:val="18"/>
                <w:szCs w:val="18"/>
              </w:rPr>
              <w:t>⁸</w:t>
            </w:r>
          </w:p>
        </w:tc>
      </w:tr>
      <w:tr w:rsidR="006D4904" w14:paraId="4A09EA24" w14:textId="77777777" w:rsidTr="0047727E">
        <w:tc>
          <w:tcPr>
            <w:tcW w:w="1583" w:type="dxa"/>
            <w:vAlign w:val="center"/>
          </w:tcPr>
          <w:p w14:paraId="0C41DB1D" w14:textId="694ECD12"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Locked</w:t>
            </w:r>
          </w:p>
        </w:tc>
        <w:tc>
          <w:tcPr>
            <w:tcW w:w="1652" w:type="dxa"/>
            <w:vAlign w:val="center"/>
          </w:tcPr>
          <w:p w14:paraId="557FAD24" w14:textId="48A0ECA7" w:rsidR="006D4904" w:rsidRPr="006D4904" w:rsidRDefault="00121AF6" w:rsidP="006D4904">
            <w:pPr>
              <w:spacing w:after="120"/>
              <w:jc w:val="center"/>
              <w:rPr>
                <w:rFonts w:ascii="Helvetica" w:hAnsi="Helvetica"/>
                <w:sz w:val="20"/>
                <w:szCs w:val="20"/>
              </w:rPr>
            </w:pPr>
            <w:r w:rsidRPr="009B568A">
              <w:rPr>
                <w:rFonts w:ascii="Helvetica" w:hAnsi="Helvetica"/>
                <w:sz w:val="18"/>
                <w:szCs w:val="18"/>
              </w:rPr>
              <w:t>Stabilizing</w:t>
            </w:r>
          </w:p>
        </w:tc>
        <w:tc>
          <w:tcPr>
            <w:tcW w:w="1710" w:type="dxa"/>
            <w:vAlign w:val="center"/>
          </w:tcPr>
          <w:p w14:paraId="1E223478" w14:textId="7A7B61D0"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0.01455</w:t>
            </w:r>
          </w:p>
        </w:tc>
        <w:tc>
          <w:tcPr>
            <w:tcW w:w="1890" w:type="dxa"/>
            <w:vAlign w:val="center"/>
          </w:tcPr>
          <w:p w14:paraId="214392C6" w14:textId="615C017E"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[0.00918, 0.01992]</w:t>
            </w:r>
          </w:p>
        </w:tc>
        <w:tc>
          <w:tcPr>
            <w:tcW w:w="1260" w:type="dxa"/>
            <w:vAlign w:val="center"/>
          </w:tcPr>
          <w:p w14:paraId="38626BBB" w14:textId="7CCC92FD"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6.1 × 10</w:t>
            </w:r>
            <w:r w:rsidRPr="0047727E">
              <w:rPr>
                <w:rFonts w:ascii="Cambria Math" w:hAnsi="Cambria Math" w:cs="Cambria Math"/>
                <w:sz w:val="18"/>
                <w:szCs w:val="18"/>
              </w:rPr>
              <w:t>⁻</w:t>
            </w:r>
            <w:r w:rsidRPr="0047727E">
              <w:rPr>
                <w:rFonts w:ascii="Cambria Math" w:hAnsi="Cambria Math"/>
                <w:sz w:val="18"/>
                <w:szCs w:val="18"/>
              </w:rPr>
              <w:t>⁸</w:t>
            </w:r>
          </w:p>
        </w:tc>
        <w:tc>
          <w:tcPr>
            <w:tcW w:w="1255" w:type="dxa"/>
            <w:vAlign w:val="center"/>
          </w:tcPr>
          <w:p w14:paraId="32CBA872" w14:textId="6B8BA695"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6.8 × 10</w:t>
            </w:r>
            <w:r w:rsidRPr="0047727E">
              <w:rPr>
                <w:rFonts w:ascii="Cambria Math" w:hAnsi="Cambria Math" w:cs="Cambria Math"/>
                <w:sz w:val="18"/>
                <w:szCs w:val="18"/>
              </w:rPr>
              <w:t>⁻</w:t>
            </w:r>
            <w:r w:rsidRPr="0047727E">
              <w:rPr>
                <w:rFonts w:ascii="Cambria Math" w:hAnsi="Cambria Math"/>
                <w:sz w:val="18"/>
                <w:szCs w:val="18"/>
              </w:rPr>
              <w:t>⁸</w:t>
            </w:r>
          </w:p>
        </w:tc>
      </w:tr>
      <w:tr w:rsidR="006D4904" w14:paraId="39D74F32" w14:textId="77777777" w:rsidTr="0047727E">
        <w:tc>
          <w:tcPr>
            <w:tcW w:w="1583" w:type="dxa"/>
            <w:vAlign w:val="center"/>
          </w:tcPr>
          <w:p w14:paraId="796840EA" w14:textId="0F1E1411"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Locked</w:t>
            </w:r>
          </w:p>
        </w:tc>
        <w:tc>
          <w:tcPr>
            <w:tcW w:w="1652" w:type="dxa"/>
            <w:vAlign w:val="center"/>
          </w:tcPr>
          <w:p w14:paraId="2F8F490B" w14:textId="6E445E27" w:rsidR="006D4904" w:rsidRPr="006D4904" w:rsidRDefault="00121AF6" w:rsidP="006D4904">
            <w:pPr>
              <w:spacing w:after="120"/>
              <w:jc w:val="center"/>
              <w:rPr>
                <w:rFonts w:ascii="Helvetica" w:hAnsi="Helvetica"/>
                <w:sz w:val="20"/>
                <w:szCs w:val="20"/>
              </w:rPr>
            </w:pPr>
            <w:r w:rsidRPr="009B568A">
              <w:rPr>
                <w:rFonts w:ascii="Helvetica" w:hAnsi="Helvetica"/>
                <w:sz w:val="18"/>
                <w:szCs w:val="18"/>
              </w:rPr>
              <w:t>Shifting</w:t>
            </w:r>
          </w:p>
        </w:tc>
        <w:tc>
          <w:tcPr>
            <w:tcW w:w="1710" w:type="dxa"/>
            <w:vAlign w:val="center"/>
          </w:tcPr>
          <w:p w14:paraId="26F20463" w14:textId="13EC2A4F"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0.01322</w:t>
            </w:r>
          </w:p>
        </w:tc>
        <w:tc>
          <w:tcPr>
            <w:tcW w:w="1890" w:type="dxa"/>
            <w:vAlign w:val="center"/>
          </w:tcPr>
          <w:p w14:paraId="2D9F1831" w14:textId="7CE8A4B0"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[0.00794, 0.01850]</w:t>
            </w:r>
          </w:p>
        </w:tc>
        <w:tc>
          <w:tcPr>
            <w:tcW w:w="1260" w:type="dxa"/>
            <w:vAlign w:val="center"/>
          </w:tcPr>
          <w:p w14:paraId="4B6FDB8E" w14:textId="58AD08C4"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1.7 × 10</w:t>
            </w:r>
            <w:r w:rsidRPr="0047727E">
              <w:rPr>
                <w:rFonts w:ascii="Cambria Math" w:hAnsi="Cambria Math" w:cs="Cambria Math"/>
                <w:sz w:val="18"/>
                <w:szCs w:val="18"/>
              </w:rPr>
              <w:t>⁻</w:t>
            </w:r>
            <w:r w:rsidRPr="0047727E">
              <w:rPr>
                <w:rFonts w:ascii="Cambria Math" w:hAnsi="Cambria Math"/>
                <w:sz w:val="18"/>
                <w:szCs w:val="18"/>
              </w:rPr>
              <w:t>⁶</w:t>
            </w:r>
          </w:p>
        </w:tc>
        <w:tc>
          <w:tcPr>
            <w:tcW w:w="1255" w:type="dxa"/>
            <w:vAlign w:val="center"/>
          </w:tcPr>
          <w:p w14:paraId="1D46A291" w14:textId="313C9C12"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2.1 × 10</w:t>
            </w:r>
            <w:r w:rsidRPr="0047727E">
              <w:rPr>
                <w:rFonts w:ascii="Cambria Math" w:hAnsi="Cambria Math" w:cs="Cambria Math"/>
                <w:sz w:val="18"/>
                <w:szCs w:val="18"/>
              </w:rPr>
              <w:t>⁻</w:t>
            </w:r>
            <w:r w:rsidRPr="0047727E">
              <w:rPr>
                <w:rFonts w:ascii="Cambria Math" w:hAnsi="Cambria Math"/>
                <w:sz w:val="18"/>
                <w:szCs w:val="18"/>
              </w:rPr>
              <w:t>⁶</w:t>
            </w:r>
          </w:p>
        </w:tc>
      </w:tr>
      <w:tr w:rsidR="006D4904" w14:paraId="6A1EA060" w14:textId="77777777" w:rsidTr="0047727E">
        <w:tc>
          <w:tcPr>
            <w:tcW w:w="1583" w:type="dxa"/>
            <w:vAlign w:val="center"/>
          </w:tcPr>
          <w:p w14:paraId="140605B0" w14:textId="310509F2"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lastRenderedPageBreak/>
              <w:t>Shifting</w:t>
            </w:r>
          </w:p>
        </w:tc>
        <w:tc>
          <w:tcPr>
            <w:tcW w:w="1652" w:type="dxa"/>
            <w:vAlign w:val="center"/>
          </w:tcPr>
          <w:p w14:paraId="4614E038" w14:textId="05FCED58"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Locked</w:t>
            </w:r>
          </w:p>
        </w:tc>
        <w:tc>
          <w:tcPr>
            <w:tcW w:w="1710" w:type="dxa"/>
            <w:vAlign w:val="center"/>
          </w:tcPr>
          <w:p w14:paraId="29EA8F6C" w14:textId="44AD1A2B"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0.01716</w:t>
            </w:r>
          </w:p>
        </w:tc>
        <w:tc>
          <w:tcPr>
            <w:tcW w:w="1890" w:type="dxa"/>
            <w:vAlign w:val="center"/>
          </w:tcPr>
          <w:p w14:paraId="268CFC3A" w14:textId="011FA362"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[0.01183, 0.02249]</w:t>
            </w:r>
          </w:p>
        </w:tc>
        <w:tc>
          <w:tcPr>
            <w:tcW w:w="1260" w:type="dxa"/>
            <w:vAlign w:val="center"/>
          </w:tcPr>
          <w:p w14:paraId="09B4F652" w14:textId="364E4EC8"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3.5 × 10</w:t>
            </w:r>
            <w:r w:rsidRPr="0047727E">
              <w:rPr>
                <w:rFonts w:ascii="Cambria Math" w:hAnsi="Cambria Math" w:cs="Cambria Math"/>
                <w:sz w:val="18"/>
                <w:szCs w:val="18"/>
              </w:rPr>
              <w:t>⁻</w:t>
            </w:r>
            <w:r w:rsidRPr="0047727E">
              <w:rPr>
                <w:rFonts w:ascii="Cambria Math" w:hAnsi="Cambria Math"/>
                <w:sz w:val="18"/>
                <w:szCs w:val="18"/>
              </w:rPr>
              <w:t>⁹</w:t>
            </w:r>
          </w:p>
        </w:tc>
        <w:tc>
          <w:tcPr>
            <w:tcW w:w="1255" w:type="dxa"/>
            <w:vAlign w:val="center"/>
          </w:tcPr>
          <w:p w14:paraId="7E5A5292" w14:textId="797B1703"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5.4 × 10</w:t>
            </w:r>
            <w:r w:rsidRPr="0047727E">
              <w:rPr>
                <w:rFonts w:ascii="Cambria Math" w:hAnsi="Cambria Math" w:cs="Cambria Math"/>
                <w:sz w:val="18"/>
                <w:szCs w:val="18"/>
              </w:rPr>
              <w:t>⁻</w:t>
            </w:r>
            <w:r w:rsidRPr="0047727E">
              <w:rPr>
                <w:rFonts w:ascii="Cambria Math" w:hAnsi="Cambria Math"/>
                <w:sz w:val="18"/>
                <w:szCs w:val="18"/>
              </w:rPr>
              <w:t>⁹</w:t>
            </w:r>
          </w:p>
        </w:tc>
      </w:tr>
      <w:tr w:rsidR="006D4904" w14:paraId="51C85933" w14:textId="77777777" w:rsidTr="0047727E">
        <w:tc>
          <w:tcPr>
            <w:tcW w:w="1583" w:type="dxa"/>
            <w:vAlign w:val="center"/>
          </w:tcPr>
          <w:p w14:paraId="0C8FF24B" w14:textId="295B5B1D"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Shifting</w:t>
            </w:r>
          </w:p>
        </w:tc>
        <w:tc>
          <w:tcPr>
            <w:tcW w:w="1652" w:type="dxa"/>
            <w:vAlign w:val="center"/>
          </w:tcPr>
          <w:p w14:paraId="094EEECE" w14:textId="60A3AB31" w:rsidR="006D4904" w:rsidRPr="006D4904" w:rsidRDefault="00121AF6" w:rsidP="006D4904">
            <w:pPr>
              <w:spacing w:after="120"/>
              <w:jc w:val="center"/>
              <w:rPr>
                <w:rFonts w:ascii="Helvetica" w:hAnsi="Helvetica"/>
                <w:sz w:val="20"/>
                <w:szCs w:val="20"/>
              </w:rPr>
            </w:pPr>
            <w:r w:rsidRPr="009B568A">
              <w:rPr>
                <w:rFonts w:ascii="Helvetica" w:hAnsi="Helvetica"/>
                <w:sz w:val="18"/>
                <w:szCs w:val="18"/>
              </w:rPr>
              <w:t>Stabilizing</w:t>
            </w:r>
          </w:p>
        </w:tc>
        <w:tc>
          <w:tcPr>
            <w:tcW w:w="1710" w:type="dxa"/>
            <w:vAlign w:val="center"/>
          </w:tcPr>
          <w:p w14:paraId="342C1A38" w14:textId="0B3CC929"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0.01583</w:t>
            </w:r>
          </w:p>
        </w:tc>
        <w:tc>
          <w:tcPr>
            <w:tcW w:w="1890" w:type="dxa"/>
            <w:vAlign w:val="center"/>
          </w:tcPr>
          <w:p w14:paraId="1AF6B7D4" w14:textId="1472D62B"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[0.01058, 0.02109]</w:t>
            </w:r>
          </w:p>
        </w:tc>
        <w:tc>
          <w:tcPr>
            <w:tcW w:w="1260" w:type="dxa"/>
            <w:vAlign w:val="center"/>
          </w:tcPr>
          <w:p w14:paraId="05F6FF8F" w14:textId="1662F31D"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8.9 × 10</w:t>
            </w:r>
            <w:r w:rsidRPr="0047727E">
              <w:rPr>
                <w:rFonts w:ascii="Cambria Math" w:hAnsi="Cambria Math" w:cs="Cambria Math"/>
                <w:sz w:val="18"/>
                <w:szCs w:val="18"/>
              </w:rPr>
              <w:t>⁻</w:t>
            </w:r>
            <w:r w:rsidRPr="0047727E">
              <w:rPr>
                <w:rFonts w:ascii="Cambria Math" w:hAnsi="Cambria Math"/>
                <w:sz w:val="18"/>
                <w:szCs w:val="18"/>
              </w:rPr>
              <w:t>⁹</w:t>
            </w:r>
          </w:p>
        </w:tc>
        <w:tc>
          <w:tcPr>
            <w:tcW w:w="1255" w:type="dxa"/>
            <w:vAlign w:val="center"/>
          </w:tcPr>
          <w:p w14:paraId="6FB6C59F" w14:textId="19CFD6B8"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1.35 × 10</w:t>
            </w:r>
            <w:r w:rsidRPr="0047727E">
              <w:rPr>
                <w:rFonts w:ascii="Cambria Math" w:hAnsi="Cambria Math" w:cs="Cambria Math"/>
                <w:sz w:val="18"/>
                <w:szCs w:val="18"/>
              </w:rPr>
              <w:t>⁻</w:t>
            </w:r>
            <w:r w:rsidRPr="0047727E">
              <w:rPr>
                <w:rFonts w:ascii="Cambria Math" w:hAnsi="Cambria Math"/>
                <w:sz w:val="18"/>
                <w:szCs w:val="18"/>
              </w:rPr>
              <w:t>⁸</w:t>
            </w:r>
          </w:p>
        </w:tc>
      </w:tr>
      <w:tr w:rsidR="006D4904" w14:paraId="4B22A886" w14:textId="77777777" w:rsidTr="0047727E">
        <w:tc>
          <w:tcPr>
            <w:tcW w:w="1583" w:type="dxa"/>
            <w:vAlign w:val="center"/>
          </w:tcPr>
          <w:p w14:paraId="686BA1BD" w14:textId="30C324FA" w:rsidR="006D4904" w:rsidRPr="006D4904" w:rsidRDefault="006D4904" w:rsidP="006D4904">
            <w:pPr>
              <w:spacing w:after="120"/>
              <w:jc w:val="center"/>
              <w:rPr>
                <w:rFonts w:ascii="Helvetica" w:hAnsi="Helvetica"/>
                <w:sz w:val="20"/>
                <w:szCs w:val="20"/>
              </w:rPr>
            </w:pPr>
            <w:r w:rsidRPr="009B568A">
              <w:rPr>
                <w:rFonts w:ascii="Helvetica" w:hAnsi="Helvetica"/>
                <w:sz w:val="18"/>
                <w:szCs w:val="18"/>
              </w:rPr>
              <w:t>Shifting</w:t>
            </w:r>
          </w:p>
        </w:tc>
        <w:tc>
          <w:tcPr>
            <w:tcW w:w="1652" w:type="dxa"/>
            <w:vAlign w:val="center"/>
          </w:tcPr>
          <w:p w14:paraId="0428BD82" w14:textId="4FDD0351" w:rsidR="006D4904" w:rsidRPr="006D4904" w:rsidRDefault="00121AF6" w:rsidP="006D4904">
            <w:pPr>
              <w:spacing w:after="120"/>
              <w:jc w:val="center"/>
              <w:rPr>
                <w:rFonts w:ascii="Helvetica" w:hAnsi="Helvetica"/>
                <w:sz w:val="20"/>
                <w:szCs w:val="20"/>
              </w:rPr>
            </w:pPr>
            <w:r w:rsidRPr="009B568A">
              <w:rPr>
                <w:rFonts w:ascii="Helvetica" w:hAnsi="Helvetica"/>
                <w:sz w:val="18"/>
                <w:szCs w:val="18"/>
              </w:rPr>
              <w:t>Shifting</w:t>
            </w:r>
          </w:p>
        </w:tc>
        <w:tc>
          <w:tcPr>
            <w:tcW w:w="1710" w:type="dxa"/>
            <w:vAlign w:val="center"/>
          </w:tcPr>
          <w:p w14:paraId="29FAE2A5" w14:textId="5C7ECF94" w:rsidR="006D4904" w:rsidRPr="0047727E" w:rsidRDefault="00121AF6" w:rsidP="006D4904">
            <w:pPr>
              <w:spacing w:after="120"/>
              <w:jc w:val="center"/>
              <w:rPr>
                <w:rFonts w:ascii="Cambria Math" w:hAnsi="Cambria Math"/>
                <w:sz w:val="18"/>
                <w:szCs w:val="18"/>
              </w:rPr>
            </w:pPr>
            <w:r w:rsidRPr="0047727E">
              <w:rPr>
                <w:rFonts w:ascii="Cambria Math" w:hAnsi="Cambria Math"/>
                <w:sz w:val="18"/>
                <w:szCs w:val="18"/>
              </w:rPr>
              <w:t>0.01556</w:t>
            </w:r>
          </w:p>
        </w:tc>
        <w:tc>
          <w:tcPr>
            <w:tcW w:w="1890" w:type="dxa"/>
            <w:vAlign w:val="center"/>
          </w:tcPr>
          <w:p w14:paraId="18D5932F" w14:textId="10D999F7"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[0.01029, 0.02083]</w:t>
            </w:r>
          </w:p>
        </w:tc>
        <w:tc>
          <w:tcPr>
            <w:tcW w:w="1260" w:type="dxa"/>
            <w:vAlign w:val="center"/>
          </w:tcPr>
          <w:p w14:paraId="547C313D" w14:textId="60B32F41" w:rsidR="006D4904" w:rsidRPr="0047727E" w:rsidRDefault="0047727E" w:rsidP="006D4904">
            <w:pPr>
              <w:spacing w:after="120"/>
              <w:jc w:val="center"/>
              <w:rPr>
                <w:rFonts w:ascii="Cambria Math" w:hAnsi="Cambria Math"/>
                <w:sz w:val="18"/>
                <w:szCs w:val="18"/>
              </w:rPr>
            </w:pPr>
            <w:r w:rsidRPr="0047727E">
              <w:rPr>
                <w:rFonts w:ascii="Cambria Math" w:hAnsi="Cambria Math"/>
                <w:sz w:val="18"/>
                <w:szCs w:val="18"/>
              </w:rPr>
              <w:t>7.2 × 10</w:t>
            </w:r>
            <w:r w:rsidRPr="0047727E">
              <w:rPr>
                <w:rFonts w:ascii="Cambria Math" w:hAnsi="Cambria Math" w:cs="Cambria Math"/>
                <w:sz w:val="18"/>
                <w:szCs w:val="18"/>
              </w:rPr>
              <w:t>⁻</w:t>
            </w:r>
            <w:r w:rsidRPr="0047727E">
              <w:rPr>
                <w:rFonts w:ascii="Cambria Math" w:hAnsi="Cambria Math"/>
                <w:sz w:val="18"/>
                <w:szCs w:val="18"/>
              </w:rPr>
              <w:t>⁹</w:t>
            </w:r>
          </w:p>
        </w:tc>
        <w:tc>
          <w:tcPr>
            <w:tcW w:w="1255" w:type="dxa"/>
            <w:vAlign w:val="center"/>
          </w:tcPr>
          <w:p w14:paraId="3B79CFB8" w14:textId="5DAD1925" w:rsidR="006D4904" w:rsidRPr="0047727E" w:rsidRDefault="0047727E" w:rsidP="00BD67CA">
            <w:pPr>
              <w:keepNext/>
              <w:jc w:val="center"/>
              <w:rPr>
                <w:rFonts w:ascii="Cambria Math" w:hAnsi="Cambria Math"/>
                <w:sz w:val="18"/>
                <w:szCs w:val="18"/>
              </w:rPr>
            </w:pPr>
            <w:r w:rsidRPr="0047727E">
              <w:rPr>
                <w:rFonts w:ascii="Cambria Math" w:hAnsi="Cambria Math"/>
                <w:sz w:val="18"/>
                <w:szCs w:val="18"/>
              </w:rPr>
              <w:t>1.35 × 10</w:t>
            </w:r>
            <w:r w:rsidRPr="0047727E">
              <w:rPr>
                <w:rFonts w:ascii="Cambria Math" w:hAnsi="Cambria Math" w:cs="Cambria Math"/>
                <w:sz w:val="18"/>
                <w:szCs w:val="18"/>
              </w:rPr>
              <w:t>⁻</w:t>
            </w:r>
            <w:r w:rsidRPr="0047727E">
              <w:rPr>
                <w:rFonts w:ascii="Cambria Math" w:hAnsi="Cambria Math"/>
                <w:sz w:val="18"/>
                <w:szCs w:val="18"/>
              </w:rPr>
              <w:t>⁸</w:t>
            </w:r>
          </w:p>
        </w:tc>
      </w:tr>
    </w:tbl>
    <w:p w14:paraId="4771B9C9" w14:textId="191E8D39" w:rsidR="006D4904" w:rsidRDefault="00BD67CA" w:rsidP="00EF6395">
      <w:pPr>
        <w:pStyle w:val="Caption"/>
        <w:jc w:val="both"/>
        <w:rPr>
          <w:rFonts w:ascii="Helvetica" w:hAnsi="Helvetica"/>
          <w:color w:val="000000" w:themeColor="text1"/>
        </w:rPr>
      </w:pPr>
      <w:r w:rsidRPr="00BD67CA">
        <w:rPr>
          <w:rFonts w:ascii="Helvetica" w:hAnsi="Helvetica"/>
          <w:color w:val="000000" w:themeColor="text1"/>
        </w:rPr>
        <w:t xml:space="preserve">Table </w:t>
      </w:r>
      <w:r w:rsidRPr="00BD67CA">
        <w:rPr>
          <w:rFonts w:ascii="Helvetica" w:hAnsi="Helvetica"/>
          <w:color w:val="000000" w:themeColor="text1"/>
        </w:rPr>
        <w:fldChar w:fldCharType="begin"/>
      </w:r>
      <w:r w:rsidRPr="00BD67CA">
        <w:rPr>
          <w:rFonts w:ascii="Helvetica" w:hAnsi="Helvetica"/>
          <w:color w:val="000000" w:themeColor="text1"/>
        </w:rPr>
        <w:instrText xml:space="preserve"> SEQ Table \* ARABIC </w:instrText>
      </w:r>
      <w:r w:rsidRPr="00BD67CA">
        <w:rPr>
          <w:rFonts w:ascii="Helvetica" w:hAnsi="Helvetica"/>
          <w:color w:val="000000" w:themeColor="text1"/>
        </w:rPr>
        <w:fldChar w:fldCharType="separate"/>
      </w:r>
      <w:r w:rsidRPr="00BD67CA">
        <w:rPr>
          <w:rFonts w:ascii="Helvetica" w:hAnsi="Helvetica"/>
          <w:noProof/>
          <w:color w:val="000000" w:themeColor="text1"/>
        </w:rPr>
        <w:t>3</w:t>
      </w:r>
      <w:r w:rsidRPr="00BD67CA">
        <w:rPr>
          <w:rFonts w:ascii="Helvetica" w:hAnsi="Helvetica"/>
          <w:color w:val="000000" w:themeColor="text1"/>
        </w:rPr>
        <w:fldChar w:fldCharType="end"/>
      </w:r>
      <w:r w:rsidRPr="00BD67CA">
        <w:rPr>
          <w:rFonts w:ascii="Helvetica" w:hAnsi="Helvetica"/>
          <w:color w:val="000000" w:themeColor="text1"/>
        </w:rPr>
        <w:t xml:space="preserve"> Cross-group comparisons of regime-conditioned latent-state magnitude between schizophrenia and control participants across all combinations of functional inertia regimes. Differences represent estimated marginal mean contrasts (Schizophrenia minus Control) derived from the repeated-measures ANCOVA model, adjusted for age, sex, scanning site, and head motion. Positive values indicate higher interregional disparity in schizophrenia. False discovery rate (FDR) correction was applied across all cross-regime comparisons.</w:t>
      </w:r>
    </w:p>
    <w:p w14:paraId="20C90D60" w14:textId="0017E832" w:rsidR="00627FD7" w:rsidRDefault="00627FD7" w:rsidP="00627FD7">
      <w:pPr>
        <w:spacing w:before="100" w:beforeAutospacing="1" w:after="100" w:afterAutospacing="1" w:line="240" w:lineRule="auto"/>
        <w:jc w:val="both"/>
        <w:rPr>
          <w:rFonts w:ascii="Helvetica" w:hAnsi="Helvetica"/>
          <w:b/>
          <w:bCs/>
          <w:sz w:val="28"/>
          <w:szCs w:val="28"/>
        </w:rPr>
      </w:pPr>
      <w:r>
        <w:rPr>
          <w:rFonts w:ascii="Helvetica" w:hAnsi="Helvetica"/>
          <w:b/>
          <w:bCs/>
          <w:sz w:val="28"/>
          <w:szCs w:val="28"/>
        </w:rPr>
        <w:t>References</w:t>
      </w:r>
    </w:p>
    <w:p w14:paraId="77B6F46B" w14:textId="77777777" w:rsidR="000D3DFE" w:rsidRPr="000D3DFE" w:rsidRDefault="00BE6D58" w:rsidP="000D3DFE">
      <w:pPr>
        <w:pStyle w:val="EndNoteBibliography"/>
        <w:spacing w:after="0"/>
        <w:ind w:left="720" w:hanging="720"/>
        <w:rPr>
          <w:noProof/>
        </w:rPr>
      </w:pPr>
      <w:r>
        <w:rPr>
          <w:rFonts w:ascii="Helvetica" w:hAnsi="Helvetica"/>
        </w:rPr>
        <w:fldChar w:fldCharType="begin"/>
      </w:r>
      <w:r>
        <w:rPr>
          <w:rFonts w:ascii="Helvetica" w:hAnsi="Helvetica"/>
        </w:rPr>
        <w:instrText xml:space="preserve"> ADDIN EN.REFLIST </w:instrText>
      </w:r>
      <w:r>
        <w:rPr>
          <w:rFonts w:ascii="Helvetica" w:hAnsi="Helvetica"/>
        </w:rPr>
        <w:fldChar w:fldCharType="separate"/>
      </w:r>
      <w:r w:rsidR="000D3DFE" w:rsidRPr="000D3DFE">
        <w:rPr>
          <w:noProof/>
        </w:rPr>
        <w:t>1.</w:t>
      </w:r>
      <w:r w:rsidR="000D3DFE" w:rsidRPr="000D3DFE">
        <w:rPr>
          <w:noProof/>
        </w:rPr>
        <w:tab/>
        <w:t xml:space="preserve">Faghiri A, Iraji A, Damaraju E, Turner J, Calhoun VD. A unified approach for characterizing static/dynamic connectivity frequency profiles using filter banks. </w:t>
      </w:r>
      <w:r w:rsidR="000D3DFE" w:rsidRPr="000D3DFE">
        <w:rPr>
          <w:i/>
          <w:noProof/>
        </w:rPr>
        <w:t xml:space="preserve">Network Neuroscience. </w:t>
      </w:r>
      <w:r w:rsidR="000D3DFE" w:rsidRPr="000D3DFE">
        <w:rPr>
          <w:noProof/>
        </w:rPr>
        <w:t>2021;5(1):56-82.</w:t>
      </w:r>
    </w:p>
    <w:p w14:paraId="507191EE" w14:textId="77777777" w:rsidR="000D3DFE" w:rsidRPr="000D3DFE" w:rsidRDefault="000D3DFE" w:rsidP="000D3DFE">
      <w:pPr>
        <w:pStyle w:val="EndNoteBibliography"/>
        <w:spacing w:after="0"/>
        <w:ind w:left="720" w:hanging="720"/>
        <w:rPr>
          <w:noProof/>
        </w:rPr>
      </w:pPr>
      <w:r w:rsidRPr="000D3DFE">
        <w:rPr>
          <w:noProof/>
        </w:rPr>
        <w:t>2.</w:t>
      </w:r>
      <w:r w:rsidRPr="000D3DFE">
        <w:rPr>
          <w:noProof/>
        </w:rPr>
        <w:tab/>
        <w:t xml:space="preserve">Faghiri A, Yang K, Ishizuka K, Sawa A, Adali T, Calhoun V. </w:t>
      </w:r>
      <w:r w:rsidRPr="000D3DFE">
        <w:rPr>
          <w:i/>
          <w:noProof/>
        </w:rPr>
        <w:t>Frequency modulation increases the specificity of time-resolved connectivity: A resting-state fMRI study.</w:t>
      </w:r>
      <w:r w:rsidRPr="000D3DFE">
        <w:rPr>
          <w:noProof/>
        </w:rPr>
        <w:t xml:space="preserve"> 2023.</w:t>
      </w:r>
    </w:p>
    <w:p w14:paraId="6DC081B5" w14:textId="77777777" w:rsidR="000D3DFE" w:rsidRPr="000D3DFE" w:rsidRDefault="000D3DFE" w:rsidP="000D3DFE">
      <w:pPr>
        <w:pStyle w:val="EndNoteBibliography"/>
        <w:spacing w:after="0"/>
        <w:ind w:left="720" w:hanging="720"/>
        <w:rPr>
          <w:noProof/>
        </w:rPr>
      </w:pPr>
      <w:r w:rsidRPr="000D3DFE">
        <w:rPr>
          <w:noProof/>
        </w:rPr>
        <w:t>3.</w:t>
      </w:r>
      <w:r w:rsidRPr="000D3DFE">
        <w:rPr>
          <w:noProof/>
        </w:rPr>
        <w:tab/>
        <w:t xml:space="preserve">Wiafe S-L, Asante NO, Calhoun VD, Faghiri A. Studying time-resolved functional connectivity via communication theory: on the complementary nature of phase synchronization and sliding window Pearson correlation. </w:t>
      </w:r>
      <w:r w:rsidRPr="000D3DFE">
        <w:rPr>
          <w:i/>
          <w:noProof/>
        </w:rPr>
        <w:t xml:space="preserve">bioRxiv. </w:t>
      </w:r>
      <w:r w:rsidRPr="000D3DFE">
        <w:rPr>
          <w:noProof/>
        </w:rPr>
        <w:t>2024:2024.2006. 2012.598720.</w:t>
      </w:r>
    </w:p>
    <w:p w14:paraId="7CD3250E" w14:textId="77777777" w:rsidR="000D3DFE" w:rsidRPr="000D3DFE" w:rsidRDefault="000D3DFE" w:rsidP="000D3DFE">
      <w:pPr>
        <w:pStyle w:val="EndNoteBibliography"/>
        <w:spacing w:after="0"/>
        <w:ind w:left="720" w:hanging="720"/>
        <w:rPr>
          <w:noProof/>
        </w:rPr>
      </w:pPr>
      <w:r w:rsidRPr="000D3DFE">
        <w:rPr>
          <w:noProof/>
        </w:rPr>
        <w:t>4.</w:t>
      </w:r>
      <w:r w:rsidRPr="000D3DFE">
        <w:rPr>
          <w:noProof/>
        </w:rPr>
        <w:tab/>
        <w:t xml:space="preserve">Wiafe S-L, Faghiri A, Fu Z, Miller R, Calhoun V. </w:t>
      </w:r>
      <w:r w:rsidRPr="000D3DFE">
        <w:rPr>
          <w:i/>
          <w:noProof/>
        </w:rPr>
        <w:t>Capturing Stretching and Shrinking of Inter-Network Temporal Coupling in FMRI Via WARP Elasticity.</w:t>
      </w:r>
      <w:r w:rsidRPr="000D3DFE">
        <w:rPr>
          <w:noProof/>
        </w:rPr>
        <w:t xml:space="preserve"> 2024.</w:t>
      </w:r>
    </w:p>
    <w:p w14:paraId="29666D08" w14:textId="77777777" w:rsidR="000D3DFE" w:rsidRPr="000D3DFE" w:rsidRDefault="000D3DFE" w:rsidP="000D3DFE">
      <w:pPr>
        <w:pStyle w:val="EndNoteBibliography"/>
        <w:spacing w:after="0"/>
        <w:ind w:left="720" w:hanging="720"/>
        <w:rPr>
          <w:noProof/>
        </w:rPr>
      </w:pPr>
      <w:r w:rsidRPr="000D3DFE">
        <w:rPr>
          <w:noProof/>
        </w:rPr>
        <w:t>5.</w:t>
      </w:r>
      <w:r w:rsidRPr="000D3DFE">
        <w:rPr>
          <w:noProof/>
        </w:rPr>
        <w:tab/>
        <w:t xml:space="preserve">Wiafe S-L, Faghiri A, Fu Z, Miller R, Preda A, Calhoun VD. The dynamics of dynamic time warping in fMRI data: a method to capture inter-network stretching and shrinking via warp elasticity. </w:t>
      </w:r>
      <w:r w:rsidRPr="000D3DFE">
        <w:rPr>
          <w:i/>
          <w:noProof/>
        </w:rPr>
        <w:t xml:space="preserve">Imaging Neuroscience. </w:t>
      </w:r>
      <w:r w:rsidRPr="000D3DFE">
        <w:rPr>
          <w:noProof/>
        </w:rPr>
        <w:t>2024.</w:t>
      </w:r>
    </w:p>
    <w:p w14:paraId="6DE68329" w14:textId="77777777" w:rsidR="000D3DFE" w:rsidRPr="000D3DFE" w:rsidRDefault="000D3DFE" w:rsidP="000D3DFE">
      <w:pPr>
        <w:pStyle w:val="EndNoteBibliography"/>
        <w:spacing w:after="0"/>
        <w:ind w:left="720" w:hanging="720"/>
        <w:rPr>
          <w:noProof/>
        </w:rPr>
      </w:pPr>
      <w:r w:rsidRPr="000D3DFE">
        <w:rPr>
          <w:noProof/>
        </w:rPr>
        <w:t>6.</w:t>
      </w:r>
      <w:r w:rsidRPr="000D3DFE">
        <w:rPr>
          <w:noProof/>
        </w:rPr>
        <w:tab/>
        <w:t xml:space="preserve">Paliwal KK, Agarwal A, Sinha SS. A modification over Sakoe and Chiba's dynamic time warping algorithm for isolated word recognition. </w:t>
      </w:r>
      <w:r w:rsidRPr="000D3DFE">
        <w:rPr>
          <w:i/>
          <w:noProof/>
        </w:rPr>
        <w:t xml:space="preserve">Signal Processing. </w:t>
      </w:r>
      <w:r w:rsidRPr="000D3DFE">
        <w:rPr>
          <w:noProof/>
        </w:rPr>
        <w:t>1982;4(4):329-333.</w:t>
      </w:r>
    </w:p>
    <w:p w14:paraId="3BCB4DF5" w14:textId="77777777" w:rsidR="000D3DFE" w:rsidRPr="000D3DFE" w:rsidRDefault="000D3DFE" w:rsidP="000D3DFE">
      <w:pPr>
        <w:pStyle w:val="EndNoteBibliography"/>
        <w:spacing w:after="0"/>
        <w:ind w:left="720" w:hanging="720"/>
        <w:rPr>
          <w:noProof/>
        </w:rPr>
      </w:pPr>
      <w:r w:rsidRPr="000D3DFE">
        <w:rPr>
          <w:noProof/>
        </w:rPr>
        <w:t>7.</w:t>
      </w:r>
      <w:r w:rsidRPr="000D3DFE">
        <w:rPr>
          <w:noProof/>
        </w:rPr>
        <w:tab/>
        <w:t xml:space="preserve">Meszlényi RJ, Hermann P, Buza K, Gál V, Vidnyánszky Z. Resting state fMRI functional connectivity analysis using dynamic time warping. </w:t>
      </w:r>
      <w:r w:rsidRPr="000D3DFE">
        <w:rPr>
          <w:i/>
          <w:noProof/>
        </w:rPr>
        <w:t xml:space="preserve">Frontiers in neuroscience. </w:t>
      </w:r>
      <w:r w:rsidRPr="000D3DFE">
        <w:rPr>
          <w:noProof/>
        </w:rPr>
        <w:t>2017;11:75.</w:t>
      </w:r>
    </w:p>
    <w:p w14:paraId="61DB6966" w14:textId="77777777" w:rsidR="000D3DFE" w:rsidRPr="000D3DFE" w:rsidRDefault="000D3DFE" w:rsidP="000D3DFE">
      <w:pPr>
        <w:pStyle w:val="EndNoteBibliography"/>
        <w:spacing w:after="0"/>
        <w:ind w:left="720" w:hanging="720"/>
        <w:rPr>
          <w:noProof/>
        </w:rPr>
      </w:pPr>
      <w:r w:rsidRPr="000D3DFE">
        <w:rPr>
          <w:noProof/>
        </w:rPr>
        <w:t>8.</w:t>
      </w:r>
      <w:r w:rsidRPr="000D3DFE">
        <w:rPr>
          <w:noProof/>
        </w:rPr>
        <w:tab/>
        <w:t xml:space="preserve">Wiafe S-L, Kinsey S, Soleimani N, et al. Mapping Dynamic Metabolic Energy Distribution in Brain Networks using fMRI: A Novel Dynamic Time Warping Framework. </w:t>
      </w:r>
      <w:r w:rsidRPr="000D3DFE">
        <w:rPr>
          <w:i/>
          <w:noProof/>
        </w:rPr>
        <w:t xml:space="preserve">bioRxiv. </w:t>
      </w:r>
      <w:r w:rsidRPr="000D3DFE">
        <w:rPr>
          <w:noProof/>
        </w:rPr>
        <w:t>2025:2025.2003. 2020.644399.</w:t>
      </w:r>
    </w:p>
    <w:p w14:paraId="4C8293BD" w14:textId="77777777" w:rsidR="000D3DFE" w:rsidRPr="000D3DFE" w:rsidRDefault="000D3DFE" w:rsidP="000D3DFE">
      <w:pPr>
        <w:pStyle w:val="EndNoteBibliography"/>
        <w:ind w:left="720" w:hanging="720"/>
        <w:rPr>
          <w:noProof/>
        </w:rPr>
      </w:pPr>
      <w:r w:rsidRPr="000D3DFE">
        <w:rPr>
          <w:noProof/>
        </w:rPr>
        <w:t>9.</w:t>
      </w:r>
      <w:r w:rsidRPr="000D3DFE">
        <w:rPr>
          <w:noProof/>
        </w:rPr>
        <w:tab/>
        <w:t xml:space="preserve">Allen EA, Damaraju E, Plis SM, Erhardt EB, Eichele T, Calhoun VD. Tracking whole-brain connectivity dynamics in the resting state. </w:t>
      </w:r>
      <w:r w:rsidRPr="000D3DFE">
        <w:rPr>
          <w:i/>
          <w:noProof/>
        </w:rPr>
        <w:t xml:space="preserve">Cereb Cortex. </w:t>
      </w:r>
      <w:r w:rsidRPr="000D3DFE">
        <w:rPr>
          <w:noProof/>
        </w:rPr>
        <w:t>2014;24(3):663-676.</w:t>
      </w:r>
    </w:p>
    <w:p w14:paraId="6E30F6CA" w14:textId="39675708" w:rsidR="006E11E9" w:rsidRPr="00082589" w:rsidRDefault="00BE6D58" w:rsidP="00082589">
      <w:pPr>
        <w:spacing w:after="120" w:line="240" w:lineRule="auto"/>
        <w:jc w:val="both"/>
        <w:rPr>
          <w:rFonts w:ascii="Helvetica" w:hAnsi="Helvetica"/>
        </w:rPr>
      </w:pPr>
      <w:r>
        <w:rPr>
          <w:rFonts w:ascii="Helvetica" w:hAnsi="Helvetica"/>
        </w:rPr>
        <w:fldChar w:fldCharType="end"/>
      </w:r>
    </w:p>
    <w:sectPr w:rsidR="006E11E9" w:rsidRPr="000825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E518A"/>
    <w:multiLevelType w:val="hybridMultilevel"/>
    <w:tmpl w:val="C6123B7A"/>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7D0A73"/>
    <w:multiLevelType w:val="multilevel"/>
    <w:tmpl w:val="BCA6D2B2"/>
    <w:lvl w:ilvl="0">
      <w:start w:val="1"/>
      <w:numFmt w:val="decimal"/>
      <w:lvlText w:val="%1."/>
      <w:lvlJc w:val="left"/>
      <w:pPr>
        <w:ind w:left="360" w:hanging="360"/>
      </w:pPr>
      <w:rPr>
        <w:rFonts w:hint="default"/>
        <w:b/>
        <w:bCs/>
        <w:sz w:val="32"/>
        <w:szCs w:val="32"/>
      </w:rPr>
    </w:lvl>
    <w:lvl w:ilvl="1">
      <w:start w:val="1"/>
      <w:numFmt w:val="decimal"/>
      <w:isLgl/>
      <w:lvlText w:val="%1.%2."/>
      <w:lvlJc w:val="left"/>
      <w:pPr>
        <w:ind w:left="720" w:hanging="720"/>
      </w:pPr>
      <w:rPr>
        <w:rFonts w:hint="default"/>
        <w:b/>
        <w:bCs/>
        <w:i w:val="0"/>
        <w:iCs w:val="0"/>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412005872">
    <w:abstractNumId w:val="1"/>
  </w:num>
  <w:num w:numId="2" w16cid:durableId="719204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er J Public Heal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21&lt;record-ids&gt;&lt;item&gt;2540&lt;/item&gt;&lt;item&gt;2568&lt;/item&gt;&lt;item&gt;2584&lt;/item&gt;&lt;/record-ids&gt;&lt;/item&gt;&lt;/Libraries&gt;"/>
  </w:docVars>
  <w:rsids>
    <w:rsidRoot w:val="00082589"/>
    <w:rsid w:val="00004823"/>
    <w:rsid w:val="0001799D"/>
    <w:rsid w:val="000427B3"/>
    <w:rsid w:val="000430BE"/>
    <w:rsid w:val="00044225"/>
    <w:rsid w:val="000635AE"/>
    <w:rsid w:val="00082589"/>
    <w:rsid w:val="00082DE4"/>
    <w:rsid w:val="00091E1A"/>
    <w:rsid w:val="0009643A"/>
    <w:rsid w:val="000A5384"/>
    <w:rsid w:val="000A6A05"/>
    <w:rsid w:val="000C0012"/>
    <w:rsid w:val="000C6A6F"/>
    <w:rsid w:val="000C7246"/>
    <w:rsid w:val="000D3DFE"/>
    <w:rsid w:val="000E6610"/>
    <w:rsid w:val="000F5C6F"/>
    <w:rsid w:val="00101BA6"/>
    <w:rsid w:val="0010364B"/>
    <w:rsid w:val="00103EDF"/>
    <w:rsid w:val="00121AF6"/>
    <w:rsid w:val="00132908"/>
    <w:rsid w:val="00132BA2"/>
    <w:rsid w:val="0014570D"/>
    <w:rsid w:val="00145DCE"/>
    <w:rsid w:val="00163B52"/>
    <w:rsid w:val="001831B3"/>
    <w:rsid w:val="0018437A"/>
    <w:rsid w:val="00187033"/>
    <w:rsid w:val="0018719F"/>
    <w:rsid w:val="00191B8D"/>
    <w:rsid w:val="001A5A16"/>
    <w:rsid w:val="001B00A2"/>
    <w:rsid w:val="001C1DA5"/>
    <w:rsid w:val="001D00C7"/>
    <w:rsid w:val="001D02AF"/>
    <w:rsid w:val="001D2036"/>
    <w:rsid w:val="001D40DD"/>
    <w:rsid w:val="001D4AAD"/>
    <w:rsid w:val="001F7FA8"/>
    <w:rsid w:val="00200C17"/>
    <w:rsid w:val="00212265"/>
    <w:rsid w:val="00213F7F"/>
    <w:rsid w:val="00221B91"/>
    <w:rsid w:val="00226103"/>
    <w:rsid w:val="0023731F"/>
    <w:rsid w:val="00245F23"/>
    <w:rsid w:val="00254A38"/>
    <w:rsid w:val="0025788E"/>
    <w:rsid w:val="00261803"/>
    <w:rsid w:val="002743B9"/>
    <w:rsid w:val="00275B13"/>
    <w:rsid w:val="00297810"/>
    <w:rsid w:val="002C7989"/>
    <w:rsid w:val="002F3286"/>
    <w:rsid w:val="00305832"/>
    <w:rsid w:val="00320473"/>
    <w:rsid w:val="00337D8A"/>
    <w:rsid w:val="003426D8"/>
    <w:rsid w:val="00367233"/>
    <w:rsid w:val="0037050F"/>
    <w:rsid w:val="00382F2F"/>
    <w:rsid w:val="0038793C"/>
    <w:rsid w:val="003A04DF"/>
    <w:rsid w:val="003A2676"/>
    <w:rsid w:val="003D0232"/>
    <w:rsid w:val="003D0A36"/>
    <w:rsid w:val="003D3153"/>
    <w:rsid w:val="003F01E7"/>
    <w:rsid w:val="003F1417"/>
    <w:rsid w:val="004039E9"/>
    <w:rsid w:val="00406E3A"/>
    <w:rsid w:val="00412CB5"/>
    <w:rsid w:val="00414F7D"/>
    <w:rsid w:val="00420CFE"/>
    <w:rsid w:val="004377F1"/>
    <w:rsid w:val="0044003F"/>
    <w:rsid w:val="004414B5"/>
    <w:rsid w:val="004555C7"/>
    <w:rsid w:val="004555F5"/>
    <w:rsid w:val="0045715A"/>
    <w:rsid w:val="0046430E"/>
    <w:rsid w:val="00464496"/>
    <w:rsid w:val="0047265D"/>
    <w:rsid w:val="004726C4"/>
    <w:rsid w:val="004749F8"/>
    <w:rsid w:val="0047727E"/>
    <w:rsid w:val="004808BA"/>
    <w:rsid w:val="00482DBA"/>
    <w:rsid w:val="00487D17"/>
    <w:rsid w:val="0049501A"/>
    <w:rsid w:val="004A1D89"/>
    <w:rsid w:val="004A445B"/>
    <w:rsid w:val="004B1ED1"/>
    <w:rsid w:val="004D29E6"/>
    <w:rsid w:val="004E2724"/>
    <w:rsid w:val="004E4C4B"/>
    <w:rsid w:val="004F20D7"/>
    <w:rsid w:val="00512000"/>
    <w:rsid w:val="00513027"/>
    <w:rsid w:val="00514F39"/>
    <w:rsid w:val="00514F58"/>
    <w:rsid w:val="005210EC"/>
    <w:rsid w:val="005235DC"/>
    <w:rsid w:val="0056212E"/>
    <w:rsid w:val="005A1E25"/>
    <w:rsid w:val="005B03B5"/>
    <w:rsid w:val="005B2714"/>
    <w:rsid w:val="005C172A"/>
    <w:rsid w:val="005C3C6E"/>
    <w:rsid w:val="005C68CB"/>
    <w:rsid w:val="005F35A8"/>
    <w:rsid w:val="005F7C87"/>
    <w:rsid w:val="00604193"/>
    <w:rsid w:val="00617A63"/>
    <w:rsid w:val="00627FD7"/>
    <w:rsid w:val="00637AA0"/>
    <w:rsid w:val="00666C37"/>
    <w:rsid w:val="00697F93"/>
    <w:rsid w:val="006A144D"/>
    <w:rsid w:val="006A500F"/>
    <w:rsid w:val="006B1443"/>
    <w:rsid w:val="006C5B86"/>
    <w:rsid w:val="006C7012"/>
    <w:rsid w:val="006D4904"/>
    <w:rsid w:val="006E1097"/>
    <w:rsid w:val="006E11E9"/>
    <w:rsid w:val="006E2136"/>
    <w:rsid w:val="006E758A"/>
    <w:rsid w:val="006F198D"/>
    <w:rsid w:val="006F3582"/>
    <w:rsid w:val="006F5264"/>
    <w:rsid w:val="00700C41"/>
    <w:rsid w:val="00704182"/>
    <w:rsid w:val="007045B7"/>
    <w:rsid w:val="00704B61"/>
    <w:rsid w:val="00713B07"/>
    <w:rsid w:val="00741E9D"/>
    <w:rsid w:val="00742C72"/>
    <w:rsid w:val="007613AF"/>
    <w:rsid w:val="00763952"/>
    <w:rsid w:val="00772767"/>
    <w:rsid w:val="00775502"/>
    <w:rsid w:val="00780548"/>
    <w:rsid w:val="00791C68"/>
    <w:rsid w:val="007948C3"/>
    <w:rsid w:val="00797282"/>
    <w:rsid w:val="007A77F3"/>
    <w:rsid w:val="007B3C5A"/>
    <w:rsid w:val="007B5505"/>
    <w:rsid w:val="007D2BC1"/>
    <w:rsid w:val="007F7996"/>
    <w:rsid w:val="00813E10"/>
    <w:rsid w:val="00817BF0"/>
    <w:rsid w:val="00820E27"/>
    <w:rsid w:val="008325DF"/>
    <w:rsid w:val="00833C9F"/>
    <w:rsid w:val="00835E43"/>
    <w:rsid w:val="00842ABC"/>
    <w:rsid w:val="008478C8"/>
    <w:rsid w:val="00860BAE"/>
    <w:rsid w:val="00860D77"/>
    <w:rsid w:val="008651C2"/>
    <w:rsid w:val="00873F5F"/>
    <w:rsid w:val="00876EA6"/>
    <w:rsid w:val="00885C2E"/>
    <w:rsid w:val="00895677"/>
    <w:rsid w:val="008957DA"/>
    <w:rsid w:val="008A490B"/>
    <w:rsid w:val="008B01CC"/>
    <w:rsid w:val="008B367E"/>
    <w:rsid w:val="008C2EE4"/>
    <w:rsid w:val="008C3725"/>
    <w:rsid w:val="008D14A7"/>
    <w:rsid w:val="008D6BC9"/>
    <w:rsid w:val="008E1D8B"/>
    <w:rsid w:val="008E4E48"/>
    <w:rsid w:val="008E70A6"/>
    <w:rsid w:val="008F4E81"/>
    <w:rsid w:val="009143A1"/>
    <w:rsid w:val="00941447"/>
    <w:rsid w:val="00945591"/>
    <w:rsid w:val="009477AC"/>
    <w:rsid w:val="00956E82"/>
    <w:rsid w:val="009672D8"/>
    <w:rsid w:val="00977DC1"/>
    <w:rsid w:val="00980F5A"/>
    <w:rsid w:val="00983664"/>
    <w:rsid w:val="00984834"/>
    <w:rsid w:val="009877E8"/>
    <w:rsid w:val="0099213B"/>
    <w:rsid w:val="00992D16"/>
    <w:rsid w:val="009953A6"/>
    <w:rsid w:val="009A01B9"/>
    <w:rsid w:val="009B568A"/>
    <w:rsid w:val="009B578C"/>
    <w:rsid w:val="009C1EA2"/>
    <w:rsid w:val="009D5080"/>
    <w:rsid w:val="009F605D"/>
    <w:rsid w:val="00A06D03"/>
    <w:rsid w:val="00A123AB"/>
    <w:rsid w:val="00A16261"/>
    <w:rsid w:val="00A323BF"/>
    <w:rsid w:val="00A50224"/>
    <w:rsid w:val="00A51045"/>
    <w:rsid w:val="00A5339E"/>
    <w:rsid w:val="00A55957"/>
    <w:rsid w:val="00A71217"/>
    <w:rsid w:val="00A71EA2"/>
    <w:rsid w:val="00A741A0"/>
    <w:rsid w:val="00A81E97"/>
    <w:rsid w:val="00A91F72"/>
    <w:rsid w:val="00AA0473"/>
    <w:rsid w:val="00AB5609"/>
    <w:rsid w:val="00AC0232"/>
    <w:rsid w:val="00AC2E11"/>
    <w:rsid w:val="00AC30AF"/>
    <w:rsid w:val="00AD4458"/>
    <w:rsid w:val="00AE43D4"/>
    <w:rsid w:val="00AE7E23"/>
    <w:rsid w:val="00B079CF"/>
    <w:rsid w:val="00B20F0C"/>
    <w:rsid w:val="00B21199"/>
    <w:rsid w:val="00B22C0B"/>
    <w:rsid w:val="00B245AC"/>
    <w:rsid w:val="00B31003"/>
    <w:rsid w:val="00B311DD"/>
    <w:rsid w:val="00B3180D"/>
    <w:rsid w:val="00B3267A"/>
    <w:rsid w:val="00B329ED"/>
    <w:rsid w:val="00B52D1C"/>
    <w:rsid w:val="00B64921"/>
    <w:rsid w:val="00B65993"/>
    <w:rsid w:val="00B85130"/>
    <w:rsid w:val="00B866FD"/>
    <w:rsid w:val="00B95B62"/>
    <w:rsid w:val="00BA5035"/>
    <w:rsid w:val="00BB34F7"/>
    <w:rsid w:val="00BB3BD9"/>
    <w:rsid w:val="00BC3E8E"/>
    <w:rsid w:val="00BD027D"/>
    <w:rsid w:val="00BD67CA"/>
    <w:rsid w:val="00BE1C19"/>
    <w:rsid w:val="00BE6D58"/>
    <w:rsid w:val="00C17B4E"/>
    <w:rsid w:val="00C21980"/>
    <w:rsid w:val="00C24A4A"/>
    <w:rsid w:val="00C308FD"/>
    <w:rsid w:val="00C33F0A"/>
    <w:rsid w:val="00C35B9C"/>
    <w:rsid w:val="00C42BED"/>
    <w:rsid w:val="00C502CC"/>
    <w:rsid w:val="00C62E4D"/>
    <w:rsid w:val="00C704D7"/>
    <w:rsid w:val="00C74114"/>
    <w:rsid w:val="00C76C87"/>
    <w:rsid w:val="00C951FA"/>
    <w:rsid w:val="00CB7D48"/>
    <w:rsid w:val="00CC3A73"/>
    <w:rsid w:val="00CC5C7C"/>
    <w:rsid w:val="00CC6ED5"/>
    <w:rsid w:val="00CD33FA"/>
    <w:rsid w:val="00CD34A6"/>
    <w:rsid w:val="00CE065A"/>
    <w:rsid w:val="00CE2521"/>
    <w:rsid w:val="00CE2A8B"/>
    <w:rsid w:val="00CF1EF1"/>
    <w:rsid w:val="00D0308D"/>
    <w:rsid w:val="00D0759A"/>
    <w:rsid w:val="00D07F6D"/>
    <w:rsid w:val="00D251B2"/>
    <w:rsid w:val="00D32511"/>
    <w:rsid w:val="00D60644"/>
    <w:rsid w:val="00D67BBC"/>
    <w:rsid w:val="00D87268"/>
    <w:rsid w:val="00DB5D12"/>
    <w:rsid w:val="00DC1888"/>
    <w:rsid w:val="00DC2569"/>
    <w:rsid w:val="00DC5FC1"/>
    <w:rsid w:val="00DD3C9F"/>
    <w:rsid w:val="00DD41CF"/>
    <w:rsid w:val="00DF18A5"/>
    <w:rsid w:val="00DF220D"/>
    <w:rsid w:val="00E13936"/>
    <w:rsid w:val="00E422D3"/>
    <w:rsid w:val="00E54FE7"/>
    <w:rsid w:val="00E63925"/>
    <w:rsid w:val="00E65558"/>
    <w:rsid w:val="00E81D71"/>
    <w:rsid w:val="00E97227"/>
    <w:rsid w:val="00EB4E0A"/>
    <w:rsid w:val="00EC275D"/>
    <w:rsid w:val="00EE5702"/>
    <w:rsid w:val="00EF6395"/>
    <w:rsid w:val="00EF66CC"/>
    <w:rsid w:val="00EF6F9C"/>
    <w:rsid w:val="00EF71BF"/>
    <w:rsid w:val="00F034BD"/>
    <w:rsid w:val="00F12C87"/>
    <w:rsid w:val="00F13D6B"/>
    <w:rsid w:val="00F20AF9"/>
    <w:rsid w:val="00F314B6"/>
    <w:rsid w:val="00F37E72"/>
    <w:rsid w:val="00F409F1"/>
    <w:rsid w:val="00F43DDF"/>
    <w:rsid w:val="00F67B46"/>
    <w:rsid w:val="00F71CE9"/>
    <w:rsid w:val="00F741C9"/>
    <w:rsid w:val="00F75055"/>
    <w:rsid w:val="00F76BB9"/>
    <w:rsid w:val="00F77F16"/>
    <w:rsid w:val="00F87503"/>
    <w:rsid w:val="00F9102B"/>
    <w:rsid w:val="00F949F6"/>
    <w:rsid w:val="00FA2582"/>
    <w:rsid w:val="00FA4266"/>
    <w:rsid w:val="00FB70AA"/>
    <w:rsid w:val="00FC5420"/>
    <w:rsid w:val="00FD6544"/>
    <w:rsid w:val="00FD6F2F"/>
    <w:rsid w:val="00FF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9CAC"/>
  <w15:chartTrackingRefBased/>
  <w15:docId w15:val="{E14127FF-4FE4-A34C-B23C-2F3C26E8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996"/>
  </w:style>
  <w:style w:type="paragraph" w:styleId="Heading1">
    <w:name w:val="heading 1"/>
    <w:basedOn w:val="Normal"/>
    <w:next w:val="Normal"/>
    <w:link w:val="Heading1Char"/>
    <w:uiPriority w:val="9"/>
    <w:qFormat/>
    <w:rsid w:val="000825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25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25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825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5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5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5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5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5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5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25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25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825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25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25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5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5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589"/>
    <w:rPr>
      <w:rFonts w:eastAsiaTheme="majorEastAsia" w:cstheme="majorBidi"/>
      <w:color w:val="272727" w:themeColor="text1" w:themeTint="D8"/>
    </w:rPr>
  </w:style>
  <w:style w:type="paragraph" w:styleId="Title">
    <w:name w:val="Title"/>
    <w:basedOn w:val="Normal"/>
    <w:next w:val="Normal"/>
    <w:link w:val="TitleChar"/>
    <w:uiPriority w:val="10"/>
    <w:qFormat/>
    <w:rsid w:val="000825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5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25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25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589"/>
    <w:pPr>
      <w:spacing w:before="160"/>
      <w:jc w:val="center"/>
    </w:pPr>
    <w:rPr>
      <w:i/>
      <w:iCs/>
      <w:color w:val="404040" w:themeColor="text1" w:themeTint="BF"/>
    </w:rPr>
  </w:style>
  <w:style w:type="character" w:customStyle="1" w:styleId="QuoteChar">
    <w:name w:val="Quote Char"/>
    <w:basedOn w:val="DefaultParagraphFont"/>
    <w:link w:val="Quote"/>
    <w:uiPriority w:val="29"/>
    <w:rsid w:val="00082589"/>
    <w:rPr>
      <w:i/>
      <w:iCs/>
      <w:color w:val="404040" w:themeColor="text1" w:themeTint="BF"/>
    </w:rPr>
  </w:style>
  <w:style w:type="paragraph" w:styleId="ListParagraph">
    <w:name w:val="List Paragraph"/>
    <w:basedOn w:val="Normal"/>
    <w:uiPriority w:val="34"/>
    <w:qFormat/>
    <w:rsid w:val="00082589"/>
    <w:pPr>
      <w:ind w:left="720"/>
      <w:contextualSpacing/>
    </w:pPr>
  </w:style>
  <w:style w:type="character" w:styleId="IntenseEmphasis">
    <w:name w:val="Intense Emphasis"/>
    <w:basedOn w:val="DefaultParagraphFont"/>
    <w:uiPriority w:val="21"/>
    <w:qFormat/>
    <w:rsid w:val="00082589"/>
    <w:rPr>
      <w:i/>
      <w:iCs/>
      <w:color w:val="0F4761" w:themeColor="accent1" w:themeShade="BF"/>
    </w:rPr>
  </w:style>
  <w:style w:type="paragraph" w:styleId="IntenseQuote">
    <w:name w:val="Intense Quote"/>
    <w:basedOn w:val="Normal"/>
    <w:next w:val="Normal"/>
    <w:link w:val="IntenseQuoteChar"/>
    <w:uiPriority w:val="30"/>
    <w:qFormat/>
    <w:rsid w:val="000825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2589"/>
    <w:rPr>
      <w:i/>
      <w:iCs/>
      <w:color w:val="0F4761" w:themeColor="accent1" w:themeShade="BF"/>
    </w:rPr>
  </w:style>
  <w:style w:type="character" w:styleId="IntenseReference">
    <w:name w:val="Intense Reference"/>
    <w:basedOn w:val="DefaultParagraphFont"/>
    <w:uiPriority w:val="32"/>
    <w:qFormat/>
    <w:rsid w:val="00082589"/>
    <w:rPr>
      <w:b/>
      <w:bCs/>
      <w:smallCaps/>
      <w:color w:val="0F4761" w:themeColor="accent1" w:themeShade="BF"/>
      <w:spacing w:val="5"/>
    </w:rPr>
  </w:style>
  <w:style w:type="paragraph" w:styleId="NormalWeb">
    <w:name w:val="Normal (Web)"/>
    <w:basedOn w:val="Normal"/>
    <w:uiPriority w:val="99"/>
    <w:semiHidden/>
    <w:unhideWhenUsed/>
    <w:rsid w:val="00082589"/>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6E1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1E9"/>
    <w:rPr>
      <w:color w:val="666666"/>
    </w:rPr>
  </w:style>
  <w:style w:type="paragraph" w:customStyle="1" w:styleId="EndNoteBibliographyTitle">
    <w:name w:val="EndNote Bibliography Title"/>
    <w:basedOn w:val="Normal"/>
    <w:link w:val="EndNoteBibliographyTitleChar"/>
    <w:rsid w:val="00BE6D58"/>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BE6D58"/>
    <w:rPr>
      <w:rFonts w:ascii="Aptos" w:hAnsi="Aptos"/>
    </w:rPr>
  </w:style>
  <w:style w:type="paragraph" w:customStyle="1" w:styleId="EndNoteBibliography">
    <w:name w:val="EndNote Bibliography"/>
    <w:basedOn w:val="Normal"/>
    <w:link w:val="EndNoteBibliographyChar"/>
    <w:rsid w:val="00BE6D58"/>
    <w:pPr>
      <w:spacing w:line="240" w:lineRule="auto"/>
      <w:jc w:val="both"/>
    </w:pPr>
    <w:rPr>
      <w:rFonts w:ascii="Aptos" w:hAnsi="Aptos"/>
    </w:rPr>
  </w:style>
  <w:style w:type="character" w:customStyle="1" w:styleId="EndNoteBibliographyChar">
    <w:name w:val="EndNote Bibliography Char"/>
    <w:basedOn w:val="DefaultParagraphFont"/>
    <w:link w:val="EndNoteBibliography"/>
    <w:rsid w:val="00BE6D58"/>
    <w:rPr>
      <w:rFonts w:ascii="Aptos" w:hAnsi="Aptos"/>
    </w:rPr>
  </w:style>
  <w:style w:type="paragraph" w:styleId="Caption">
    <w:name w:val="caption"/>
    <w:basedOn w:val="Normal"/>
    <w:next w:val="Normal"/>
    <w:uiPriority w:val="35"/>
    <w:unhideWhenUsed/>
    <w:qFormat/>
    <w:rsid w:val="00BD67C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1596</TotalTime>
  <Pages>13</Pages>
  <Words>3598</Words>
  <Characters>23465</Characters>
  <Application>Microsoft Office Word</Application>
  <DocSecurity>0</DocSecurity>
  <Lines>350</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Sir-Lord Wiafe</dc:creator>
  <cp:keywords/>
  <dc:description/>
  <cp:lastModifiedBy>Sir-Lord Wiafe</cp:lastModifiedBy>
  <cp:revision>109</cp:revision>
  <dcterms:created xsi:type="dcterms:W3CDTF">2026-01-28T02:32:00Z</dcterms:created>
  <dcterms:modified xsi:type="dcterms:W3CDTF">2026-02-22T23:14:00Z</dcterms:modified>
</cp:coreProperties>
</file>