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4322" w14:textId="77777777" w:rsidR="00A74B79" w:rsidRPr="0025022A" w:rsidRDefault="00A74B79" w:rsidP="00A74B79">
      <w:pPr>
        <w:spacing w:line="240" w:lineRule="auto"/>
        <w:rPr>
          <w:rFonts w:cs="Times New Roman"/>
          <w:szCs w:val="24"/>
        </w:rPr>
      </w:pPr>
      <w:r w:rsidRPr="0025022A">
        <w:rPr>
          <w:rFonts w:cs="Times New Roman"/>
          <w:b/>
          <w:szCs w:val="24"/>
        </w:rPr>
        <w:t xml:space="preserve">Table </w:t>
      </w:r>
      <w:r>
        <w:rPr>
          <w:rFonts w:cs="Times New Roman"/>
          <w:b/>
          <w:szCs w:val="24"/>
        </w:rPr>
        <w:t>S1.</w:t>
      </w:r>
      <w:r w:rsidRPr="0025022A">
        <w:rPr>
          <w:rFonts w:cs="Times New Roman"/>
          <w:szCs w:val="24"/>
        </w:rPr>
        <w:t xml:space="preserve"> Partial Mantel correlations between microbiome composition (Bray-Curtis dissimilarity) and ecological trait distances, controlling for seasonal variation</w:t>
      </w:r>
    </w:p>
    <w:tbl>
      <w:tblPr>
        <w:tblW w:w="0" w:type="auto"/>
        <w:jc w:val="cente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381"/>
        <w:gridCol w:w="1134"/>
        <w:gridCol w:w="1134"/>
        <w:gridCol w:w="1134"/>
        <w:gridCol w:w="1134"/>
        <w:gridCol w:w="1134"/>
        <w:gridCol w:w="1134"/>
      </w:tblGrid>
      <w:tr w:rsidR="00A74B79" w:rsidRPr="0025022A" w14:paraId="52AA4ACE" w14:textId="77777777" w:rsidTr="009D6213">
        <w:trPr>
          <w:jc w:val="center"/>
        </w:trPr>
        <w:tc>
          <w:tcPr>
            <w:tcW w:w="2381" w:type="dxa"/>
            <w:tcBorders>
              <w:bottom w:val="single" w:sz="6" w:space="0" w:color="000000"/>
            </w:tcBorders>
            <w:vAlign w:val="center"/>
          </w:tcPr>
          <w:p w14:paraId="784D68E2" w14:textId="77777777" w:rsidR="00A74B79" w:rsidRPr="00C81292" w:rsidRDefault="00A74B79" w:rsidP="009D6213">
            <w:pPr>
              <w:spacing w:before="40" w:after="40" w:line="240" w:lineRule="auto"/>
              <w:jc w:val="center"/>
              <w:rPr>
                <w:rFonts w:cs="Times New Roman"/>
                <w:bCs/>
                <w:sz w:val="22"/>
              </w:rPr>
            </w:pPr>
            <w:r w:rsidRPr="00C81292">
              <w:rPr>
                <w:rFonts w:cs="Times New Roman"/>
                <w:bCs/>
                <w:sz w:val="22"/>
              </w:rPr>
              <w:t>Trait</w:t>
            </w:r>
          </w:p>
        </w:tc>
        <w:tc>
          <w:tcPr>
            <w:tcW w:w="1134" w:type="dxa"/>
            <w:tcBorders>
              <w:bottom w:val="single" w:sz="6" w:space="0" w:color="000000"/>
            </w:tcBorders>
            <w:vAlign w:val="center"/>
          </w:tcPr>
          <w:p w14:paraId="4CBD97C4" w14:textId="77777777" w:rsidR="00A74B79" w:rsidRPr="00C81292" w:rsidRDefault="00A74B79" w:rsidP="009D6213">
            <w:pPr>
              <w:spacing w:before="40" w:after="40" w:line="240" w:lineRule="auto"/>
              <w:jc w:val="center"/>
              <w:rPr>
                <w:rFonts w:cs="Times New Roman"/>
                <w:bCs/>
                <w:sz w:val="22"/>
              </w:rPr>
            </w:pPr>
            <w:r w:rsidRPr="00C81292">
              <w:rPr>
                <w:rFonts w:cs="Times New Roman"/>
                <w:bCs/>
                <w:sz w:val="22"/>
              </w:rPr>
              <w:t>Oral r</w:t>
            </w:r>
          </w:p>
        </w:tc>
        <w:tc>
          <w:tcPr>
            <w:tcW w:w="1134" w:type="dxa"/>
            <w:tcBorders>
              <w:bottom w:val="single" w:sz="6" w:space="0" w:color="000000"/>
            </w:tcBorders>
            <w:vAlign w:val="center"/>
          </w:tcPr>
          <w:p w14:paraId="2074292D" w14:textId="77777777" w:rsidR="00A74B79" w:rsidRPr="00C81292" w:rsidRDefault="00A74B79" w:rsidP="009D6213">
            <w:pPr>
              <w:spacing w:before="40" w:after="40" w:line="240" w:lineRule="auto"/>
              <w:jc w:val="center"/>
              <w:rPr>
                <w:rFonts w:cs="Times New Roman"/>
                <w:bCs/>
                <w:sz w:val="22"/>
              </w:rPr>
            </w:pPr>
            <w:r w:rsidRPr="00C81292">
              <w:rPr>
                <w:rFonts w:cs="Times New Roman"/>
                <w:bCs/>
                <w:sz w:val="22"/>
              </w:rPr>
              <w:t>p</w:t>
            </w:r>
          </w:p>
        </w:tc>
        <w:tc>
          <w:tcPr>
            <w:tcW w:w="1134" w:type="dxa"/>
            <w:tcBorders>
              <w:bottom w:val="single" w:sz="6" w:space="0" w:color="000000"/>
            </w:tcBorders>
            <w:vAlign w:val="center"/>
          </w:tcPr>
          <w:p w14:paraId="235C5733" w14:textId="77777777" w:rsidR="00A74B79" w:rsidRPr="00C81292" w:rsidRDefault="00A74B79" w:rsidP="009D6213">
            <w:pPr>
              <w:spacing w:before="40" w:after="40" w:line="240" w:lineRule="auto"/>
              <w:jc w:val="center"/>
              <w:rPr>
                <w:rFonts w:cs="Times New Roman"/>
                <w:bCs/>
                <w:sz w:val="22"/>
              </w:rPr>
            </w:pPr>
            <w:r w:rsidRPr="00C81292">
              <w:rPr>
                <w:rFonts w:cs="Times New Roman"/>
                <w:bCs/>
                <w:sz w:val="22"/>
              </w:rPr>
              <w:t>Skin r</w:t>
            </w:r>
          </w:p>
        </w:tc>
        <w:tc>
          <w:tcPr>
            <w:tcW w:w="1134" w:type="dxa"/>
            <w:tcBorders>
              <w:bottom w:val="single" w:sz="6" w:space="0" w:color="000000"/>
            </w:tcBorders>
            <w:vAlign w:val="center"/>
          </w:tcPr>
          <w:p w14:paraId="288A0DAE" w14:textId="77777777" w:rsidR="00A74B79" w:rsidRPr="00C81292" w:rsidRDefault="00A74B79" w:rsidP="009D6213">
            <w:pPr>
              <w:spacing w:before="40" w:after="40" w:line="240" w:lineRule="auto"/>
              <w:jc w:val="center"/>
              <w:rPr>
                <w:rFonts w:cs="Times New Roman"/>
                <w:bCs/>
                <w:sz w:val="22"/>
              </w:rPr>
            </w:pPr>
            <w:r w:rsidRPr="00C81292">
              <w:rPr>
                <w:rFonts w:cs="Times New Roman"/>
                <w:bCs/>
                <w:sz w:val="22"/>
              </w:rPr>
              <w:t>p</w:t>
            </w:r>
          </w:p>
        </w:tc>
        <w:tc>
          <w:tcPr>
            <w:tcW w:w="1134" w:type="dxa"/>
            <w:tcBorders>
              <w:bottom w:val="single" w:sz="6" w:space="0" w:color="000000"/>
            </w:tcBorders>
            <w:vAlign w:val="center"/>
          </w:tcPr>
          <w:p w14:paraId="533B90FF" w14:textId="77777777" w:rsidR="00A74B79" w:rsidRPr="00C81292" w:rsidRDefault="00A74B79" w:rsidP="009D6213">
            <w:pPr>
              <w:spacing w:before="40" w:after="40" w:line="240" w:lineRule="auto"/>
              <w:jc w:val="center"/>
              <w:rPr>
                <w:rFonts w:cs="Times New Roman"/>
                <w:bCs/>
                <w:sz w:val="22"/>
              </w:rPr>
            </w:pPr>
            <w:r w:rsidRPr="00C81292">
              <w:rPr>
                <w:rFonts w:cs="Times New Roman"/>
                <w:bCs/>
                <w:sz w:val="22"/>
              </w:rPr>
              <w:t>Stool r</w:t>
            </w:r>
          </w:p>
        </w:tc>
        <w:tc>
          <w:tcPr>
            <w:tcW w:w="1134" w:type="dxa"/>
            <w:tcBorders>
              <w:bottom w:val="single" w:sz="6" w:space="0" w:color="000000"/>
            </w:tcBorders>
            <w:vAlign w:val="center"/>
          </w:tcPr>
          <w:p w14:paraId="2F3656BD" w14:textId="77777777" w:rsidR="00A74B79" w:rsidRPr="00C81292" w:rsidRDefault="00A74B79" w:rsidP="009D6213">
            <w:pPr>
              <w:spacing w:before="40" w:after="40" w:line="240" w:lineRule="auto"/>
              <w:jc w:val="center"/>
              <w:rPr>
                <w:rFonts w:cs="Times New Roman"/>
                <w:bCs/>
                <w:sz w:val="22"/>
              </w:rPr>
            </w:pPr>
            <w:r w:rsidRPr="00C81292">
              <w:rPr>
                <w:rFonts w:cs="Times New Roman"/>
                <w:bCs/>
                <w:sz w:val="22"/>
              </w:rPr>
              <w:t>p</w:t>
            </w:r>
          </w:p>
        </w:tc>
      </w:tr>
      <w:tr w:rsidR="00A74B79" w:rsidRPr="0025022A" w14:paraId="7A140A71" w14:textId="77777777" w:rsidTr="009D6213">
        <w:trPr>
          <w:jc w:val="center"/>
        </w:trPr>
        <w:tc>
          <w:tcPr>
            <w:tcW w:w="2381" w:type="dxa"/>
            <w:vAlign w:val="center"/>
          </w:tcPr>
          <w:p w14:paraId="6A0498E0"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Colony size (log)</w:t>
            </w:r>
          </w:p>
        </w:tc>
        <w:tc>
          <w:tcPr>
            <w:tcW w:w="1134" w:type="dxa"/>
            <w:vAlign w:val="center"/>
          </w:tcPr>
          <w:p w14:paraId="4D69B39F"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+0.324</w:t>
            </w:r>
          </w:p>
        </w:tc>
        <w:tc>
          <w:tcPr>
            <w:tcW w:w="1134" w:type="dxa"/>
            <w:vAlign w:val="center"/>
          </w:tcPr>
          <w:p w14:paraId="6B1CCA54"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0.100</w:t>
            </w:r>
          </w:p>
        </w:tc>
        <w:tc>
          <w:tcPr>
            <w:tcW w:w="1134" w:type="dxa"/>
            <w:vAlign w:val="center"/>
          </w:tcPr>
          <w:p w14:paraId="4A8AE41D"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+0.290*</w:t>
            </w:r>
          </w:p>
        </w:tc>
        <w:tc>
          <w:tcPr>
            <w:tcW w:w="1134" w:type="dxa"/>
            <w:vAlign w:val="center"/>
          </w:tcPr>
          <w:p w14:paraId="4D5E0014"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0.050</w:t>
            </w:r>
          </w:p>
        </w:tc>
        <w:tc>
          <w:tcPr>
            <w:tcW w:w="1134" w:type="dxa"/>
            <w:vAlign w:val="center"/>
          </w:tcPr>
          <w:p w14:paraId="2A35ED69"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−0.797</w:t>
            </w:r>
          </w:p>
        </w:tc>
        <w:tc>
          <w:tcPr>
            <w:tcW w:w="1134" w:type="dxa"/>
            <w:vAlign w:val="center"/>
          </w:tcPr>
          <w:p w14:paraId="71E1AF6E"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0.942</w:t>
            </w:r>
          </w:p>
        </w:tc>
      </w:tr>
      <w:tr w:rsidR="00A74B79" w:rsidRPr="0025022A" w14:paraId="484D0B01" w14:textId="77777777" w:rsidTr="009D6213">
        <w:trPr>
          <w:jc w:val="center"/>
        </w:trPr>
        <w:tc>
          <w:tcPr>
            <w:tcW w:w="2381" w:type="dxa"/>
            <w:vAlign w:val="center"/>
          </w:tcPr>
          <w:p w14:paraId="6DE17813"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Human proximity</w:t>
            </w:r>
          </w:p>
        </w:tc>
        <w:tc>
          <w:tcPr>
            <w:tcW w:w="1134" w:type="dxa"/>
            <w:vAlign w:val="center"/>
          </w:tcPr>
          <w:p w14:paraId="7DC867CF"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+0.179</w:t>
            </w:r>
          </w:p>
        </w:tc>
        <w:tc>
          <w:tcPr>
            <w:tcW w:w="1134" w:type="dxa"/>
            <w:vAlign w:val="center"/>
          </w:tcPr>
          <w:p w14:paraId="0C437A98"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0.379</w:t>
            </w:r>
          </w:p>
        </w:tc>
        <w:tc>
          <w:tcPr>
            <w:tcW w:w="1134" w:type="dxa"/>
            <w:vAlign w:val="center"/>
          </w:tcPr>
          <w:p w14:paraId="13C2DF94"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+0.143</w:t>
            </w:r>
          </w:p>
        </w:tc>
        <w:tc>
          <w:tcPr>
            <w:tcW w:w="1134" w:type="dxa"/>
            <w:vAlign w:val="center"/>
          </w:tcPr>
          <w:p w14:paraId="3607F9BF"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0.246</w:t>
            </w:r>
          </w:p>
        </w:tc>
        <w:tc>
          <w:tcPr>
            <w:tcW w:w="1134" w:type="dxa"/>
            <w:vAlign w:val="center"/>
          </w:tcPr>
          <w:p w14:paraId="6B04EB14"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−0.071</w:t>
            </w:r>
          </w:p>
        </w:tc>
        <w:tc>
          <w:tcPr>
            <w:tcW w:w="1134" w:type="dxa"/>
            <w:vAlign w:val="center"/>
          </w:tcPr>
          <w:p w14:paraId="36BB3E2D"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0.801</w:t>
            </w:r>
          </w:p>
        </w:tc>
      </w:tr>
      <w:tr w:rsidR="00A74B79" w:rsidRPr="0025022A" w14:paraId="69CD745E" w14:textId="77777777" w:rsidTr="009D6213">
        <w:trPr>
          <w:jc w:val="center"/>
        </w:trPr>
        <w:tc>
          <w:tcPr>
            <w:tcW w:w="2381" w:type="dxa"/>
            <w:vAlign w:val="center"/>
          </w:tcPr>
          <w:p w14:paraId="4EAC0A37"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Aquatic foraging</w:t>
            </w:r>
          </w:p>
        </w:tc>
        <w:tc>
          <w:tcPr>
            <w:tcW w:w="1134" w:type="dxa"/>
            <w:vAlign w:val="center"/>
          </w:tcPr>
          <w:p w14:paraId="3910CC8D"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−0.198</w:t>
            </w:r>
          </w:p>
        </w:tc>
        <w:tc>
          <w:tcPr>
            <w:tcW w:w="1134" w:type="dxa"/>
            <w:vAlign w:val="center"/>
          </w:tcPr>
          <w:p w14:paraId="54841EA1"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0.753</w:t>
            </w:r>
          </w:p>
        </w:tc>
        <w:tc>
          <w:tcPr>
            <w:tcW w:w="1134" w:type="dxa"/>
            <w:vAlign w:val="center"/>
          </w:tcPr>
          <w:p w14:paraId="6B97E56C"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−0.226</w:t>
            </w:r>
          </w:p>
        </w:tc>
        <w:tc>
          <w:tcPr>
            <w:tcW w:w="1134" w:type="dxa"/>
            <w:vAlign w:val="center"/>
          </w:tcPr>
          <w:p w14:paraId="3D493F65"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1.000</w:t>
            </w:r>
          </w:p>
        </w:tc>
        <w:tc>
          <w:tcPr>
            <w:tcW w:w="1134" w:type="dxa"/>
            <w:vAlign w:val="center"/>
          </w:tcPr>
          <w:p w14:paraId="3E11D364"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+0.078</w:t>
            </w:r>
          </w:p>
        </w:tc>
        <w:tc>
          <w:tcPr>
            <w:tcW w:w="1134" w:type="dxa"/>
            <w:vAlign w:val="center"/>
          </w:tcPr>
          <w:p w14:paraId="4CE78B07"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0.602</w:t>
            </w:r>
          </w:p>
        </w:tc>
      </w:tr>
      <w:tr w:rsidR="00A74B79" w:rsidRPr="0025022A" w14:paraId="6B67CA16" w14:textId="77777777" w:rsidTr="009D6213">
        <w:trPr>
          <w:jc w:val="center"/>
        </w:trPr>
        <w:tc>
          <w:tcPr>
            <w:tcW w:w="2381" w:type="dxa"/>
            <w:vAlign w:val="center"/>
          </w:tcPr>
          <w:p w14:paraId="09F61869"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Body mass (log)</w:t>
            </w:r>
          </w:p>
        </w:tc>
        <w:tc>
          <w:tcPr>
            <w:tcW w:w="1134" w:type="dxa"/>
            <w:vAlign w:val="center"/>
          </w:tcPr>
          <w:p w14:paraId="41133AF4"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+0.475*</w:t>
            </w:r>
          </w:p>
        </w:tc>
        <w:tc>
          <w:tcPr>
            <w:tcW w:w="1134" w:type="dxa"/>
            <w:vAlign w:val="center"/>
          </w:tcPr>
          <w:p w14:paraId="19C96F12"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0.032</w:t>
            </w:r>
          </w:p>
        </w:tc>
        <w:tc>
          <w:tcPr>
            <w:tcW w:w="1134" w:type="dxa"/>
            <w:vAlign w:val="center"/>
          </w:tcPr>
          <w:p w14:paraId="5FB6C381"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+0.112</w:t>
            </w:r>
          </w:p>
        </w:tc>
        <w:tc>
          <w:tcPr>
            <w:tcW w:w="1134" w:type="dxa"/>
            <w:vAlign w:val="center"/>
          </w:tcPr>
          <w:p w14:paraId="01770E06"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0.266</w:t>
            </w:r>
          </w:p>
        </w:tc>
        <w:tc>
          <w:tcPr>
            <w:tcW w:w="1134" w:type="dxa"/>
            <w:vAlign w:val="center"/>
          </w:tcPr>
          <w:p w14:paraId="4F61ADB5"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−0.026</w:t>
            </w:r>
          </w:p>
        </w:tc>
        <w:tc>
          <w:tcPr>
            <w:tcW w:w="1134" w:type="dxa"/>
            <w:vAlign w:val="center"/>
          </w:tcPr>
          <w:p w14:paraId="7151D510"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0.612</w:t>
            </w:r>
          </w:p>
        </w:tc>
      </w:tr>
      <w:tr w:rsidR="00A74B79" w:rsidRPr="0025022A" w14:paraId="112FCAD5" w14:textId="77777777" w:rsidTr="009D6213">
        <w:trPr>
          <w:jc w:val="center"/>
        </w:trPr>
        <w:tc>
          <w:tcPr>
            <w:tcW w:w="2381" w:type="dxa"/>
            <w:vAlign w:val="center"/>
          </w:tcPr>
          <w:p w14:paraId="07C090D4"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Roost substrate</w:t>
            </w:r>
          </w:p>
        </w:tc>
        <w:tc>
          <w:tcPr>
            <w:tcW w:w="1134" w:type="dxa"/>
            <w:vAlign w:val="center"/>
          </w:tcPr>
          <w:p w14:paraId="0180B89C"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+0.174</w:t>
            </w:r>
          </w:p>
        </w:tc>
        <w:tc>
          <w:tcPr>
            <w:tcW w:w="1134" w:type="dxa"/>
            <w:vAlign w:val="center"/>
          </w:tcPr>
          <w:p w14:paraId="4236F6DD"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0.236</w:t>
            </w:r>
          </w:p>
        </w:tc>
        <w:tc>
          <w:tcPr>
            <w:tcW w:w="1134" w:type="dxa"/>
            <w:vAlign w:val="center"/>
          </w:tcPr>
          <w:p w14:paraId="51A94CFC"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+0.072</w:t>
            </w:r>
          </w:p>
        </w:tc>
        <w:tc>
          <w:tcPr>
            <w:tcW w:w="1134" w:type="dxa"/>
            <w:vAlign w:val="center"/>
          </w:tcPr>
          <w:p w14:paraId="66FB3689"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0.319</w:t>
            </w:r>
          </w:p>
        </w:tc>
        <w:tc>
          <w:tcPr>
            <w:tcW w:w="1134" w:type="dxa"/>
            <w:vAlign w:val="center"/>
          </w:tcPr>
          <w:p w14:paraId="4E68218D"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+0.042</w:t>
            </w:r>
          </w:p>
        </w:tc>
        <w:tc>
          <w:tcPr>
            <w:tcW w:w="1134" w:type="dxa"/>
            <w:vAlign w:val="center"/>
          </w:tcPr>
          <w:p w14:paraId="0BDBFAC3"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0.545</w:t>
            </w:r>
          </w:p>
        </w:tc>
      </w:tr>
      <w:tr w:rsidR="00A74B79" w:rsidRPr="0025022A" w14:paraId="6368B59A" w14:textId="77777777" w:rsidTr="009D6213">
        <w:trPr>
          <w:jc w:val="center"/>
        </w:trPr>
        <w:tc>
          <w:tcPr>
            <w:tcW w:w="2381" w:type="dxa"/>
            <w:vAlign w:val="center"/>
          </w:tcPr>
          <w:p w14:paraId="7185057F"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Ectoparasite load</w:t>
            </w:r>
          </w:p>
        </w:tc>
        <w:tc>
          <w:tcPr>
            <w:tcW w:w="1134" w:type="dxa"/>
            <w:vAlign w:val="center"/>
          </w:tcPr>
          <w:p w14:paraId="1730DB37"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+0.366</w:t>
            </w:r>
          </w:p>
        </w:tc>
        <w:tc>
          <w:tcPr>
            <w:tcW w:w="1134" w:type="dxa"/>
            <w:vAlign w:val="center"/>
          </w:tcPr>
          <w:p w14:paraId="48568D0B"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0.058</w:t>
            </w:r>
          </w:p>
        </w:tc>
        <w:tc>
          <w:tcPr>
            <w:tcW w:w="1134" w:type="dxa"/>
            <w:vAlign w:val="center"/>
          </w:tcPr>
          <w:p w14:paraId="3B6DC473"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+0.331*</w:t>
            </w:r>
          </w:p>
        </w:tc>
        <w:tc>
          <w:tcPr>
            <w:tcW w:w="1134" w:type="dxa"/>
            <w:vAlign w:val="center"/>
          </w:tcPr>
          <w:p w14:paraId="7D16475D"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0.043</w:t>
            </w:r>
          </w:p>
        </w:tc>
        <w:tc>
          <w:tcPr>
            <w:tcW w:w="1134" w:type="dxa"/>
            <w:vAlign w:val="center"/>
          </w:tcPr>
          <w:p w14:paraId="5ABCC7F3"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−0.544</w:t>
            </w:r>
          </w:p>
        </w:tc>
        <w:tc>
          <w:tcPr>
            <w:tcW w:w="1134" w:type="dxa"/>
            <w:vAlign w:val="center"/>
          </w:tcPr>
          <w:p w14:paraId="174F9736"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0.889</w:t>
            </w:r>
          </w:p>
        </w:tc>
      </w:tr>
      <w:tr w:rsidR="00A74B79" w:rsidRPr="0025022A" w14:paraId="187549AC" w14:textId="77777777" w:rsidTr="009D6213">
        <w:trPr>
          <w:jc w:val="center"/>
        </w:trPr>
        <w:tc>
          <w:tcPr>
            <w:tcW w:w="2381" w:type="dxa"/>
            <w:vAlign w:val="center"/>
          </w:tcPr>
          <w:p w14:paraId="430BBD9F"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Combined ecological</w:t>
            </w:r>
          </w:p>
        </w:tc>
        <w:tc>
          <w:tcPr>
            <w:tcW w:w="1134" w:type="dxa"/>
            <w:vAlign w:val="center"/>
          </w:tcPr>
          <w:p w14:paraId="34764D16"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+0.462*</w:t>
            </w:r>
          </w:p>
        </w:tc>
        <w:tc>
          <w:tcPr>
            <w:tcW w:w="1134" w:type="dxa"/>
            <w:vAlign w:val="center"/>
          </w:tcPr>
          <w:p w14:paraId="3978140B"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0.035</w:t>
            </w:r>
          </w:p>
        </w:tc>
        <w:tc>
          <w:tcPr>
            <w:tcW w:w="1134" w:type="dxa"/>
            <w:vAlign w:val="center"/>
          </w:tcPr>
          <w:p w14:paraId="4EA5B5AC"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+0.216</w:t>
            </w:r>
          </w:p>
        </w:tc>
        <w:tc>
          <w:tcPr>
            <w:tcW w:w="1134" w:type="dxa"/>
            <w:vAlign w:val="center"/>
          </w:tcPr>
          <w:p w14:paraId="463772DB"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0.124</w:t>
            </w:r>
          </w:p>
        </w:tc>
        <w:tc>
          <w:tcPr>
            <w:tcW w:w="1134" w:type="dxa"/>
            <w:vAlign w:val="center"/>
          </w:tcPr>
          <w:p w14:paraId="583E2090"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−0.364</w:t>
            </w:r>
          </w:p>
        </w:tc>
        <w:tc>
          <w:tcPr>
            <w:tcW w:w="1134" w:type="dxa"/>
            <w:vAlign w:val="center"/>
          </w:tcPr>
          <w:p w14:paraId="62740875"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0.807</w:t>
            </w:r>
          </w:p>
        </w:tc>
      </w:tr>
      <w:tr w:rsidR="00A74B79" w:rsidRPr="0025022A" w14:paraId="728068D3" w14:textId="77777777" w:rsidTr="009D6213">
        <w:trPr>
          <w:jc w:val="center"/>
        </w:trPr>
        <w:tc>
          <w:tcPr>
            <w:tcW w:w="2381" w:type="dxa"/>
            <w:vAlign w:val="center"/>
          </w:tcPr>
          <w:p w14:paraId="669804CD"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Phylogenetic distance</w:t>
            </w:r>
          </w:p>
        </w:tc>
        <w:tc>
          <w:tcPr>
            <w:tcW w:w="1134" w:type="dxa"/>
            <w:vAlign w:val="center"/>
          </w:tcPr>
          <w:p w14:paraId="70FD2AF3"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+0.701**</w:t>
            </w:r>
          </w:p>
        </w:tc>
        <w:tc>
          <w:tcPr>
            <w:tcW w:w="1134" w:type="dxa"/>
            <w:vAlign w:val="center"/>
          </w:tcPr>
          <w:p w14:paraId="3B659D7F"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0.005</w:t>
            </w:r>
          </w:p>
        </w:tc>
        <w:tc>
          <w:tcPr>
            <w:tcW w:w="1134" w:type="dxa"/>
            <w:vAlign w:val="center"/>
          </w:tcPr>
          <w:p w14:paraId="4457D64C"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+0.284</w:t>
            </w:r>
          </w:p>
        </w:tc>
        <w:tc>
          <w:tcPr>
            <w:tcW w:w="1134" w:type="dxa"/>
            <w:vAlign w:val="center"/>
          </w:tcPr>
          <w:p w14:paraId="78C4EE2F"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0.051</w:t>
            </w:r>
          </w:p>
        </w:tc>
        <w:tc>
          <w:tcPr>
            <w:tcW w:w="1134" w:type="dxa"/>
            <w:vAlign w:val="center"/>
          </w:tcPr>
          <w:p w14:paraId="35F27357"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−0.364</w:t>
            </w:r>
          </w:p>
        </w:tc>
        <w:tc>
          <w:tcPr>
            <w:tcW w:w="1134" w:type="dxa"/>
            <w:vAlign w:val="center"/>
          </w:tcPr>
          <w:p w14:paraId="313FAA98" w14:textId="77777777" w:rsidR="00A74B79" w:rsidRPr="00C81292" w:rsidRDefault="00A74B79" w:rsidP="009D6213">
            <w:pPr>
              <w:spacing w:before="40" w:after="40" w:line="240" w:lineRule="auto"/>
              <w:jc w:val="center"/>
              <w:rPr>
                <w:rFonts w:cs="Times New Roman"/>
                <w:sz w:val="22"/>
              </w:rPr>
            </w:pPr>
            <w:r w:rsidRPr="00C81292">
              <w:rPr>
                <w:rFonts w:cs="Times New Roman"/>
                <w:sz w:val="22"/>
              </w:rPr>
              <w:t>0.767</w:t>
            </w:r>
          </w:p>
        </w:tc>
      </w:tr>
    </w:tbl>
    <w:p w14:paraId="43425E2A" w14:textId="77777777" w:rsidR="00A74B79" w:rsidRPr="0025022A" w:rsidRDefault="00A74B79" w:rsidP="00A74B79">
      <w:pPr>
        <w:spacing w:line="240" w:lineRule="auto"/>
        <w:rPr>
          <w:rFonts w:cs="Times New Roman"/>
          <w:szCs w:val="24"/>
        </w:rPr>
      </w:pPr>
      <w:r w:rsidRPr="0025022A">
        <w:rPr>
          <w:rFonts w:cs="Times New Roman"/>
          <w:szCs w:val="24"/>
        </w:rPr>
        <w:t>9,999 permutations; species-level Bray-Curtis centroids. *p &lt; 0.05, **p &lt; 0.01. Variance partitioning (ecology unique / phylogeny unique / shared / unexplained): oral 5.2% / 18.9% / 23.6% / 52.3%; skin 6.5% / 0.4% / 5.1% / 88.1%; stool 3.5% / 5.9% / 4.3% / 86.3%</w:t>
      </w:r>
    </w:p>
    <w:p w14:paraId="24FE062A" w14:textId="77777777" w:rsidR="007B3D3B" w:rsidRDefault="007B3D3B"/>
    <w:p w14:paraId="6C0E0E81" w14:textId="77777777" w:rsidR="00A74B79" w:rsidRDefault="00A74B79">
      <w:pPr>
        <w:spacing w:after="160" w:line="278" w:lineRule="auto"/>
        <w:rPr>
          <w:rFonts w:cs="Times New Roman"/>
          <w:b/>
          <w:szCs w:val="24"/>
        </w:rPr>
      </w:pPr>
      <w:r>
        <w:rPr>
          <w:rFonts w:cs="Times New Roman"/>
          <w:b/>
          <w:szCs w:val="24"/>
        </w:rPr>
        <w:br w:type="page"/>
      </w:r>
    </w:p>
    <w:p w14:paraId="034D92EB" w14:textId="3AD3252D" w:rsidR="003959E5" w:rsidRDefault="006A1380">
      <w:pPr>
        <w:spacing w:after="160" w:line="278" w:lineRule="auto"/>
        <w:rPr>
          <w:rFonts w:cs="Times New Roman"/>
          <w:b/>
          <w:szCs w:val="24"/>
        </w:rPr>
      </w:pPr>
      <w:r>
        <w:rPr>
          <w:rFonts w:cs="Times New Roman"/>
          <w:b/>
          <w:szCs w:val="24"/>
        </w:rPr>
        <w:lastRenderedPageBreak/>
        <w:t xml:space="preserve">Table S2. </w:t>
      </w:r>
      <w:r w:rsidR="003959E5" w:rsidRPr="003959E5">
        <w:rPr>
          <w:rFonts w:cs="Times New Roman"/>
          <w:bCs/>
          <w:szCs w:val="24"/>
        </w:rPr>
        <w:t>Seasonal variation in alpha diversity (Shannon index) within each species and body site</w:t>
      </w:r>
      <w:r w:rsidR="003959E5">
        <w:rPr>
          <w:rFonts w:cs="Times New Roman"/>
          <w:bCs/>
          <w:szCs w:val="24"/>
        </w:rPr>
        <w:t>.</w:t>
      </w:r>
    </w:p>
    <w:p w14:paraId="608D76D4" w14:textId="77777777" w:rsidR="003959E5" w:rsidRDefault="003959E5">
      <w:pPr>
        <w:spacing w:after="160" w:line="278" w:lineRule="auto"/>
        <w:rPr>
          <w:rFonts w:cs="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7"/>
        <w:gridCol w:w="817"/>
        <w:gridCol w:w="993"/>
        <w:gridCol w:w="850"/>
        <w:gridCol w:w="851"/>
        <w:gridCol w:w="992"/>
        <w:gridCol w:w="850"/>
        <w:gridCol w:w="851"/>
        <w:gridCol w:w="850"/>
      </w:tblGrid>
      <w:tr w:rsidR="003959E5" w:rsidRPr="003959E5" w14:paraId="32E1390D" w14:textId="77777777" w:rsidTr="003959E5">
        <w:trPr>
          <w:trHeight w:val="320"/>
        </w:trPr>
        <w:tc>
          <w:tcPr>
            <w:tcW w:w="1843" w:type="dxa"/>
            <w:vMerge w:val="restart"/>
            <w:vAlign w:val="center"/>
          </w:tcPr>
          <w:p w14:paraId="2964DAFE" w14:textId="7D3CE2C8" w:rsidR="003959E5" w:rsidRPr="003959E5" w:rsidRDefault="003959E5" w:rsidP="003959E5">
            <w:pPr>
              <w:spacing w:line="240" w:lineRule="auto"/>
              <w:rPr>
                <w:rFonts w:eastAsia="Times New Roman" w:cs="Times New Roman"/>
                <w:b/>
                <w:bCs/>
                <w:sz w:val="20"/>
                <w:szCs w:val="20"/>
                <w:lang w:val="en-KR" w:eastAsia="ja-JP"/>
              </w:rPr>
            </w:pPr>
            <w:r w:rsidRPr="003959E5">
              <w:rPr>
                <w:rFonts w:eastAsia="Times New Roman" w:cs="Times New Roman"/>
                <w:b/>
                <w:bCs/>
                <w:sz w:val="20"/>
                <w:szCs w:val="20"/>
                <w:lang w:val="en-KR" w:eastAsia="ja-JP"/>
              </w:rPr>
              <w:t>Species</w:t>
            </w:r>
          </w:p>
        </w:tc>
        <w:tc>
          <w:tcPr>
            <w:tcW w:w="2547" w:type="dxa"/>
            <w:gridSpan w:val="3"/>
            <w:noWrap/>
            <w:vAlign w:val="center"/>
          </w:tcPr>
          <w:p w14:paraId="7042488E" w14:textId="426648ED" w:rsidR="003959E5" w:rsidRPr="003959E5" w:rsidRDefault="003959E5" w:rsidP="003959E5">
            <w:pPr>
              <w:spacing w:line="240" w:lineRule="auto"/>
              <w:jc w:val="center"/>
              <w:rPr>
                <w:rFonts w:eastAsia="Times New Roman" w:cs="Times New Roman"/>
                <w:b/>
                <w:bCs/>
                <w:sz w:val="20"/>
                <w:szCs w:val="20"/>
                <w:lang w:val="en-KR" w:eastAsia="ja-JP"/>
              </w:rPr>
            </w:pPr>
            <w:r>
              <w:rPr>
                <w:rFonts w:eastAsia="Times New Roman" w:cs="Times New Roman"/>
                <w:b/>
                <w:bCs/>
                <w:sz w:val="20"/>
                <w:szCs w:val="20"/>
                <w:lang w:val="en-KR" w:eastAsia="ja-JP"/>
              </w:rPr>
              <w:t>Oral</w:t>
            </w:r>
          </w:p>
        </w:tc>
        <w:tc>
          <w:tcPr>
            <w:tcW w:w="2693" w:type="dxa"/>
            <w:gridSpan w:val="3"/>
            <w:vAlign w:val="center"/>
          </w:tcPr>
          <w:p w14:paraId="39E66EBD" w14:textId="6B5D8C5D" w:rsidR="003959E5" w:rsidRPr="003959E5" w:rsidRDefault="003959E5" w:rsidP="003959E5">
            <w:pPr>
              <w:spacing w:line="240" w:lineRule="auto"/>
              <w:jc w:val="center"/>
              <w:rPr>
                <w:rFonts w:eastAsia="Times New Roman" w:cs="Times New Roman"/>
                <w:b/>
                <w:bCs/>
                <w:sz w:val="20"/>
                <w:szCs w:val="20"/>
                <w:lang w:val="en-KR" w:eastAsia="ja-JP"/>
              </w:rPr>
            </w:pPr>
            <w:r>
              <w:rPr>
                <w:rFonts w:eastAsia="Times New Roman" w:cs="Times New Roman"/>
                <w:b/>
                <w:bCs/>
                <w:sz w:val="20"/>
                <w:szCs w:val="20"/>
                <w:lang w:val="en-KR" w:eastAsia="ja-JP"/>
              </w:rPr>
              <w:t>Skin</w:t>
            </w:r>
          </w:p>
        </w:tc>
        <w:tc>
          <w:tcPr>
            <w:tcW w:w="2551" w:type="dxa"/>
            <w:gridSpan w:val="3"/>
            <w:vAlign w:val="center"/>
          </w:tcPr>
          <w:p w14:paraId="604ADBDB" w14:textId="32E73547" w:rsidR="003959E5" w:rsidRPr="003959E5" w:rsidRDefault="003959E5" w:rsidP="003959E5">
            <w:pPr>
              <w:spacing w:line="240" w:lineRule="auto"/>
              <w:jc w:val="center"/>
              <w:rPr>
                <w:rFonts w:eastAsia="Times New Roman" w:cs="Times New Roman"/>
                <w:b/>
                <w:bCs/>
                <w:sz w:val="20"/>
                <w:szCs w:val="20"/>
                <w:lang w:val="en-KR" w:eastAsia="ja-JP"/>
              </w:rPr>
            </w:pPr>
            <w:r>
              <w:rPr>
                <w:rFonts w:eastAsia="Times New Roman" w:cs="Times New Roman"/>
                <w:b/>
                <w:bCs/>
                <w:sz w:val="20"/>
                <w:szCs w:val="20"/>
                <w:lang w:val="en-KR" w:eastAsia="ja-JP"/>
              </w:rPr>
              <w:t>Stool</w:t>
            </w:r>
          </w:p>
        </w:tc>
      </w:tr>
      <w:tr w:rsidR="003959E5" w:rsidRPr="003959E5" w14:paraId="08D594B9" w14:textId="77777777" w:rsidTr="003959E5">
        <w:trPr>
          <w:trHeight w:val="320"/>
        </w:trPr>
        <w:tc>
          <w:tcPr>
            <w:tcW w:w="1843" w:type="dxa"/>
            <w:vMerge/>
            <w:vAlign w:val="center"/>
            <w:hideMark/>
          </w:tcPr>
          <w:p w14:paraId="5A1C6D93" w14:textId="47CF780A" w:rsidR="003959E5" w:rsidRPr="003959E5" w:rsidRDefault="003959E5" w:rsidP="003959E5">
            <w:pPr>
              <w:spacing w:line="240" w:lineRule="auto"/>
              <w:rPr>
                <w:rFonts w:eastAsia="Times New Roman" w:cs="Times New Roman"/>
                <w:b/>
                <w:bCs/>
                <w:sz w:val="20"/>
                <w:szCs w:val="20"/>
                <w:lang w:val="en-KR" w:eastAsia="ja-JP"/>
              </w:rPr>
            </w:pPr>
          </w:p>
        </w:tc>
        <w:tc>
          <w:tcPr>
            <w:tcW w:w="737" w:type="dxa"/>
            <w:noWrap/>
            <w:vAlign w:val="center"/>
            <w:hideMark/>
          </w:tcPr>
          <w:p w14:paraId="0FA4949F" w14:textId="77777777" w:rsidR="003959E5" w:rsidRPr="003959E5" w:rsidRDefault="003959E5" w:rsidP="003959E5">
            <w:pPr>
              <w:spacing w:line="240" w:lineRule="auto"/>
              <w:jc w:val="center"/>
              <w:rPr>
                <w:rFonts w:eastAsia="Times New Roman" w:cs="Times New Roman"/>
                <w:b/>
                <w:bCs/>
                <w:sz w:val="20"/>
                <w:szCs w:val="20"/>
                <w:lang w:val="en-KR" w:eastAsia="ja-JP"/>
              </w:rPr>
            </w:pPr>
            <w:r w:rsidRPr="003959E5">
              <w:rPr>
                <w:rFonts w:eastAsia="Times New Roman" w:cs="Times New Roman"/>
                <w:b/>
                <w:bCs/>
                <w:sz w:val="20"/>
                <w:szCs w:val="20"/>
                <w:lang w:val="en-KR" w:eastAsia="ja-JP"/>
              </w:rPr>
              <w:t>F</w:t>
            </w:r>
          </w:p>
        </w:tc>
        <w:tc>
          <w:tcPr>
            <w:tcW w:w="817" w:type="dxa"/>
            <w:noWrap/>
            <w:vAlign w:val="center"/>
            <w:hideMark/>
          </w:tcPr>
          <w:p w14:paraId="37E640AC" w14:textId="77777777" w:rsidR="003959E5" w:rsidRPr="003959E5" w:rsidRDefault="003959E5" w:rsidP="003959E5">
            <w:pPr>
              <w:spacing w:line="240" w:lineRule="auto"/>
              <w:jc w:val="center"/>
              <w:rPr>
                <w:rFonts w:eastAsia="Times New Roman" w:cs="Times New Roman"/>
                <w:b/>
                <w:bCs/>
                <w:sz w:val="20"/>
                <w:szCs w:val="20"/>
                <w:lang w:val="en-KR" w:eastAsia="ja-JP"/>
              </w:rPr>
            </w:pPr>
            <w:r w:rsidRPr="003959E5">
              <w:rPr>
                <w:rFonts w:eastAsia="Times New Roman" w:cs="Times New Roman"/>
                <w:b/>
                <w:bCs/>
                <w:sz w:val="20"/>
                <w:szCs w:val="20"/>
                <w:lang w:val="en-KR" w:eastAsia="ja-JP"/>
              </w:rPr>
              <w:t>p</w:t>
            </w:r>
          </w:p>
        </w:tc>
        <w:tc>
          <w:tcPr>
            <w:tcW w:w="993" w:type="dxa"/>
            <w:noWrap/>
            <w:vAlign w:val="center"/>
            <w:hideMark/>
          </w:tcPr>
          <w:p w14:paraId="174BE712" w14:textId="77777777" w:rsidR="003959E5" w:rsidRPr="003959E5" w:rsidRDefault="003959E5" w:rsidP="003959E5">
            <w:pPr>
              <w:spacing w:line="240" w:lineRule="auto"/>
              <w:jc w:val="center"/>
              <w:rPr>
                <w:rFonts w:eastAsia="Times New Roman" w:cs="Times New Roman"/>
                <w:b/>
                <w:bCs/>
                <w:sz w:val="20"/>
                <w:szCs w:val="20"/>
                <w:lang w:val="en-KR" w:eastAsia="ja-JP"/>
              </w:rPr>
            </w:pPr>
            <w:r w:rsidRPr="003959E5">
              <w:rPr>
                <w:rFonts w:eastAsia="Times New Roman" w:cs="Times New Roman"/>
                <w:b/>
                <w:bCs/>
                <w:sz w:val="20"/>
                <w:szCs w:val="20"/>
                <w:lang w:val="en-KR" w:eastAsia="ja-JP"/>
              </w:rPr>
              <w:t>Peak</w:t>
            </w:r>
          </w:p>
        </w:tc>
        <w:tc>
          <w:tcPr>
            <w:tcW w:w="850" w:type="dxa"/>
            <w:noWrap/>
            <w:vAlign w:val="center"/>
            <w:hideMark/>
          </w:tcPr>
          <w:p w14:paraId="55EC562F" w14:textId="77777777" w:rsidR="003959E5" w:rsidRPr="003959E5" w:rsidRDefault="003959E5" w:rsidP="003959E5">
            <w:pPr>
              <w:spacing w:line="240" w:lineRule="auto"/>
              <w:jc w:val="center"/>
              <w:rPr>
                <w:rFonts w:eastAsia="Times New Roman" w:cs="Times New Roman"/>
                <w:b/>
                <w:bCs/>
                <w:sz w:val="20"/>
                <w:szCs w:val="20"/>
                <w:lang w:val="en-KR" w:eastAsia="ja-JP"/>
              </w:rPr>
            </w:pPr>
            <w:r w:rsidRPr="003959E5">
              <w:rPr>
                <w:rFonts w:eastAsia="Times New Roman" w:cs="Times New Roman"/>
                <w:b/>
                <w:bCs/>
                <w:sz w:val="20"/>
                <w:szCs w:val="20"/>
                <w:lang w:val="en-KR" w:eastAsia="ja-JP"/>
              </w:rPr>
              <w:t>F</w:t>
            </w:r>
          </w:p>
        </w:tc>
        <w:tc>
          <w:tcPr>
            <w:tcW w:w="851" w:type="dxa"/>
            <w:noWrap/>
            <w:vAlign w:val="center"/>
            <w:hideMark/>
          </w:tcPr>
          <w:p w14:paraId="66B32F33" w14:textId="77777777" w:rsidR="003959E5" w:rsidRPr="003959E5" w:rsidRDefault="003959E5" w:rsidP="003959E5">
            <w:pPr>
              <w:spacing w:line="240" w:lineRule="auto"/>
              <w:jc w:val="center"/>
              <w:rPr>
                <w:rFonts w:eastAsia="Times New Roman" w:cs="Times New Roman"/>
                <w:b/>
                <w:bCs/>
                <w:sz w:val="20"/>
                <w:szCs w:val="20"/>
                <w:lang w:val="en-KR" w:eastAsia="ja-JP"/>
              </w:rPr>
            </w:pPr>
            <w:r w:rsidRPr="003959E5">
              <w:rPr>
                <w:rFonts w:eastAsia="Times New Roman" w:cs="Times New Roman"/>
                <w:b/>
                <w:bCs/>
                <w:sz w:val="20"/>
                <w:szCs w:val="20"/>
                <w:lang w:val="en-KR" w:eastAsia="ja-JP"/>
              </w:rPr>
              <w:t>p</w:t>
            </w:r>
          </w:p>
        </w:tc>
        <w:tc>
          <w:tcPr>
            <w:tcW w:w="992" w:type="dxa"/>
            <w:noWrap/>
            <w:vAlign w:val="center"/>
            <w:hideMark/>
          </w:tcPr>
          <w:p w14:paraId="0326A779" w14:textId="77777777" w:rsidR="003959E5" w:rsidRPr="003959E5" w:rsidRDefault="003959E5" w:rsidP="003959E5">
            <w:pPr>
              <w:spacing w:line="240" w:lineRule="auto"/>
              <w:jc w:val="center"/>
              <w:rPr>
                <w:rFonts w:eastAsia="Times New Roman" w:cs="Times New Roman"/>
                <w:b/>
                <w:bCs/>
                <w:sz w:val="20"/>
                <w:szCs w:val="20"/>
                <w:lang w:val="en-KR" w:eastAsia="ja-JP"/>
              </w:rPr>
            </w:pPr>
            <w:r w:rsidRPr="003959E5">
              <w:rPr>
                <w:rFonts w:eastAsia="Times New Roman" w:cs="Times New Roman"/>
                <w:b/>
                <w:bCs/>
                <w:sz w:val="20"/>
                <w:szCs w:val="20"/>
                <w:lang w:val="en-KR" w:eastAsia="ja-JP"/>
              </w:rPr>
              <w:t>Peak</w:t>
            </w:r>
          </w:p>
        </w:tc>
        <w:tc>
          <w:tcPr>
            <w:tcW w:w="850" w:type="dxa"/>
            <w:noWrap/>
            <w:vAlign w:val="center"/>
            <w:hideMark/>
          </w:tcPr>
          <w:p w14:paraId="7CF38EAA" w14:textId="77777777" w:rsidR="003959E5" w:rsidRPr="003959E5" w:rsidRDefault="003959E5" w:rsidP="003959E5">
            <w:pPr>
              <w:spacing w:line="240" w:lineRule="auto"/>
              <w:jc w:val="center"/>
              <w:rPr>
                <w:rFonts w:eastAsia="Times New Roman" w:cs="Times New Roman"/>
                <w:b/>
                <w:bCs/>
                <w:sz w:val="20"/>
                <w:szCs w:val="20"/>
                <w:lang w:val="en-KR" w:eastAsia="ja-JP"/>
              </w:rPr>
            </w:pPr>
            <w:r w:rsidRPr="003959E5">
              <w:rPr>
                <w:rFonts w:eastAsia="Times New Roman" w:cs="Times New Roman"/>
                <w:b/>
                <w:bCs/>
                <w:sz w:val="20"/>
                <w:szCs w:val="20"/>
                <w:lang w:val="en-KR" w:eastAsia="ja-JP"/>
              </w:rPr>
              <w:t>F</w:t>
            </w:r>
          </w:p>
        </w:tc>
        <w:tc>
          <w:tcPr>
            <w:tcW w:w="851" w:type="dxa"/>
            <w:noWrap/>
            <w:vAlign w:val="center"/>
            <w:hideMark/>
          </w:tcPr>
          <w:p w14:paraId="26B51B6E" w14:textId="77777777" w:rsidR="003959E5" w:rsidRPr="003959E5" w:rsidRDefault="003959E5" w:rsidP="003959E5">
            <w:pPr>
              <w:spacing w:line="240" w:lineRule="auto"/>
              <w:jc w:val="center"/>
              <w:rPr>
                <w:rFonts w:eastAsia="Times New Roman" w:cs="Times New Roman"/>
                <w:b/>
                <w:bCs/>
                <w:sz w:val="20"/>
                <w:szCs w:val="20"/>
                <w:lang w:val="en-KR" w:eastAsia="ja-JP"/>
              </w:rPr>
            </w:pPr>
            <w:r w:rsidRPr="003959E5">
              <w:rPr>
                <w:rFonts w:eastAsia="Times New Roman" w:cs="Times New Roman"/>
                <w:b/>
                <w:bCs/>
                <w:sz w:val="20"/>
                <w:szCs w:val="20"/>
                <w:lang w:val="en-KR" w:eastAsia="ja-JP"/>
              </w:rPr>
              <w:t>p</w:t>
            </w:r>
          </w:p>
        </w:tc>
        <w:tc>
          <w:tcPr>
            <w:tcW w:w="850" w:type="dxa"/>
            <w:noWrap/>
            <w:vAlign w:val="center"/>
            <w:hideMark/>
          </w:tcPr>
          <w:p w14:paraId="0CEA052F" w14:textId="77777777" w:rsidR="003959E5" w:rsidRPr="003959E5" w:rsidRDefault="003959E5" w:rsidP="003959E5">
            <w:pPr>
              <w:spacing w:line="240" w:lineRule="auto"/>
              <w:jc w:val="center"/>
              <w:rPr>
                <w:rFonts w:eastAsia="Times New Roman" w:cs="Times New Roman"/>
                <w:b/>
                <w:bCs/>
                <w:sz w:val="20"/>
                <w:szCs w:val="20"/>
                <w:lang w:val="en-KR" w:eastAsia="ja-JP"/>
              </w:rPr>
            </w:pPr>
            <w:r w:rsidRPr="003959E5">
              <w:rPr>
                <w:rFonts w:eastAsia="Times New Roman" w:cs="Times New Roman"/>
                <w:b/>
                <w:bCs/>
                <w:sz w:val="20"/>
                <w:szCs w:val="20"/>
                <w:lang w:val="en-KR" w:eastAsia="ja-JP"/>
              </w:rPr>
              <w:t>Peak</w:t>
            </w:r>
          </w:p>
        </w:tc>
      </w:tr>
      <w:tr w:rsidR="003959E5" w:rsidRPr="003959E5" w14:paraId="152FA788" w14:textId="77777777" w:rsidTr="003959E5">
        <w:trPr>
          <w:trHeight w:val="300"/>
        </w:trPr>
        <w:tc>
          <w:tcPr>
            <w:tcW w:w="1843" w:type="dxa"/>
            <w:noWrap/>
            <w:vAlign w:val="center"/>
            <w:hideMark/>
          </w:tcPr>
          <w:p w14:paraId="04B73CFA" w14:textId="04452A59" w:rsidR="003959E5" w:rsidRPr="003959E5" w:rsidRDefault="003959E5" w:rsidP="003959E5">
            <w:pPr>
              <w:spacing w:line="240" w:lineRule="auto"/>
              <w:rPr>
                <w:rFonts w:eastAsia="Times New Roman" w:cs="Times New Roman"/>
                <w:i/>
                <w:iCs/>
                <w:sz w:val="20"/>
                <w:szCs w:val="20"/>
                <w:lang w:val="en-KR" w:eastAsia="ja-JP"/>
              </w:rPr>
            </w:pPr>
            <w:r w:rsidRPr="003959E5">
              <w:rPr>
                <w:rFonts w:eastAsia="Times New Roman" w:cs="Times New Roman"/>
                <w:i/>
                <w:iCs/>
                <w:sz w:val="20"/>
                <w:szCs w:val="20"/>
                <w:lang w:val="en-KR" w:eastAsia="ja-JP"/>
              </w:rPr>
              <w:t>M</w:t>
            </w:r>
            <w:r w:rsidRPr="003959E5">
              <w:rPr>
                <w:rFonts w:eastAsia="Times New Roman" w:cs="Times New Roman"/>
                <w:i/>
                <w:iCs/>
                <w:sz w:val="20"/>
                <w:szCs w:val="20"/>
                <w:lang w:val="en-KR" w:eastAsia="ja-JP"/>
              </w:rPr>
              <w:t>.</w:t>
            </w:r>
            <w:r w:rsidRPr="003959E5">
              <w:rPr>
                <w:rFonts w:eastAsia="Times New Roman" w:cs="Times New Roman"/>
                <w:i/>
                <w:iCs/>
                <w:sz w:val="20"/>
                <w:szCs w:val="20"/>
                <w:lang w:val="en-KR" w:eastAsia="ja-JP"/>
              </w:rPr>
              <w:t xml:space="preserve"> fuliginosus</w:t>
            </w:r>
          </w:p>
        </w:tc>
        <w:tc>
          <w:tcPr>
            <w:tcW w:w="737" w:type="dxa"/>
            <w:noWrap/>
            <w:vAlign w:val="center"/>
            <w:hideMark/>
          </w:tcPr>
          <w:p w14:paraId="04AAE60A"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17.09</w:t>
            </w:r>
          </w:p>
        </w:tc>
        <w:tc>
          <w:tcPr>
            <w:tcW w:w="817" w:type="dxa"/>
            <w:noWrap/>
            <w:vAlign w:val="center"/>
            <w:hideMark/>
          </w:tcPr>
          <w:p w14:paraId="2B47CF59" w14:textId="224FA6DB"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3" w:type="dxa"/>
            <w:noWrap/>
            <w:vAlign w:val="center"/>
            <w:hideMark/>
          </w:tcPr>
          <w:p w14:paraId="7CEA4845"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Summer</w:t>
            </w:r>
          </w:p>
        </w:tc>
        <w:tc>
          <w:tcPr>
            <w:tcW w:w="850" w:type="dxa"/>
            <w:noWrap/>
            <w:vAlign w:val="center"/>
            <w:hideMark/>
          </w:tcPr>
          <w:p w14:paraId="42E36F16"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18.24</w:t>
            </w:r>
          </w:p>
        </w:tc>
        <w:tc>
          <w:tcPr>
            <w:tcW w:w="851" w:type="dxa"/>
            <w:noWrap/>
            <w:vAlign w:val="center"/>
            <w:hideMark/>
          </w:tcPr>
          <w:p w14:paraId="2A2967C0" w14:textId="0511BF34"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2" w:type="dxa"/>
            <w:noWrap/>
            <w:vAlign w:val="center"/>
            <w:hideMark/>
          </w:tcPr>
          <w:p w14:paraId="117DF28A"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Spring</w:t>
            </w:r>
          </w:p>
        </w:tc>
        <w:tc>
          <w:tcPr>
            <w:tcW w:w="850" w:type="dxa"/>
            <w:noWrap/>
            <w:vAlign w:val="center"/>
            <w:hideMark/>
          </w:tcPr>
          <w:p w14:paraId="27CE5E0B"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1.15</w:t>
            </w:r>
          </w:p>
        </w:tc>
        <w:tc>
          <w:tcPr>
            <w:tcW w:w="851" w:type="dxa"/>
            <w:noWrap/>
            <w:vAlign w:val="center"/>
            <w:hideMark/>
          </w:tcPr>
          <w:p w14:paraId="32FA9188" w14:textId="6124E154"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ns</w:t>
            </w:r>
          </w:p>
        </w:tc>
        <w:tc>
          <w:tcPr>
            <w:tcW w:w="850" w:type="dxa"/>
            <w:noWrap/>
            <w:vAlign w:val="center"/>
            <w:hideMark/>
          </w:tcPr>
          <w:p w14:paraId="51ADD776"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r>
      <w:tr w:rsidR="003959E5" w:rsidRPr="003959E5" w14:paraId="10468EB2" w14:textId="77777777" w:rsidTr="003959E5">
        <w:trPr>
          <w:trHeight w:val="300"/>
        </w:trPr>
        <w:tc>
          <w:tcPr>
            <w:tcW w:w="1843" w:type="dxa"/>
            <w:noWrap/>
            <w:vAlign w:val="center"/>
            <w:hideMark/>
          </w:tcPr>
          <w:p w14:paraId="603AC1D4" w14:textId="6D8432BB" w:rsidR="003959E5" w:rsidRPr="003959E5" w:rsidRDefault="003959E5" w:rsidP="003959E5">
            <w:pPr>
              <w:spacing w:line="240" w:lineRule="auto"/>
              <w:rPr>
                <w:rFonts w:eastAsia="Times New Roman" w:cs="Times New Roman"/>
                <w:i/>
                <w:iCs/>
                <w:sz w:val="20"/>
                <w:szCs w:val="20"/>
                <w:lang w:val="en-KR" w:eastAsia="ja-JP"/>
              </w:rPr>
            </w:pPr>
            <w:r w:rsidRPr="003959E5">
              <w:rPr>
                <w:rFonts w:eastAsia="Times New Roman" w:cs="Times New Roman"/>
                <w:i/>
                <w:iCs/>
                <w:sz w:val="20"/>
                <w:szCs w:val="20"/>
                <w:lang w:val="en-KR" w:eastAsia="ja-JP"/>
              </w:rPr>
              <w:t>R</w:t>
            </w:r>
            <w:r w:rsidRPr="003959E5">
              <w:rPr>
                <w:rFonts w:eastAsia="Times New Roman" w:cs="Times New Roman"/>
                <w:i/>
                <w:iCs/>
                <w:sz w:val="20"/>
                <w:szCs w:val="20"/>
                <w:lang w:val="en-KR" w:eastAsia="ja-JP"/>
              </w:rPr>
              <w:t>.</w:t>
            </w:r>
            <w:r w:rsidRPr="003959E5">
              <w:rPr>
                <w:rFonts w:eastAsia="Times New Roman" w:cs="Times New Roman"/>
                <w:i/>
                <w:iCs/>
                <w:sz w:val="20"/>
                <w:szCs w:val="20"/>
                <w:lang w:val="en-KR" w:eastAsia="ja-JP"/>
              </w:rPr>
              <w:t xml:space="preserve"> ferrumequinum</w:t>
            </w:r>
          </w:p>
        </w:tc>
        <w:tc>
          <w:tcPr>
            <w:tcW w:w="737" w:type="dxa"/>
            <w:noWrap/>
            <w:vAlign w:val="center"/>
            <w:hideMark/>
          </w:tcPr>
          <w:p w14:paraId="492ACF69"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10.45</w:t>
            </w:r>
          </w:p>
        </w:tc>
        <w:tc>
          <w:tcPr>
            <w:tcW w:w="817" w:type="dxa"/>
            <w:noWrap/>
            <w:vAlign w:val="center"/>
            <w:hideMark/>
          </w:tcPr>
          <w:p w14:paraId="0A63D07B" w14:textId="144B0E48"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3" w:type="dxa"/>
            <w:noWrap/>
            <w:vAlign w:val="center"/>
            <w:hideMark/>
          </w:tcPr>
          <w:p w14:paraId="3241B04A"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Spring†</w:t>
            </w:r>
          </w:p>
        </w:tc>
        <w:tc>
          <w:tcPr>
            <w:tcW w:w="850" w:type="dxa"/>
            <w:noWrap/>
            <w:vAlign w:val="center"/>
            <w:hideMark/>
          </w:tcPr>
          <w:p w14:paraId="1D14C3CD"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47.31</w:t>
            </w:r>
          </w:p>
        </w:tc>
        <w:tc>
          <w:tcPr>
            <w:tcW w:w="851" w:type="dxa"/>
            <w:noWrap/>
            <w:vAlign w:val="center"/>
            <w:hideMark/>
          </w:tcPr>
          <w:p w14:paraId="40A85CCD" w14:textId="11F087CC"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2" w:type="dxa"/>
            <w:noWrap/>
            <w:vAlign w:val="center"/>
            <w:hideMark/>
          </w:tcPr>
          <w:p w14:paraId="15FCE956"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Fall</w:t>
            </w:r>
          </w:p>
        </w:tc>
        <w:tc>
          <w:tcPr>
            <w:tcW w:w="850" w:type="dxa"/>
            <w:noWrap/>
            <w:vAlign w:val="center"/>
            <w:hideMark/>
          </w:tcPr>
          <w:p w14:paraId="229038F3"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1" w:type="dxa"/>
            <w:noWrap/>
            <w:vAlign w:val="center"/>
            <w:hideMark/>
          </w:tcPr>
          <w:p w14:paraId="11E5784E"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2B44FA64"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r>
      <w:tr w:rsidR="003959E5" w:rsidRPr="003959E5" w14:paraId="7FA7887D" w14:textId="77777777" w:rsidTr="003959E5">
        <w:trPr>
          <w:trHeight w:val="300"/>
        </w:trPr>
        <w:tc>
          <w:tcPr>
            <w:tcW w:w="1843" w:type="dxa"/>
            <w:noWrap/>
            <w:vAlign w:val="center"/>
            <w:hideMark/>
          </w:tcPr>
          <w:p w14:paraId="7DDCF743" w14:textId="2102253D" w:rsidR="003959E5" w:rsidRPr="003959E5" w:rsidRDefault="003959E5" w:rsidP="003959E5">
            <w:pPr>
              <w:spacing w:line="240" w:lineRule="auto"/>
              <w:rPr>
                <w:rFonts w:eastAsia="Times New Roman" w:cs="Times New Roman"/>
                <w:i/>
                <w:iCs/>
                <w:sz w:val="20"/>
                <w:szCs w:val="20"/>
                <w:lang w:val="en-KR" w:eastAsia="ja-JP"/>
              </w:rPr>
            </w:pPr>
            <w:r w:rsidRPr="003959E5">
              <w:rPr>
                <w:rFonts w:eastAsia="Times New Roman" w:cs="Times New Roman"/>
                <w:i/>
                <w:iCs/>
                <w:sz w:val="20"/>
                <w:szCs w:val="20"/>
                <w:lang w:val="en-KR" w:eastAsia="ja-JP"/>
              </w:rPr>
              <w:t>M</w:t>
            </w:r>
            <w:r w:rsidRPr="003959E5">
              <w:rPr>
                <w:rFonts w:eastAsia="Times New Roman" w:cs="Times New Roman"/>
                <w:i/>
                <w:iCs/>
                <w:sz w:val="20"/>
                <w:szCs w:val="20"/>
                <w:lang w:val="en-KR" w:eastAsia="ja-JP"/>
              </w:rPr>
              <w:t>.</w:t>
            </w:r>
            <w:r w:rsidRPr="003959E5">
              <w:rPr>
                <w:rFonts w:eastAsia="Times New Roman" w:cs="Times New Roman"/>
                <w:i/>
                <w:iCs/>
                <w:sz w:val="20"/>
                <w:szCs w:val="20"/>
                <w:lang w:val="en-KR" w:eastAsia="ja-JP"/>
              </w:rPr>
              <w:t xml:space="preserve"> macrodactylus</w:t>
            </w:r>
          </w:p>
        </w:tc>
        <w:tc>
          <w:tcPr>
            <w:tcW w:w="737" w:type="dxa"/>
            <w:noWrap/>
            <w:vAlign w:val="center"/>
            <w:hideMark/>
          </w:tcPr>
          <w:p w14:paraId="2106B2D0"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14.14</w:t>
            </w:r>
          </w:p>
        </w:tc>
        <w:tc>
          <w:tcPr>
            <w:tcW w:w="817" w:type="dxa"/>
            <w:noWrap/>
            <w:vAlign w:val="center"/>
            <w:hideMark/>
          </w:tcPr>
          <w:p w14:paraId="19069794" w14:textId="3B9EC715"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3" w:type="dxa"/>
            <w:noWrap/>
            <w:vAlign w:val="center"/>
            <w:hideMark/>
          </w:tcPr>
          <w:p w14:paraId="2CF1BD38"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Summer</w:t>
            </w:r>
          </w:p>
        </w:tc>
        <w:tc>
          <w:tcPr>
            <w:tcW w:w="850" w:type="dxa"/>
            <w:noWrap/>
            <w:vAlign w:val="center"/>
            <w:hideMark/>
          </w:tcPr>
          <w:p w14:paraId="50F4C683"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6.65</w:t>
            </w:r>
          </w:p>
        </w:tc>
        <w:tc>
          <w:tcPr>
            <w:tcW w:w="851" w:type="dxa"/>
            <w:noWrap/>
            <w:vAlign w:val="center"/>
            <w:hideMark/>
          </w:tcPr>
          <w:p w14:paraId="59708022" w14:textId="4B41DDC6"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2" w:type="dxa"/>
            <w:noWrap/>
            <w:vAlign w:val="center"/>
            <w:hideMark/>
          </w:tcPr>
          <w:p w14:paraId="4BF06B72"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Fall</w:t>
            </w:r>
          </w:p>
        </w:tc>
        <w:tc>
          <w:tcPr>
            <w:tcW w:w="850" w:type="dxa"/>
            <w:noWrap/>
            <w:vAlign w:val="center"/>
            <w:hideMark/>
          </w:tcPr>
          <w:p w14:paraId="6156DF1C"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1" w:type="dxa"/>
            <w:noWrap/>
            <w:vAlign w:val="center"/>
            <w:hideMark/>
          </w:tcPr>
          <w:p w14:paraId="5CBA282F"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6CA48C4E"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r>
      <w:tr w:rsidR="003959E5" w:rsidRPr="003959E5" w14:paraId="583F1703" w14:textId="77777777" w:rsidTr="003959E5">
        <w:trPr>
          <w:trHeight w:val="300"/>
        </w:trPr>
        <w:tc>
          <w:tcPr>
            <w:tcW w:w="1843" w:type="dxa"/>
            <w:noWrap/>
            <w:vAlign w:val="center"/>
            <w:hideMark/>
          </w:tcPr>
          <w:p w14:paraId="592C22DD" w14:textId="0E070429" w:rsidR="003959E5" w:rsidRPr="003959E5" w:rsidRDefault="003959E5" w:rsidP="003959E5">
            <w:pPr>
              <w:spacing w:line="240" w:lineRule="auto"/>
              <w:rPr>
                <w:rFonts w:eastAsia="Times New Roman" w:cs="Times New Roman"/>
                <w:i/>
                <w:iCs/>
                <w:sz w:val="20"/>
                <w:szCs w:val="20"/>
                <w:lang w:val="en-KR" w:eastAsia="ja-JP"/>
              </w:rPr>
            </w:pPr>
            <w:r w:rsidRPr="003959E5">
              <w:rPr>
                <w:rFonts w:eastAsia="Times New Roman" w:cs="Times New Roman"/>
                <w:i/>
                <w:iCs/>
                <w:sz w:val="20"/>
                <w:szCs w:val="20"/>
                <w:lang w:val="en-KR" w:eastAsia="ja-JP"/>
              </w:rPr>
              <w:t>M</w:t>
            </w:r>
            <w:r w:rsidRPr="003959E5">
              <w:rPr>
                <w:rFonts w:eastAsia="Times New Roman" w:cs="Times New Roman"/>
                <w:i/>
                <w:iCs/>
                <w:sz w:val="20"/>
                <w:szCs w:val="20"/>
                <w:lang w:val="en-KR" w:eastAsia="ja-JP"/>
              </w:rPr>
              <w:t>.</w:t>
            </w:r>
            <w:r w:rsidRPr="003959E5">
              <w:rPr>
                <w:rFonts w:eastAsia="Times New Roman" w:cs="Times New Roman"/>
                <w:i/>
                <w:iCs/>
                <w:sz w:val="20"/>
                <w:szCs w:val="20"/>
                <w:lang w:val="en-KR" w:eastAsia="ja-JP"/>
              </w:rPr>
              <w:t xml:space="preserve"> bombinus</w:t>
            </w:r>
          </w:p>
        </w:tc>
        <w:tc>
          <w:tcPr>
            <w:tcW w:w="737" w:type="dxa"/>
            <w:noWrap/>
            <w:vAlign w:val="center"/>
            <w:hideMark/>
          </w:tcPr>
          <w:p w14:paraId="0D425114"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17" w:type="dxa"/>
            <w:noWrap/>
            <w:vAlign w:val="center"/>
            <w:hideMark/>
          </w:tcPr>
          <w:p w14:paraId="442D291C"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3" w:type="dxa"/>
            <w:noWrap/>
            <w:vAlign w:val="center"/>
            <w:hideMark/>
          </w:tcPr>
          <w:p w14:paraId="138EDD88"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6AD57362"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7.32</w:t>
            </w:r>
          </w:p>
        </w:tc>
        <w:tc>
          <w:tcPr>
            <w:tcW w:w="851" w:type="dxa"/>
            <w:noWrap/>
            <w:vAlign w:val="center"/>
            <w:hideMark/>
          </w:tcPr>
          <w:p w14:paraId="19B873A9" w14:textId="61C19E2E"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2" w:type="dxa"/>
            <w:noWrap/>
            <w:vAlign w:val="center"/>
            <w:hideMark/>
          </w:tcPr>
          <w:p w14:paraId="5439D403"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Fall</w:t>
            </w:r>
          </w:p>
        </w:tc>
        <w:tc>
          <w:tcPr>
            <w:tcW w:w="850" w:type="dxa"/>
            <w:noWrap/>
            <w:vAlign w:val="center"/>
            <w:hideMark/>
          </w:tcPr>
          <w:p w14:paraId="49876B14"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4.69</w:t>
            </w:r>
          </w:p>
        </w:tc>
        <w:tc>
          <w:tcPr>
            <w:tcW w:w="851" w:type="dxa"/>
            <w:noWrap/>
            <w:vAlign w:val="center"/>
            <w:hideMark/>
          </w:tcPr>
          <w:p w14:paraId="6B23BEFF" w14:textId="5EE53931"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55632995"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Spring</w:t>
            </w:r>
          </w:p>
        </w:tc>
      </w:tr>
      <w:tr w:rsidR="003959E5" w:rsidRPr="003959E5" w14:paraId="14FE2054" w14:textId="77777777" w:rsidTr="003959E5">
        <w:trPr>
          <w:trHeight w:val="300"/>
        </w:trPr>
        <w:tc>
          <w:tcPr>
            <w:tcW w:w="1843" w:type="dxa"/>
            <w:noWrap/>
            <w:vAlign w:val="center"/>
            <w:hideMark/>
          </w:tcPr>
          <w:p w14:paraId="0762BEC9" w14:textId="6753F720" w:rsidR="003959E5" w:rsidRPr="003959E5" w:rsidRDefault="003959E5" w:rsidP="003959E5">
            <w:pPr>
              <w:spacing w:line="240" w:lineRule="auto"/>
              <w:rPr>
                <w:rFonts w:eastAsia="Times New Roman" w:cs="Times New Roman"/>
                <w:i/>
                <w:iCs/>
                <w:sz w:val="20"/>
                <w:szCs w:val="20"/>
                <w:lang w:val="en-KR" w:eastAsia="ja-JP"/>
              </w:rPr>
            </w:pPr>
            <w:r w:rsidRPr="003959E5">
              <w:rPr>
                <w:rFonts w:eastAsia="Times New Roman" w:cs="Times New Roman"/>
                <w:i/>
                <w:iCs/>
                <w:sz w:val="20"/>
                <w:szCs w:val="20"/>
                <w:lang w:val="en-KR" w:eastAsia="ja-JP"/>
              </w:rPr>
              <w:t>P</w:t>
            </w:r>
            <w:r w:rsidRPr="003959E5">
              <w:rPr>
                <w:rFonts w:eastAsia="Times New Roman" w:cs="Times New Roman"/>
                <w:i/>
                <w:iCs/>
                <w:sz w:val="20"/>
                <w:szCs w:val="20"/>
                <w:lang w:val="en-KR" w:eastAsia="ja-JP"/>
              </w:rPr>
              <w:t>.</w:t>
            </w:r>
            <w:r w:rsidRPr="003959E5">
              <w:rPr>
                <w:rFonts w:eastAsia="Times New Roman" w:cs="Times New Roman"/>
                <w:i/>
                <w:iCs/>
                <w:sz w:val="20"/>
                <w:szCs w:val="20"/>
                <w:lang w:val="en-KR" w:eastAsia="ja-JP"/>
              </w:rPr>
              <w:t xml:space="preserve"> abramus</w:t>
            </w:r>
          </w:p>
        </w:tc>
        <w:tc>
          <w:tcPr>
            <w:tcW w:w="737" w:type="dxa"/>
            <w:noWrap/>
            <w:vAlign w:val="center"/>
            <w:hideMark/>
          </w:tcPr>
          <w:p w14:paraId="723DDFB0"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17" w:type="dxa"/>
            <w:noWrap/>
            <w:vAlign w:val="center"/>
            <w:hideMark/>
          </w:tcPr>
          <w:p w14:paraId="4ABB4565"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3" w:type="dxa"/>
            <w:noWrap/>
            <w:vAlign w:val="center"/>
            <w:hideMark/>
          </w:tcPr>
          <w:p w14:paraId="0D620119"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03D0C18D"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1" w:type="dxa"/>
            <w:noWrap/>
            <w:vAlign w:val="center"/>
            <w:hideMark/>
          </w:tcPr>
          <w:p w14:paraId="7A9DEACD"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2" w:type="dxa"/>
            <w:noWrap/>
            <w:vAlign w:val="center"/>
            <w:hideMark/>
          </w:tcPr>
          <w:p w14:paraId="1745BD9A"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69876B79"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1" w:type="dxa"/>
            <w:noWrap/>
            <w:vAlign w:val="center"/>
            <w:hideMark/>
          </w:tcPr>
          <w:p w14:paraId="0B32F972"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3D9840E3"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r>
      <w:tr w:rsidR="003959E5" w:rsidRPr="003959E5" w14:paraId="43318C77" w14:textId="77777777" w:rsidTr="003959E5">
        <w:trPr>
          <w:trHeight w:val="300"/>
        </w:trPr>
        <w:tc>
          <w:tcPr>
            <w:tcW w:w="1843" w:type="dxa"/>
            <w:noWrap/>
            <w:vAlign w:val="center"/>
            <w:hideMark/>
          </w:tcPr>
          <w:p w14:paraId="742B0483" w14:textId="779FB3D2" w:rsidR="003959E5" w:rsidRPr="003959E5" w:rsidRDefault="003959E5" w:rsidP="003959E5">
            <w:pPr>
              <w:spacing w:line="240" w:lineRule="auto"/>
              <w:rPr>
                <w:rFonts w:eastAsia="Times New Roman" w:cs="Times New Roman"/>
                <w:i/>
                <w:iCs/>
                <w:sz w:val="20"/>
                <w:szCs w:val="20"/>
                <w:lang w:val="en-KR" w:eastAsia="ja-JP"/>
              </w:rPr>
            </w:pPr>
            <w:r w:rsidRPr="003959E5">
              <w:rPr>
                <w:rFonts w:eastAsia="Times New Roman" w:cs="Times New Roman"/>
                <w:i/>
                <w:iCs/>
                <w:sz w:val="20"/>
                <w:szCs w:val="20"/>
                <w:lang w:val="en-KR" w:eastAsia="ja-JP"/>
              </w:rPr>
              <w:t>M</w:t>
            </w:r>
            <w:r w:rsidRPr="003959E5">
              <w:rPr>
                <w:rFonts w:eastAsia="Times New Roman" w:cs="Times New Roman"/>
                <w:i/>
                <w:iCs/>
                <w:sz w:val="20"/>
                <w:szCs w:val="20"/>
                <w:lang w:val="en-KR" w:eastAsia="ja-JP"/>
              </w:rPr>
              <w:t>.</w:t>
            </w:r>
            <w:r w:rsidRPr="003959E5">
              <w:rPr>
                <w:rFonts w:eastAsia="Times New Roman" w:cs="Times New Roman"/>
                <w:i/>
                <w:iCs/>
                <w:sz w:val="20"/>
                <w:szCs w:val="20"/>
                <w:lang w:val="en-KR" w:eastAsia="ja-JP"/>
              </w:rPr>
              <w:t xml:space="preserve"> petax</w:t>
            </w:r>
          </w:p>
        </w:tc>
        <w:tc>
          <w:tcPr>
            <w:tcW w:w="737" w:type="dxa"/>
            <w:noWrap/>
            <w:vAlign w:val="center"/>
            <w:hideMark/>
          </w:tcPr>
          <w:p w14:paraId="3159192A"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4.73</w:t>
            </w:r>
          </w:p>
        </w:tc>
        <w:tc>
          <w:tcPr>
            <w:tcW w:w="817" w:type="dxa"/>
            <w:noWrap/>
            <w:vAlign w:val="center"/>
            <w:hideMark/>
          </w:tcPr>
          <w:p w14:paraId="42273899" w14:textId="7627F041"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3" w:type="dxa"/>
            <w:noWrap/>
            <w:vAlign w:val="center"/>
            <w:hideMark/>
          </w:tcPr>
          <w:p w14:paraId="75B32556"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Winter</w:t>
            </w:r>
          </w:p>
        </w:tc>
        <w:tc>
          <w:tcPr>
            <w:tcW w:w="850" w:type="dxa"/>
            <w:noWrap/>
            <w:vAlign w:val="center"/>
            <w:hideMark/>
          </w:tcPr>
          <w:p w14:paraId="74AC59B0"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3.44</w:t>
            </w:r>
          </w:p>
        </w:tc>
        <w:tc>
          <w:tcPr>
            <w:tcW w:w="851" w:type="dxa"/>
            <w:noWrap/>
            <w:vAlign w:val="center"/>
            <w:hideMark/>
          </w:tcPr>
          <w:p w14:paraId="12F9A21C" w14:textId="5BDE26DF"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2" w:type="dxa"/>
            <w:noWrap/>
            <w:vAlign w:val="center"/>
            <w:hideMark/>
          </w:tcPr>
          <w:p w14:paraId="0DCCD8AD"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Fall</w:t>
            </w:r>
          </w:p>
        </w:tc>
        <w:tc>
          <w:tcPr>
            <w:tcW w:w="850" w:type="dxa"/>
            <w:noWrap/>
            <w:vAlign w:val="center"/>
            <w:hideMark/>
          </w:tcPr>
          <w:p w14:paraId="06A129C9"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1" w:type="dxa"/>
            <w:noWrap/>
            <w:vAlign w:val="center"/>
            <w:hideMark/>
          </w:tcPr>
          <w:p w14:paraId="6FCCBBB0"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1C494D92"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r>
      <w:tr w:rsidR="003959E5" w:rsidRPr="003959E5" w14:paraId="782BD75B" w14:textId="77777777" w:rsidTr="003959E5">
        <w:trPr>
          <w:trHeight w:val="300"/>
        </w:trPr>
        <w:tc>
          <w:tcPr>
            <w:tcW w:w="1843" w:type="dxa"/>
            <w:noWrap/>
            <w:vAlign w:val="center"/>
            <w:hideMark/>
          </w:tcPr>
          <w:p w14:paraId="5EE6946F" w14:textId="09E8D91E" w:rsidR="003959E5" w:rsidRPr="003959E5" w:rsidRDefault="003959E5" w:rsidP="003959E5">
            <w:pPr>
              <w:spacing w:line="240" w:lineRule="auto"/>
              <w:rPr>
                <w:rFonts w:eastAsia="Times New Roman" w:cs="Times New Roman"/>
                <w:i/>
                <w:iCs/>
                <w:sz w:val="20"/>
                <w:szCs w:val="20"/>
                <w:lang w:val="en-KR" w:eastAsia="ja-JP"/>
              </w:rPr>
            </w:pPr>
            <w:r w:rsidRPr="003959E5">
              <w:rPr>
                <w:rFonts w:eastAsia="Times New Roman" w:cs="Times New Roman"/>
                <w:i/>
                <w:iCs/>
                <w:sz w:val="20"/>
                <w:szCs w:val="20"/>
                <w:lang w:val="en-KR" w:eastAsia="ja-JP"/>
              </w:rPr>
              <w:t>M</w:t>
            </w:r>
            <w:r w:rsidRPr="003959E5">
              <w:rPr>
                <w:rFonts w:eastAsia="Times New Roman" w:cs="Times New Roman"/>
                <w:i/>
                <w:iCs/>
                <w:sz w:val="20"/>
                <w:szCs w:val="20"/>
                <w:lang w:val="en-KR" w:eastAsia="ja-JP"/>
              </w:rPr>
              <w:t>.</w:t>
            </w:r>
            <w:r w:rsidRPr="003959E5">
              <w:rPr>
                <w:rFonts w:eastAsia="Times New Roman" w:cs="Times New Roman"/>
                <w:i/>
                <w:iCs/>
                <w:sz w:val="20"/>
                <w:szCs w:val="20"/>
                <w:lang w:val="en-KR" w:eastAsia="ja-JP"/>
              </w:rPr>
              <w:t xml:space="preserve"> aurascens</w:t>
            </w:r>
          </w:p>
        </w:tc>
        <w:tc>
          <w:tcPr>
            <w:tcW w:w="737" w:type="dxa"/>
            <w:noWrap/>
            <w:vAlign w:val="center"/>
            <w:hideMark/>
          </w:tcPr>
          <w:p w14:paraId="4ED9530B"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5.56</w:t>
            </w:r>
          </w:p>
        </w:tc>
        <w:tc>
          <w:tcPr>
            <w:tcW w:w="817" w:type="dxa"/>
            <w:noWrap/>
            <w:vAlign w:val="center"/>
            <w:hideMark/>
          </w:tcPr>
          <w:p w14:paraId="0253BC58" w14:textId="7538F229"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3" w:type="dxa"/>
            <w:noWrap/>
            <w:vAlign w:val="center"/>
            <w:hideMark/>
          </w:tcPr>
          <w:p w14:paraId="616D2C4C"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Summer</w:t>
            </w:r>
          </w:p>
        </w:tc>
        <w:tc>
          <w:tcPr>
            <w:tcW w:w="850" w:type="dxa"/>
            <w:noWrap/>
            <w:vAlign w:val="center"/>
            <w:hideMark/>
          </w:tcPr>
          <w:p w14:paraId="34493F85"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1" w:type="dxa"/>
            <w:noWrap/>
            <w:vAlign w:val="center"/>
            <w:hideMark/>
          </w:tcPr>
          <w:p w14:paraId="7916AEF9"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2" w:type="dxa"/>
            <w:noWrap/>
            <w:vAlign w:val="center"/>
            <w:hideMark/>
          </w:tcPr>
          <w:p w14:paraId="7643889B"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17DC8FC8"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1" w:type="dxa"/>
            <w:noWrap/>
            <w:vAlign w:val="center"/>
            <w:hideMark/>
          </w:tcPr>
          <w:p w14:paraId="0384ADAC"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140753F0"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r>
      <w:tr w:rsidR="003959E5" w:rsidRPr="003959E5" w14:paraId="012D6A9C" w14:textId="77777777" w:rsidTr="003959E5">
        <w:trPr>
          <w:trHeight w:val="300"/>
        </w:trPr>
        <w:tc>
          <w:tcPr>
            <w:tcW w:w="1843" w:type="dxa"/>
            <w:noWrap/>
            <w:vAlign w:val="center"/>
            <w:hideMark/>
          </w:tcPr>
          <w:p w14:paraId="44F1AE9A" w14:textId="2B3EC671" w:rsidR="003959E5" w:rsidRPr="003959E5" w:rsidRDefault="003959E5" w:rsidP="003959E5">
            <w:pPr>
              <w:spacing w:line="240" w:lineRule="auto"/>
              <w:rPr>
                <w:rFonts w:eastAsia="Times New Roman" w:cs="Times New Roman"/>
                <w:i/>
                <w:iCs/>
                <w:sz w:val="20"/>
                <w:szCs w:val="20"/>
                <w:lang w:val="en-KR" w:eastAsia="ja-JP"/>
              </w:rPr>
            </w:pPr>
            <w:r w:rsidRPr="003959E5">
              <w:rPr>
                <w:rFonts w:eastAsia="Times New Roman" w:cs="Times New Roman"/>
                <w:i/>
                <w:iCs/>
                <w:sz w:val="20"/>
                <w:szCs w:val="20"/>
                <w:lang w:val="en-KR" w:eastAsia="ja-JP"/>
              </w:rPr>
              <w:t>M</w:t>
            </w:r>
            <w:r w:rsidRPr="003959E5">
              <w:rPr>
                <w:rFonts w:eastAsia="Times New Roman" w:cs="Times New Roman"/>
                <w:i/>
                <w:iCs/>
                <w:sz w:val="20"/>
                <w:szCs w:val="20"/>
                <w:lang w:val="en-KR" w:eastAsia="ja-JP"/>
              </w:rPr>
              <w:t xml:space="preserve">. </w:t>
            </w:r>
            <w:r w:rsidRPr="003959E5">
              <w:rPr>
                <w:rFonts w:eastAsia="Times New Roman" w:cs="Times New Roman"/>
                <w:i/>
                <w:iCs/>
                <w:sz w:val="20"/>
                <w:szCs w:val="20"/>
                <w:lang w:val="en-KR" w:eastAsia="ja-JP"/>
              </w:rPr>
              <w:t>hilgendorfi</w:t>
            </w:r>
          </w:p>
        </w:tc>
        <w:tc>
          <w:tcPr>
            <w:tcW w:w="737" w:type="dxa"/>
            <w:noWrap/>
            <w:vAlign w:val="center"/>
            <w:hideMark/>
          </w:tcPr>
          <w:p w14:paraId="06C41D0B"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17" w:type="dxa"/>
            <w:noWrap/>
            <w:vAlign w:val="center"/>
            <w:hideMark/>
          </w:tcPr>
          <w:p w14:paraId="2C9AF355"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3" w:type="dxa"/>
            <w:noWrap/>
            <w:vAlign w:val="center"/>
            <w:hideMark/>
          </w:tcPr>
          <w:p w14:paraId="4F75D088"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75CDC446"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1" w:type="dxa"/>
            <w:noWrap/>
            <w:vAlign w:val="center"/>
            <w:hideMark/>
          </w:tcPr>
          <w:p w14:paraId="71EFAD95"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992" w:type="dxa"/>
            <w:noWrap/>
            <w:vAlign w:val="center"/>
            <w:hideMark/>
          </w:tcPr>
          <w:p w14:paraId="12E32C96"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303228EC"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1" w:type="dxa"/>
            <w:noWrap/>
            <w:vAlign w:val="center"/>
            <w:hideMark/>
          </w:tcPr>
          <w:p w14:paraId="0F58A294"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c>
          <w:tcPr>
            <w:tcW w:w="850" w:type="dxa"/>
            <w:noWrap/>
            <w:vAlign w:val="center"/>
            <w:hideMark/>
          </w:tcPr>
          <w:p w14:paraId="5661CE1F" w14:textId="77777777" w:rsidR="003959E5" w:rsidRPr="003959E5" w:rsidRDefault="003959E5" w:rsidP="003959E5">
            <w:pPr>
              <w:spacing w:line="240" w:lineRule="auto"/>
              <w:jc w:val="center"/>
              <w:rPr>
                <w:rFonts w:eastAsia="Times New Roman" w:cs="Times New Roman"/>
                <w:sz w:val="20"/>
                <w:szCs w:val="20"/>
                <w:lang w:val="en-KR" w:eastAsia="ja-JP"/>
              </w:rPr>
            </w:pPr>
            <w:r w:rsidRPr="003959E5">
              <w:rPr>
                <w:rFonts w:eastAsia="Times New Roman" w:cs="Times New Roman"/>
                <w:sz w:val="20"/>
                <w:szCs w:val="20"/>
                <w:lang w:val="en-KR" w:eastAsia="ja-JP"/>
              </w:rPr>
              <w:t>—</w:t>
            </w:r>
          </w:p>
        </w:tc>
      </w:tr>
    </w:tbl>
    <w:p w14:paraId="7AD8DF29" w14:textId="163394FD" w:rsidR="003959E5" w:rsidRPr="003959E5" w:rsidRDefault="003959E5" w:rsidP="003959E5">
      <w:pPr>
        <w:spacing w:line="240" w:lineRule="auto"/>
        <w:rPr>
          <w:rFonts w:cs="Times New Roman"/>
          <w:i/>
          <w:iCs/>
          <w:sz w:val="18"/>
          <w:szCs w:val="18"/>
          <w:lang w:val="en-KR" w:eastAsia="ja-JP"/>
        </w:rPr>
      </w:pPr>
      <w:r w:rsidRPr="003959E5">
        <w:rPr>
          <w:rFonts w:cs="Times New Roman"/>
          <w:i/>
          <w:iCs/>
          <w:sz w:val="18"/>
          <w:szCs w:val="18"/>
        </w:rPr>
        <w:t>ANOVA on Shannon diversity index across seasons within each species. *p &lt; 0.05, **p &lt; 0.01, ***p &lt; 0.001, ns = not significant.</w:t>
      </w:r>
      <w:r w:rsidRPr="003959E5">
        <w:rPr>
          <w:rFonts w:cs="Times New Roman"/>
          <w:i/>
          <w:iCs/>
          <w:sz w:val="18"/>
          <w:szCs w:val="18"/>
        </w:rPr>
        <w:t xml:space="preserve"> </w:t>
      </w:r>
      <w:r w:rsidRPr="003959E5">
        <w:rPr>
          <w:rFonts w:cs="Times New Roman"/>
          <w:i/>
          <w:iCs/>
          <w:sz w:val="18"/>
          <w:szCs w:val="18"/>
          <w:lang w:val="en-KR" w:eastAsia="ja-JP"/>
        </w:rPr>
        <w:t>— = not significant, insufficient seasonal coverage, or excluded (see Methods).</w:t>
      </w:r>
    </w:p>
    <w:p w14:paraId="451BF1E9" w14:textId="79E986C1" w:rsidR="003959E5" w:rsidRPr="003959E5" w:rsidRDefault="003959E5" w:rsidP="003959E5">
      <w:pPr>
        <w:spacing w:line="240" w:lineRule="auto"/>
        <w:rPr>
          <w:rFonts w:cs="Times New Roman"/>
          <w:i/>
          <w:iCs/>
          <w:sz w:val="18"/>
          <w:szCs w:val="18"/>
        </w:rPr>
      </w:pPr>
      <w:r w:rsidRPr="003959E5">
        <w:rPr>
          <w:rFonts w:cs="Times New Roman"/>
          <w:i/>
          <w:iCs/>
          <w:sz w:val="18"/>
          <w:szCs w:val="18"/>
        </w:rPr>
        <w:t>† R. ferrumequinum oral: spring, summer, and winter were all significantly higher than fall (all p &lt; 0.001); listed as</w:t>
      </w:r>
      <w:r w:rsidRPr="003959E5">
        <w:rPr>
          <w:rFonts w:cs="Times New Roman"/>
          <w:i/>
          <w:iCs/>
          <w:sz w:val="18"/>
          <w:szCs w:val="18"/>
        </w:rPr>
        <w:t xml:space="preserve"> </w:t>
      </w:r>
      <w:r w:rsidRPr="003959E5">
        <w:rPr>
          <w:rFonts w:cs="Times New Roman"/>
          <w:i/>
          <w:iCs/>
          <w:sz w:val="18"/>
          <w:szCs w:val="18"/>
        </w:rPr>
        <w:t>spring (highest mean).</w:t>
      </w:r>
      <w:r w:rsidRPr="003959E5">
        <w:rPr>
          <w:rFonts w:cs="Times New Roman"/>
          <w:i/>
          <w:iCs/>
          <w:sz w:val="18"/>
          <w:szCs w:val="18"/>
        </w:rPr>
        <w:t xml:space="preserve"> </w:t>
      </w:r>
      <w:r w:rsidRPr="003959E5">
        <w:rPr>
          <w:rFonts w:cs="Times New Roman"/>
          <w:i/>
          <w:iCs/>
          <w:sz w:val="18"/>
          <w:szCs w:val="18"/>
        </w:rPr>
        <w:t>Peak = season with the highest mean Shannon diversity.</w:t>
      </w:r>
    </w:p>
    <w:p w14:paraId="33D5297A" w14:textId="77777777" w:rsidR="003959E5" w:rsidRDefault="003959E5">
      <w:pPr>
        <w:spacing w:after="160" w:line="278" w:lineRule="auto"/>
        <w:rPr>
          <w:rFonts w:cs="Times New Roman"/>
          <w:b/>
          <w:szCs w:val="24"/>
        </w:rPr>
      </w:pPr>
    </w:p>
    <w:p w14:paraId="47407EC5" w14:textId="77777777" w:rsidR="003959E5" w:rsidRDefault="003959E5">
      <w:pPr>
        <w:spacing w:after="160" w:line="278" w:lineRule="auto"/>
        <w:rPr>
          <w:rFonts w:cs="Times New Roman"/>
          <w:b/>
          <w:szCs w:val="24"/>
        </w:rPr>
      </w:pPr>
    </w:p>
    <w:p w14:paraId="666CE336" w14:textId="77777777" w:rsidR="003959E5" w:rsidRDefault="003959E5">
      <w:pPr>
        <w:spacing w:after="160" w:line="278" w:lineRule="auto"/>
        <w:rPr>
          <w:rFonts w:cs="Times New Roman"/>
          <w:b/>
          <w:szCs w:val="24"/>
        </w:rPr>
      </w:pPr>
      <w:r>
        <w:rPr>
          <w:rFonts w:cs="Times New Roman"/>
          <w:b/>
          <w:szCs w:val="24"/>
        </w:rPr>
        <w:br w:type="page"/>
      </w:r>
    </w:p>
    <w:p w14:paraId="3F112A27" w14:textId="08EC25A5" w:rsidR="00A74B79" w:rsidRDefault="00A74B79" w:rsidP="00A74B79">
      <w:pPr>
        <w:spacing w:line="240" w:lineRule="auto"/>
        <w:rPr>
          <w:rFonts w:cs="Times New Roman"/>
          <w:szCs w:val="24"/>
        </w:rPr>
      </w:pPr>
      <w:r w:rsidRPr="0025022A">
        <w:rPr>
          <w:rFonts w:cs="Times New Roman"/>
          <w:b/>
          <w:szCs w:val="24"/>
        </w:rPr>
        <w:lastRenderedPageBreak/>
        <w:t>Table S</w:t>
      </w:r>
      <w:r w:rsidR="006A1380">
        <w:rPr>
          <w:rFonts w:cs="Times New Roman"/>
          <w:b/>
          <w:szCs w:val="24"/>
        </w:rPr>
        <w:t>3</w:t>
      </w:r>
      <w:r w:rsidRPr="0025022A">
        <w:rPr>
          <w:rFonts w:cs="Times New Roman"/>
          <w:szCs w:val="24"/>
        </w:rPr>
        <w:t xml:space="preserve"> Top 5 differentially abundant metabolic pathways between hibernation and active periods per body site</w:t>
      </w:r>
    </w:p>
    <w:tbl>
      <w:tblPr>
        <w:tblW w:w="0" w:type="auto"/>
        <w:jc w:val="cente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Look w:val="04A0" w:firstRow="1" w:lastRow="0" w:firstColumn="1" w:lastColumn="0" w:noHBand="0" w:noVBand="1"/>
      </w:tblPr>
      <w:tblGrid>
        <w:gridCol w:w="750"/>
        <w:gridCol w:w="1363"/>
        <w:gridCol w:w="4446"/>
        <w:gridCol w:w="1336"/>
        <w:gridCol w:w="1465"/>
      </w:tblGrid>
      <w:tr w:rsidR="00A74B79" w:rsidRPr="0025022A" w14:paraId="6413A6D9" w14:textId="77777777" w:rsidTr="009D6213">
        <w:trPr>
          <w:jc w:val="center"/>
        </w:trPr>
        <w:tc>
          <w:tcPr>
            <w:tcW w:w="750" w:type="dxa"/>
            <w:tcBorders>
              <w:bottom w:val="single" w:sz="6" w:space="0" w:color="000000"/>
            </w:tcBorders>
            <w:vAlign w:val="center"/>
          </w:tcPr>
          <w:p w14:paraId="108AFE6D" w14:textId="77777777" w:rsidR="00A74B79" w:rsidRPr="0025022A" w:rsidRDefault="00A74B79" w:rsidP="009D6213">
            <w:pPr>
              <w:spacing w:line="240" w:lineRule="auto"/>
              <w:jc w:val="center"/>
              <w:rPr>
                <w:rFonts w:cs="Times New Roman"/>
                <w:szCs w:val="24"/>
              </w:rPr>
            </w:pPr>
            <w:r w:rsidRPr="0025022A">
              <w:rPr>
                <w:rFonts w:cs="Times New Roman"/>
                <w:b/>
                <w:szCs w:val="24"/>
              </w:rPr>
              <w:t>Body site</w:t>
            </w:r>
          </w:p>
        </w:tc>
        <w:tc>
          <w:tcPr>
            <w:tcW w:w="1363" w:type="dxa"/>
            <w:tcBorders>
              <w:bottom w:val="single" w:sz="6" w:space="0" w:color="000000"/>
            </w:tcBorders>
            <w:vAlign w:val="center"/>
          </w:tcPr>
          <w:p w14:paraId="3F4F506C" w14:textId="77777777" w:rsidR="00A74B79" w:rsidRPr="0025022A" w:rsidRDefault="00A74B79" w:rsidP="009D6213">
            <w:pPr>
              <w:spacing w:line="240" w:lineRule="auto"/>
              <w:jc w:val="center"/>
              <w:rPr>
                <w:rFonts w:cs="Times New Roman"/>
                <w:szCs w:val="24"/>
              </w:rPr>
            </w:pPr>
            <w:r w:rsidRPr="0025022A">
              <w:rPr>
                <w:rFonts w:cs="Times New Roman"/>
                <w:b/>
                <w:szCs w:val="24"/>
              </w:rPr>
              <w:t>Enriched in</w:t>
            </w:r>
          </w:p>
        </w:tc>
        <w:tc>
          <w:tcPr>
            <w:tcW w:w="4479" w:type="dxa"/>
            <w:tcBorders>
              <w:bottom w:val="single" w:sz="6" w:space="0" w:color="000000"/>
            </w:tcBorders>
            <w:vAlign w:val="center"/>
          </w:tcPr>
          <w:p w14:paraId="60CD1B3F" w14:textId="77777777" w:rsidR="00A74B79" w:rsidRPr="0025022A" w:rsidRDefault="00A74B79" w:rsidP="009D6213">
            <w:pPr>
              <w:spacing w:line="240" w:lineRule="auto"/>
              <w:jc w:val="center"/>
              <w:rPr>
                <w:rFonts w:cs="Times New Roman"/>
                <w:szCs w:val="24"/>
              </w:rPr>
            </w:pPr>
            <w:r w:rsidRPr="0025022A">
              <w:rPr>
                <w:rFonts w:cs="Times New Roman"/>
                <w:b/>
                <w:szCs w:val="24"/>
              </w:rPr>
              <w:t>Pathway</w:t>
            </w:r>
          </w:p>
        </w:tc>
        <w:tc>
          <w:tcPr>
            <w:tcW w:w="1336" w:type="dxa"/>
            <w:tcBorders>
              <w:bottom w:val="single" w:sz="6" w:space="0" w:color="000000"/>
            </w:tcBorders>
            <w:vAlign w:val="center"/>
          </w:tcPr>
          <w:p w14:paraId="379B1BD3" w14:textId="77777777" w:rsidR="00A74B79" w:rsidRPr="0025022A" w:rsidRDefault="00A74B79" w:rsidP="009D6213">
            <w:pPr>
              <w:spacing w:line="240" w:lineRule="auto"/>
              <w:jc w:val="center"/>
              <w:rPr>
                <w:rFonts w:cs="Times New Roman"/>
                <w:szCs w:val="24"/>
              </w:rPr>
            </w:pPr>
            <w:r w:rsidRPr="0025022A">
              <w:rPr>
                <w:rFonts w:cs="Times New Roman"/>
                <w:b/>
                <w:szCs w:val="24"/>
              </w:rPr>
              <w:t>Coefficient (×10⁻³)</w:t>
            </w:r>
          </w:p>
        </w:tc>
        <w:tc>
          <w:tcPr>
            <w:tcW w:w="1474" w:type="dxa"/>
            <w:tcBorders>
              <w:bottom w:val="single" w:sz="6" w:space="0" w:color="000000"/>
            </w:tcBorders>
            <w:vAlign w:val="center"/>
          </w:tcPr>
          <w:p w14:paraId="5487429F" w14:textId="77777777" w:rsidR="00A74B79" w:rsidRPr="0025022A" w:rsidRDefault="00A74B79" w:rsidP="009D6213">
            <w:pPr>
              <w:spacing w:line="240" w:lineRule="auto"/>
              <w:jc w:val="center"/>
              <w:rPr>
                <w:rFonts w:cs="Times New Roman"/>
                <w:szCs w:val="24"/>
              </w:rPr>
            </w:pPr>
            <w:r w:rsidRPr="0025022A">
              <w:rPr>
                <w:rFonts w:cs="Times New Roman"/>
                <w:b/>
                <w:szCs w:val="24"/>
              </w:rPr>
              <w:t>q-value</w:t>
            </w:r>
          </w:p>
        </w:tc>
      </w:tr>
      <w:tr w:rsidR="00A74B79" w:rsidRPr="0025022A" w14:paraId="661E04BD" w14:textId="77777777" w:rsidTr="009D6213">
        <w:trPr>
          <w:jc w:val="center"/>
        </w:trPr>
        <w:tc>
          <w:tcPr>
            <w:tcW w:w="750" w:type="dxa"/>
            <w:vAlign w:val="center"/>
          </w:tcPr>
          <w:p w14:paraId="60F4D1E9"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2B25B3E2"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6072AF94" w14:textId="77777777" w:rsidR="00A74B79" w:rsidRPr="0025022A" w:rsidRDefault="00A74B79" w:rsidP="009D6213">
            <w:pPr>
              <w:spacing w:line="240" w:lineRule="auto"/>
              <w:jc w:val="center"/>
              <w:rPr>
                <w:rFonts w:cs="Times New Roman"/>
                <w:szCs w:val="24"/>
              </w:rPr>
            </w:pPr>
            <w:r w:rsidRPr="0025022A">
              <w:rPr>
                <w:rFonts w:cs="Times New Roman"/>
                <w:szCs w:val="24"/>
              </w:rPr>
              <w:t>Fatty acid β-oxidation I</w:t>
            </w:r>
          </w:p>
        </w:tc>
        <w:tc>
          <w:tcPr>
            <w:tcW w:w="1336" w:type="dxa"/>
            <w:vAlign w:val="center"/>
          </w:tcPr>
          <w:p w14:paraId="2AC6AFBC" w14:textId="77777777" w:rsidR="00A74B79" w:rsidRPr="0025022A" w:rsidRDefault="00A74B79" w:rsidP="009D6213">
            <w:pPr>
              <w:spacing w:line="240" w:lineRule="auto"/>
              <w:jc w:val="center"/>
              <w:rPr>
                <w:rFonts w:cs="Times New Roman"/>
                <w:szCs w:val="24"/>
              </w:rPr>
            </w:pPr>
            <w:r w:rsidRPr="0025022A">
              <w:rPr>
                <w:rFonts w:cs="Times New Roman"/>
                <w:szCs w:val="24"/>
              </w:rPr>
              <w:t>+1.28</w:t>
            </w:r>
          </w:p>
        </w:tc>
        <w:tc>
          <w:tcPr>
            <w:tcW w:w="1474" w:type="dxa"/>
            <w:vAlign w:val="center"/>
          </w:tcPr>
          <w:p w14:paraId="23509983" w14:textId="77777777" w:rsidR="00A74B79" w:rsidRPr="0025022A" w:rsidRDefault="00A74B79" w:rsidP="009D6213">
            <w:pPr>
              <w:spacing w:line="240" w:lineRule="auto"/>
              <w:jc w:val="center"/>
              <w:rPr>
                <w:rFonts w:cs="Times New Roman"/>
                <w:szCs w:val="24"/>
              </w:rPr>
            </w:pPr>
            <w:r w:rsidRPr="0025022A">
              <w:rPr>
                <w:rFonts w:cs="Times New Roman"/>
                <w:szCs w:val="24"/>
              </w:rPr>
              <w:t>1.88 × 10⁻¹³</w:t>
            </w:r>
          </w:p>
        </w:tc>
      </w:tr>
      <w:tr w:rsidR="00A74B79" w:rsidRPr="0025022A" w14:paraId="429D01E5" w14:textId="77777777" w:rsidTr="009D6213">
        <w:trPr>
          <w:jc w:val="center"/>
        </w:trPr>
        <w:tc>
          <w:tcPr>
            <w:tcW w:w="750" w:type="dxa"/>
            <w:vAlign w:val="center"/>
          </w:tcPr>
          <w:p w14:paraId="28A8B1CF"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6ABA224C"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01C29E1F" w14:textId="77777777" w:rsidR="00A74B79" w:rsidRPr="0025022A" w:rsidRDefault="00A74B79" w:rsidP="009D6213">
            <w:pPr>
              <w:spacing w:line="240" w:lineRule="auto"/>
              <w:jc w:val="center"/>
              <w:rPr>
                <w:rFonts w:cs="Times New Roman"/>
                <w:szCs w:val="24"/>
              </w:rPr>
            </w:pPr>
            <w:r w:rsidRPr="0025022A">
              <w:rPr>
                <w:rFonts w:cs="Times New Roman"/>
                <w:szCs w:val="24"/>
              </w:rPr>
              <w:t>Sucrose degradation II</w:t>
            </w:r>
          </w:p>
        </w:tc>
        <w:tc>
          <w:tcPr>
            <w:tcW w:w="1336" w:type="dxa"/>
            <w:vAlign w:val="center"/>
          </w:tcPr>
          <w:p w14:paraId="2238BCF1" w14:textId="77777777" w:rsidR="00A74B79" w:rsidRPr="0025022A" w:rsidRDefault="00A74B79" w:rsidP="009D6213">
            <w:pPr>
              <w:spacing w:line="240" w:lineRule="auto"/>
              <w:jc w:val="center"/>
              <w:rPr>
                <w:rFonts w:cs="Times New Roman"/>
                <w:szCs w:val="24"/>
              </w:rPr>
            </w:pPr>
            <w:r w:rsidRPr="0025022A">
              <w:rPr>
                <w:rFonts w:cs="Times New Roman"/>
                <w:szCs w:val="24"/>
              </w:rPr>
              <w:t>+1.27</w:t>
            </w:r>
          </w:p>
        </w:tc>
        <w:tc>
          <w:tcPr>
            <w:tcW w:w="1474" w:type="dxa"/>
            <w:vAlign w:val="center"/>
          </w:tcPr>
          <w:p w14:paraId="75B52D6F" w14:textId="77777777" w:rsidR="00A74B79" w:rsidRPr="0025022A" w:rsidRDefault="00A74B79" w:rsidP="009D6213">
            <w:pPr>
              <w:spacing w:line="240" w:lineRule="auto"/>
              <w:jc w:val="center"/>
              <w:rPr>
                <w:rFonts w:cs="Times New Roman"/>
                <w:szCs w:val="24"/>
              </w:rPr>
            </w:pPr>
            <w:r w:rsidRPr="0025022A">
              <w:rPr>
                <w:rFonts w:cs="Times New Roman"/>
                <w:szCs w:val="24"/>
              </w:rPr>
              <w:t>7.55 × 10⁻¹³</w:t>
            </w:r>
          </w:p>
        </w:tc>
      </w:tr>
      <w:tr w:rsidR="00A74B79" w:rsidRPr="0025022A" w14:paraId="46D27F73" w14:textId="77777777" w:rsidTr="009D6213">
        <w:trPr>
          <w:jc w:val="center"/>
        </w:trPr>
        <w:tc>
          <w:tcPr>
            <w:tcW w:w="750" w:type="dxa"/>
            <w:vAlign w:val="center"/>
          </w:tcPr>
          <w:p w14:paraId="1C5E90BA"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72E2DD93"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045B3E7A" w14:textId="77777777" w:rsidR="00A74B79" w:rsidRPr="0025022A" w:rsidRDefault="00A74B79" w:rsidP="009D6213">
            <w:pPr>
              <w:spacing w:line="240" w:lineRule="auto"/>
              <w:jc w:val="center"/>
              <w:rPr>
                <w:rFonts w:cs="Times New Roman"/>
                <w:szCs w:val="24"/>
              </w:rPr>
            </w:pPr>
            <w:r w:rsidRPr="0025022A">
              <w:rPr>
                <w:rFonts w:cs="Times New Roman"/>
                <w:szCs w:val="24"/>
              </w:rPr>
              <w:t>Ergothioneine biosynthesis II</w:t>
            </w:r>
          </w:p>
        </w:tc>
        <w:tc>
          <w:tcPr>
            <w:tcW w:w="1336" w:type="dxa"/>
            <w:vAlign w:val="center"/>
          </w:tcPr>
          <w:p w14:paraId="3B787B5A" w14:textId="77777777" w:rsidR="00A74B79" w:rsidRPr="0025022A" w:rsidRDefault="00A74B79" w:rsidP="009D6213">
            <w:pPr>
              <w:spacing w:line="240" w:lineRule="auto"/>
              <w:jc w:val="center"/>
              <w:rPr>
                <w:rFonts w:cs="Times New Roman"/>
                <w:szCs w:val="24"/>
              </w:rPr>
            </w:pPr>
            <w:r w:rsidRPr="0025022A">
              <w:rPr>
                <w:rFonts w:cs="Times New Roman"/>
                <w:szCs w:val="24"/>
              </w:rPr>
              <w:t>+1.20</w:t>
            </w:r>
          </w:p>
        </w:tc>
        <w:tc>
          <w:tcPr>
            <w:tcW w:w="1474" w:type="dxa"/>
            <w:vAlign w:val="center"/>
          </w:tcPr>
          <w:p w14:paraId="18210BE8" w14:textId="77777777" w:rsidR="00A74B79" w:rsidRPr="0025022A" w:rsidRDefault="00A74B79" w:rsidP="009D6213">
            <w:pPr>
              <w:spacing w:line="240" w:lineRule="auto"/>
              <w:jc w:val="center"/>
              <w:rPr>
                <w:rFonts w:cs="Times New Roman"/>
                <w:szCs w:val="24"/>
              </w:rPr>
            </w:pPr>
            <w:r w:rsidRPr="0025022A">
              <w:rPr>
                <w:rFonts w:cs="Times New Roman"/>
                <w:szCs w:val="24"/>
              </w:rPr>
              <w:t>3.92 × 10⁻¹⁶</w:t>
            </w:r>
          </w:p>
        </w:tc>
      </w:tr>
      <w:tr w:rsidR="00A74B79" w:rsidRPr="0025022A" w14:paraId="270F531C" w14:textId="77777777" w:rsidTr="009D6213">
        <w:trPr>
          <w:jc w:val="center"/>
        </w:trPr>
        <w:tc>
          <w:tcPr>
            <w:tcW w:w="750" w:type="dxa"/>
            <w:vAlign w:val="center"/>
          </w:tcPr>
          <w:p w14:paraId="14703326"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2F670083"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1D8B74EA" w14:textId="77777777" w:rsidR="00A74B79" w:rsidRPr="0025022A" w:rsidRDefault="00A74B79" w:rsidP="009D6213">
            <w:pPr>
              <w:spacing w:line="240" w:lineRule="auto"/>
              <w:jc w:val="center"/>
              <w:rPr>
                <w:rFonts w:cs="Times New Roman"/>
                <w:szCs w:val="24"/>
              </w:rPr>
            </w:pPr>
            <w:r w:rsidRPr="0025022A">
              <w:rPr>
                <w:rFonts w:cs="Times New Roman"/>
                <w:szCs w:val="24"/>
              </w:rPr>
              <w:t>Stearate biosynthesis I</w:t>
            </w:r>
          </w:p>
        </w:tc>
        <w:tc>
          <w:tcPr>
            <w:tcW w:w="1336" w:type="dxa"/>
            <w:vAlign w:val="center"/>
          </w:tcPr>
          <w:p w14:paraId="0A10E7E3" w14:textId="77777777" w:rsidR="00A74B79" w:rsidRPr="0025022A" w:rsidRDefault="00A74B79" w:rsidP="009D6213">
            <w:pPr>
              <w:spacing w:line="240" w:lineRule="auto"/>
              <w:jc w:val="center"/>
              <w:rPr>
                <w:rFonts w:cs="Times New Roman"/>
                <w:szCs w:val="24"/>
              </w:rPr>
            </w:pPr>
            <w:r w:rsidRPr="0025022A">
              <w:rPr>
                <w:rFonts w:cs="Times New Roman"/>
                <w:szCs w:val="24"/>
              </w:rPr>
              <w:t>+1.16</w:t>
            </w:r>
          </w:p>
        </w:tc>
        <w:tc>
          <w:tcPr>
            <w:tcW w:w="1474" w:type="dxa"/>
            <w:vAlign w:val="center"/>
          </w:tcPr>
          <w:p w14:paraId="459CAFC1" w14:textId="77777777" w:rsidR="00A74B79" w:rsidRPr="0025022A" w:rsidRDefault="00A74B79" w:rsidP="009D6213">
            <w:pPr>
              <w:spacing w:line="240" w:lineRule="auto"/>
              <w:jc w:val="center"/>
              <w:rPr>
                <w:rFonts w:cs="Times New Roman"/>
                <w:szCs w:val="24"/>
              </w:rPr>
            </w:pPr>
            <w:r w:rsidRPr="0025022A">
              <w:rPr>
                <w:rFonts w:cs="Times New Roman"/>
                <w:szCs w:val="24"/>
              </w:rPr>
              <w:t>2.36 × 10⁻¹⁷</w:t>
            </w:r>
          </w:p>
        </w:tc>
      </w:tr>
      <w:tr w:rsidR="00A74B79" w:rsidRPr="0025022A" w14:paraId="1B0A6C07" w14:textId="77777777" w:rsidTr="009D6213">
        <w:trPr>
          <w:jc w:val="center"/>
        </w:trPr>
        <w:tc>
          <w:tcPr>
            <w:tcW w:w="750" w:type="dxa"/>
            <w:vAlign w:val="center"/>
          </w:tcPr>
          <w:p w14:paraId="11F42467"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5E2544FB"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56D4288D" w14:textId="77777777" w:rsidR="00A74B79" w:rsidRPr="0025022A" w:rsidRDefault="00A74B79" w:rsidP="009D6213">
            <w:pPr>
              <w:spacing w:line="240" w:lineRule="auto"/>
              <w:jc w:val="center"/>
              <w:rPr>
                <w:rFonts w:cs="Times New Roman"/>
                <w:szCs w:val="24"/>
              </w:rPr>
            </w:pPr>
            <w:r w:rsidRPr="0025022A">
              <w:rPr>
                <w:rFonts w:cs="Times New Roman"/>
                <w:szCs w:val="24"/>
              </w:rPr>
              <w:t>Fatty acid β-oxidation II</w:t>
            </w:r>
          </w:p>
        </w:tc>
        <w:tc>
          <w:tcPr>
            <w:tcW w:w="1336" w:type="dxa"/>
            <w:vAlign w:val="center"/>
          </w:tcPr>
          <w:p w14:paraId="24247B1F" w14:textId="77777777" w:rsidR="00A74B79" w:rsidRPr="0025022A" w:rsidRDefault="00A74B79" w:rsidP="009D6213">
            <w:pPr>
              <w:spacing w:line="240" w:lineRule="auto"/>
              <w:jc w:val="center"/>
              <w:rPr>
                <w:rFonts w:cs="Times New Roman"/>
                <w:szCs w:val="24"/>
              </w:rPr>
            </w:pPr>
            <w:r w:rsidRPr="0025022A">
              <w:rPr>
                <w:rFonts w:cs="Times New Roman"/>
                <w:szCs w:val="24"/>
              </w:rPr>
              <w:t>+1.14</w:t>
            </w:r>
          </w:p>
        </w:tc>
        <w:tc>
          <w:tcPr>
            <w:tcW w:w="1474" w:type="dxa"/>
            <w:vAlign w:val="center"/>
          </w:tcPr>
          <w:p w14:paraId="26941C32" w14:textId="77777777" w:rsidR="00A74B79" w:rsidRPr="0025022A" w:rsidRDefault="00A74B79" w:rsidP="009D6213">
            <w:pPr>
              <w:spacing w:line="240" w:lineRule="auto"/>
              <w:jc w:val="center"/>
              <w:rPr>
                <w:rFonts w:cs="Times New Roman"/>
                <w:szCs w:val="24"/>
              </w:rPr>
            </w:pPr>
            <w:r w:rsidRPr="0025022A">
              <w:rPr>
                <w:rFonts w:cs="Times New Roman"/>
                <w:szCs w:val="24"/>
              </w:rPr>
              <w:t>1.09 × 10⁻⁹</w:t>
            </w:r>
          </w:p>
        </w:tc>
      </w:tr>
      <w:tr w:rsidR="00A74B79" w:rsidRPr="0025022A" w14:paraId="53424502" w14:textId="77777777" w:rsidTr="009D6213">
        <w:trPr>
          <w:jc w:val="center"/>
        </w:trPr>
        <w:tc>
          <w:tcPr>
            <w:tcW w:w="750" w:type="dxa"/>
            <w:vAlign w:val="center"/>
          </w:tcPr>
          <w:p w14:paraId="79DF156B"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7E4591A5"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4DF156CF" w14:textId="77777777" w:rsidR="00A74B79" w:rsidRPr="0025022A" w:rsidRDefault="00A74B79" w:rsidP="009D6213">
            <w:pPr>
              <w:spacing w:line="240" w:lineRule="auto"/>
              <w:jc w:val="center"/>
              <w:rPr>
                <w:rFonts w:cs="Times New Roman"/>
                <w:szCs w:val="24"/>
              </w:rPr>
            </w:pPr>
            <w:r w:rsidRPr="0025022A">
              <w:rPr>
                <w:rFonts w:cs="Times New Roman"/>
                <w:szCs w:val="24"/>
              </w:rPr>
              <w:t>Peptidoglycan biosynthesis V</w:t>
            </w:r>
          </w:p>
        </w:tc>
        <w:tc>
          <w:tcPr>
            <w:tcW w:w="1336" w:type="dxa"/>
            <w:vAlign w:val="center"/>
          </w:tcPr>
          <w:p w14:paraId="3E9C2462" w14:textId="77777777" w:rsidR="00A74B79" w:rsidRPr="0025022A" w:rsidRDefault="00A74B79" w:rsidP="009D6213">
            <w:pPr>
              <w:spacing w:line="240" w:lineRule="auto"/>
              <w:jc w:val="center"/>
              <w:rPr>
                <w:rFonts w:cs="Times New Roman"/>
                <w:szCs w:val="24"/>
              </w:rPr>
            </w:pPr>
            <w:r w:rsidRPr="0025022A">
              <w:rPr>
                <w:rFonts w:cs="Times New Roman"/>
                <w:szCs w:val="24"/>
              </w:rPr>
              <w:t>−1.56</w:t>
            </w:r>
          </w:p>
        </w:tc>
        <w:tc>
          <w:tcPr>
            <w:tcW w:w="1474" w:type="dxa"/>
            <w:vAlign w:val="center"/>
          </w:tcPr>
          <w:p w14:paraId="072C8DA2" w14:textId="77777777" w:rsidR="00A74B79" w:rsidRPr="0025022A" w:rsidRDefault="00A74B79" w:rsidP="009D6213">
            <w:pPr>
              <w:spacing w:line="240" w:lineRule="auto"/>
              <w:jc w:val="center"/>
              <w:rPr>
                <w:rFonts w:cs="Times New Roman"/>
                <w:szCs w:val="24"/>
              </w:rPr>
            </w:pPr>
            <w:r w:rsidRPr="0025022A">
              <w:rPr>
                <w:rFonts w:cs="Times New Roman"/>
                <w:szCs w:val="24"/>
              </w:rPr>
              <w:t>3.99 × 10⁻³⁰</w:t>
            </w:r>
          </w:p>
        </w:tc>
      </w:tr>
      <w:tr w:rsidR="00A74B79" w:rsidRPr="0025022A" w14:paraId="28C64FC6" w14:textId="77777777" w:rsidTr="009D6213">
        <w:trPr>
          <w:jc w:val="center"/>
        </w:trPr>
        <w:tc>
          <w:tcPr>
            <w:tcW w:w="750" w:type="dxa"/>
            <w:vAlign w:val="center"/>
          </w:tcPr>
          <w:p w14:paraId="305E50AB"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2D497C06"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7727CC17" w14:textId="77777777" w:rsidR="00A74B79" w:rsidRPr="0025022A" w:rsidRDefault="00A74B79" w:rsidP="009D6213">
            <w:pPr>
              <w:spacing w:line="240" w:lineRule="auto"/>
              <w:jc w:val="center"/>
              <w:rPr>
                <w:rFonts w:cs="Times New Roman"/>
                <w:szCs w:val="24"/>
              </w:rPr>
            </w:pPr>
            <w:r w:rsidRPr="0025022A">
              <w:rPr>
                <w:rFonts w:cs="Times New Roman"/>
                <w:szCs w:val="24"/>
              </w:rPr>
              <w:t>L-lysine biosynthesis II</w:t>
            </w:r>
          </w:p>
        </w:tc>
        <w:tc>
          <w:tcPr>
            <w:tcW w:w="1336" w:type="dxa"/>
            <w:vAlign w:val="center"/>
          </w:tcPr>
          <w:p w14:paraId="4CCD8D5C" w14:textId="77777777" w:rsidR="00A74B79" w:rsidRPr="0025022A" w:rsidRDefault="00A74B79" w:rsidP="009D6213">
            <w:pPr>
              <w:spacing w:line="240" w:lineRule="auto"/>
              <w:jc w:val="center"/>
              <w:rPr>
                <w:rFonts w:cs="Times New Roman"/>
                <w:szCs w:val="24"/>
              </w:rPr>
            </w:pPr>
            <w:r w:rsidRPr="0025022A">
              <w:rPr>
                <w:rFonts w:cs="Times New Roman"/>
                <w:szCs w:val="24"/>
              </w:rPr>
              <w:t>−1.52</w:t>
            </w:r>
          </w:p>
        </w:tc>
        <w:tc>
          <w:tcPr>
            <w:tcW w:w="1474" w:type="dxa"/>
            <w:vAlign w:val="center"/>
          </w:tcPr>
          <w:p w14:paraId="04B4D7C5" w14:textId="77777777" w:rsidR="00A74B79" w:rsidRPr="0025022A" w:rsidRDefault="00A74B79" w:rsidP="009D6213">
            <w:pPr>
              <w:spacing w:line="240" w:lineRule="auto"/>
              <w:jc w:val="center"/>
              <w:rPr>
                <w:rFonts w:cs="Times New Roman"/>
                <w:szCs w:val="24"/>
              </w:rPr>
            </w:pPr>
            <w:r w:rsidRPr="0025022A">
              <w:rPr>
                <w:rFonts w:cs="Times New Roman"/>
                <w:szCs w:val="24"/>
              </w:rPr>
              <w:t>1.44 × 10⁻³¹</w:t>
            </w:r>
          </w:p>
        </w:tc>
      </w:tr>
      <w:tr w:rsidR="00A74B79" w:rsidRPr="0025022A" w14:paraId="51926484" w14:textId="77777777" w:rsidTr="009D6213">
        <w:trPr>
          <w:jc w:val="center"/>
        </w:trPr>
        <w:tc>
          <w:tcPr>
            <w:tcW w:w="750" w:type="dxa"/>
            <w:vAlign w:val="center"/>
          </w:tcPr>
          <w:p w14:paraId="5AEF230A"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232014BF"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20C89C42" w14:textId="77777777" w:rsidR="00A74B79" w:rsidRPr="0025022A" w:rsidRDefault="00A74B79" w:rsidP="009D6213">
            <w:pPr>
              <w:spacing w:line="240" w:lineRule="auto"/>
              <w:jc w:val="center"/>
              <w:rPr>
                <w:rFonts w:cs="Times New Roman"/>
                <w:szCs w:val="24"/>
              </w:rPr>
            </w:pPr>
            <w:r w:rsidRPr="0025022A">
              <w:rPr>
                <w:rFonts w:cs="Times New Roman"/>
                <w:szCs w:val="24"/>
              </w:rPr>
              <w:t>Glucose-1-phosphate metabolism</w:t>
            </w:r>
          </w:p>
        </w:tc>
        <w:tc>
          <w:tcPr>
            <w:tcW w:w="1336" w:type="dxa"/>
            <w:vAlign w:val="center"/>
          </w:tcPr>
          <w:p w14:paraId="4B1F64A5" w14:textId="77777777" w:rsidR="00A74B79" w:rsidRPr="0025022A" w:rsidRDefault="00A74B79" w:rsidP="009D6213">
            <w:pPr>
              <w:spacing w:line="240" w:lineRule="auto"/>
              <w:jc w:val="center"/>
              <w:rPr>
                <w:rFonts w:cs="Times New Roman"/>
                <w:szCs w:val="24"/>
              </w:rPr>
            </w:pPr>
            <w:r w:rsidRPr="0025022A">
              <w:rPr>
                <w:rFonts w:cs="Times New Roman"/>
                <w:szCs w:val="24"/>
              </w:rPr>
              <w:t>−1.29</w:t>
            </w:r>
          </w:p>
        </w:tc>
        <w:tc>
          <w:tcPr>
            <w:tcW w:w="1474" w:type="dxa"/>
            <w:vAlign w:val="center"/>
          </w:tcPr>
          <w:p w14:paraId="0E64F186" w14:textId="77777777" w:rsidR="00A74B79" w:rsidRPr="0025022A" w:rsidRDefault="00A74B79" w:rsidP="009D6213">
            <w:pPr>
              <w:spacing w:line="240" w:lineRule="auto"/>
              <w:jc w:val="center"/>
              <w:rPr>
                <w:rFonts w:cs="Times New Roman"/>
                <w:szCs w:val="24"/>
              </w:rPr>
            </w:pPr>
            <w:r w:rsidRPr="0025022A">
              <w:rPr>
                <w:rFonts w:cs="Times New Roman"/>
                <w:szCs w:val="24"/>
              </w:rPr>
              <w:t>6.34 × 10⁻¹⁴</w:t>
            </w:r>
          </w:p>
        </w:tc>
      </w:tr>
      <w:tr w:rsidR="00A74B79" w:rsidRPr="0025022A" w14:paraId="35B3B8D1" w14:textId="77777777" w:rsidTr="009D6213">
        <w:trPr>
          <w:jc w:val="center"/>
        </w:trPr>
        <w:tc>
          <w:tcPr>
            <w:tcW w:w="750" w:type="dxa"/>
            <w:vAlign w:val="center"/>
          </w:tcPr>
          <w:p w14:paraId="7826F6B0"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09D2BCDF"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74A45EF2" w14:textId="77777777" w:rsidR="00A74B79" w:rsidRPr="0025022A" w:rsidRDefault="00A74B79" w:rsidP="009D6213">
            <w:pPr>
              <w:spacing w:line="240" w:lineRule="auto"/>
              <w:jc w:val="center"/>
              <w:rPr>
                <w:rFonts w:cs="Times New Roman"/>
                <w:szCs w:val="24"/>
              </w:rPr>
            </w:pPr>
            <w:r w:rsidRPr="0025022A">
              <w:rPr>
                <w:rFonts w:cs="Times New Roman"/>
                <w:szCs w:val="24"/>
              </w:rPr>
              <w:t>Peptidoglycan biosynthesis IV</w:t>
            </w:r>
          </w:p>
        </w:tc>
        <w:tc>
          <w:tcPr>
            <w:tcW w:w="1336" w:type="dxa"/>
            <w:vAlign w:val="center"/>
          </w:tcPr>
          <w:p w14:paraId="60DB62FF" w14:textId="77777777" w:rsidR="00A74B79" w:rsidRPr="0025022A" w:rsidRDefault="00A74B79" w:rsidP="009D6213">
            <w:pPr>
              <w:spacing w:line="240" w:lineRule="auto"/>
              <w:jc w:val="center"/>
              <w:rPr>
                <w:rFonts w:cs="Times New Roman"/>
                <w:szCs w:val="24"/>
              </w:rPr>
            </w:pPr>
            <w:r w:rsidRPr="0025022A">
              <w:rPr>
                <w:rFonts w:cs="Times New Roman"/>
                <w:szCs w:val="24"/>
              </w:rPr>
              <w:t>−1.19</w:t>
            </w:r>
          </w:p>
        </w:tc>
        <w:tc>
          <w:tcPr>
            <w:tcW w:w="1474" w:type="dxa"/>
            <w:vAlign w:val="center"/>
          </w:tcPr>
          <w:p w14:paraId="5B71BEDB" w14:textId="77777777" w:rsidR="00A74B79" w:rsidRPr="0025022A" w:rsidRDefault="00A74B79" w:rsidP="009D6213">
            <w:pPr>
              <w:spacing w:line="240" w:lineRule="auto"/>
              <w:jc w:val="center"/>
              <w:rPr>
                <w:rFonts w:cs="Times New Roman"/>
                <w:szCs w:val="24"/>
              </w:rPr>
            </w:pPr>
            <w:r w:rsidRPr="0025022A">
              <w:rPr>
                <w:rFonts w:cs="Times New Roman"/>
                <w:szCs w:val="24"/>
              </w:rPr>
              <w:t>4.44 × 10⁻²²</w:t>
            </w:r>
          </w:p>
        </w:tc>
      </w:tr>
      <w:tr w:rsidR="00A74B79" w:rsidRPr="0025022A" w14:paraId="75868A7F" w14:textId="77777777" w:rsidTr="009D6213">
        <w:trPr>
          <w:jc w:val="center"/>
        </w:trPr>
        <w:tc>
          <w:tcPr>
            <w:tcW w:w="750" w:type="dxa"/>
            <w:vAlign w:val="center"/>
          </w:tcPr>
          <w:p w14:paraId="4AC5FAEC" w14:textId="77777777" w:rsidR="00A74B79" w:rsidRPr="0025022A" w:rsidRDefault="00A74B79" w:rsidP="009D6213">
            <w:pPr>
              <w:spacing w:line="240" w:lineRule="auto"/>
              <w:jc w:val="center"/>
              <w:rPr>
                <w:rFonts w:cs="Times New Roman"/>
                <w:szCs w:val="24"/>
              </w:rPr>
            </w:pPr>
            <w:r w:rsidRPr="0025022A">
              <w:rPr>
                <w:rFonts w:cs="Times New Roman"/>
                <w:szCs w:val="24"/>
              </w:rPr>
              <w:t>Oral</w:t>
            </w:r>
          </w:p>
        </w:tc>
        <w:tc>
          <w:tcPr>
            <w:tcW w:w="1363" w:type="dxa"/>
            <w:vAlign w:val="center"/>
          </w:tcPr>
          <w:p w14:paraId="28381723"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0ADC66AB" w14:textId="77777777" w:rsidR="00A74B79" w:rsidRPr="0025022A" w:rsidRDefault="00A74B79" w:rsidP="009D6213">
            <w:pPr>
              <w:spacing w:line="240" w:lineRule="auto"/>
              <w:jc w:val="center"/>
              <w:rPr>
                <w:rFonts w:cs="Times New Roman"/>
                <w:szCs w:val="24"/>
              </w:rPr>
            </w:pPr>
            <w:r w:rsidRPr="0025022A">
              <w:rPr>
                <w:rFonts w:cs="Times New Roman"/>
                <w:szCs w:val="24"/>
              </w:rPr>
              <w:t>cis-</w:t>
            </w:r>
            <w:proofErr w:type="spellStart"/>
            <w:r w:rsidRPr="0025022A">
              <w:rPr>
                <w:rFonts w:cs="Times New Roman"/>
                <w:szCs w:val="24"/>
              </w:rPr>
              <w:t>vaccenate</w:t>
            </w:r>
            <w:proofErr w:type="spellEnd"/>
            <w:r w:rsidRPr="0025022A">
              <w:rPr>
                <w:rFonts w:cs="Times New Roman"/>
                <w:szCs w:val="24"/>
              </w:rPr>
              <w:t xml:space="preserve"> biosynthesis</w:t>
            </w:r>
          </w:p>
        </w:tc>
        <w:tc>
          <w:tcPr>
            <w:tcW w:w="1336" w:type="dxa"/>
            <w:vAlign w:val="center"/>
          </w:tcPr>
          <w:p w14:paraId="445B7680" w14:textId="77777777" w:rsidR="00A74B79" w:rsidRPr="0025022A" w:rsidRDefault="00A74B79" w:rsidP="009D6213">
            <w:pPr>
              <w:spacing w:line="240" w:lineRule="auto"/>
              <w:jc w:val="center"/>
              <w:rPr>
                <w:rFonts w:cs="Times New Roman"/>
                <w:szCs w:val="24"/>
              </w:rPr>
            </w:pPr>
            <w:r w:rsidRPr="0025022A">
              <w:rPr>
                <w:rFonts w:cs="Times New Roman"/>
                <w:szCs w:val="24"/>
              </w:rPr>
              <w:t>−1.09</w:t>
            </w:r>
          </w:p>
        </w:tc>
        <w:tc>
          <w:tcPr>
            <w:tcW w:w="1474" w:type="dxa"/>
            <w:vAlign w:val="center"/>
          </w:tcPr>
          <w:p w14:paraId="03DDF82D" w14:textId="77777777" w:rsidR="00A74B79" w:rsidRPr="0025022A" w:rsidRDefault="00A74B79" w:rsidP="009D6213">
            <w:pPr>
              <w:spacing w:line="240" w:lineRule="auto"/>
              <w:jc w:val="center"/>
              <w:rPr>
                <w:rFonts w:cs="Times New Roman"/>
                <w:szCs w:val="24"/>
              </w:rPr>
            </w:pPr>
            <w:r w:rsidRPr="0025022A">
              <w:rPr>
                <w:rFonts w:cs="Times New Roman"/>
                <w:szCs w:val="24"/>
              </w:rPr>
              <w:t>3.87 × 10⁻¹⁰</w:t>
            </w:r>
          </w:p>
        </w:tc>
      </w:tr>
      <w:tr w:rsidR="00A74B79" w:rsidRPr="0025022A" w14:paraId="0EEC869D" w14:textId="77777777" w:rsidTr="009D6213">
        <w:trPr>
          <w:jc w:val="center"/>
        </w:trPr>
        <w:tc>
          <w:tcPr>
            <w:tcW w:w="750" w:type="dxa"/>
            <w:vAlign w:val="center"/>
          </w:tcPr>
          <w:p w14:paraId="457C1429"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441E43A2"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5815766A" w14:textId="77777777" w:rsidR="00A74B79" w:rsidRPr="0025022A" w:rsidRDefault="00A74B79" w:rsidP="009D6213">
            <w:pPr>
              <w:spacing w:line="240" w:lineRule="auto"/>
              <w:jc w:val="center"/>
              <w:rPr>
                <w:rFonts w:cs="Times New Roman"/>
                <w:szCs w:val="24"/>
              </w:rPr>
            </w:pPr>
            <w:r w:rsidRPr="0025022A">
              <w:rPr>
                <w:rFonts w:cs="Times New Roman"/>
                <w:szCs w:val="24"/>
              </w:rPr>
              <w:t>Chitin derivatives degradation</w:t>
            </w:r>
          </w:p>
        </w:tc>
        <w:tc>
          <w:tcPr>
            <w:tcW w:w="1336" w:type="dxa"/>
            <w:vAlign w:val="center"/>
          </w:tcPr>
          <w:p w14:paraId="4A6CB52C" w14:textId="77777777" w:rsidR="00A74B79" w:rsidRPr="0025022A" w:rsidRDefault="00A74B79" w:rsidP="009D6213">
            <w:pPr>
              <w:spacing w:line="240" w:lineRule="auto"/>
              <w:jc w:val="center"/>
              <w:rPr>
                <w:rFonts w:cs="Times New Roman"/>
                <w:szCs w:val="24"/>
              </w:rPr>
            </w:pPr>
            <w:r w:rsidRPr="0025022A">
              <w:rPr>
                <w:rFonts w:cs="Times New Roman"/>
                <w:szCs w:val="24"/>
              </w:rPr>
              <w:t>+1.31</w:t>
            </w:r>
          </w:p>
        </w:tc>
        <w:tc>
          <w:tcPr>
            <w:tcW w:w="1474" w:type="dxa"/>
            <w:vAlign w:val="center"/>
          </w:tcPr>
          <w:p w14:paraId="476F2BB5" w14:textId="77777777" w:rsidR="00A74B79" w:rsidRPr="0025022A" w:rsidRDefault="00A74B79" w:rsidP="009D6213">
            <w:pPr>
              <w:spacing w:line="240" w:lineRule="auto"/>
              <w:jc w:val="center"/>
              <w:rPr>
                <w:rFonts w:cs="Times New Roman"/>
                <w:szCs w:val="24"/>
              </w:rPr>
            </w:pPr>
            <w:r w:rsidRPr="0025022A">
              <w:rPr>
                <w:rFonts w:cs="Times New Roman"/>
                <w:szCs w:val="24"/>
              </w:rPr>
              <w:t>1.02 × 10⁻¹³</w:t>
            </w:r>
          </w:p>
        </w:tc>
      </w:tr>
      <w:tr w:rsidR="00A74B79" w:rsidRPr="0025022A" w14:paraId="606D4A05" w14:textId="77777777" w:rsidTr="009D6213">
        <w:trPr>
          <w:jc w:val="center"/>
        </w:trPr>
        <w:tc>
          <w:tcPr>
            <w:tcW w:w="750" w:type="dxa"/>
            <w:vAlign w:val="center"/>
          </w:tcPr>
          <w:p w14:paraId="22F4EFEE"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29A54E76"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45BFC5E8" w14:textId="77777777" w:rsidR="00A74B79" w:rsidRPr="0025022A" w:rsidRDefault="00A74B79" w:rsidP="009D6213">
            <w:pPr>
              <w:spacing w:line="240" w:lineRule="auto"/>
              <w:jc w:val="center"/>
              <w:rPr>
                <w:rFonts w:cs="Times New Roman"/>
                <w:szCs w:val="24"/>
              </w:rPr>
            </w:pPr>
            <w:r w:rsidRPr="0025022A">
              <w:rPr>
                <w:rFonts w:cs="Times New Roman"/>
                <w:szCs w:val="24"/>
              </w:rPr>
              <w:t>Guanosine nucleotides degradation II</w:t>
            </w:r>
          </w:p>
        </w:tc>
        <w:tc>
          <w:tcPr>
            <w:tcW w:w="1336" w:type="dxa"/>
            <w:vAlign w:val="center"/>
          </w:tcPr>
          <w:p w14:paraId="6918223B" w14:textId="77777777" w:rsidR="00A74B79" w:rsidRPr="0025022A" w:rsidRDefault="00A74B79" w:rsidP="009D6213">
            <w:pPr>
              <w:spacing w:line="240" w:lineRule="auto"/>
              <w:jc w:val="center"/>
              <w:rPr>
                <w:rFonts w:cs="Times New Roman"/>
                <w:szCs w:val="24"/>
              </w:rPr>
            </w:pPr>
            <w:r w:rsidRPr="0025022A">
              <w:rPr>
                <w:rFonts w:cs="Times New Roman"/>
                <w:szCs w:val="24"/>
              </w:rPr>
              <w:t>+0.97</w:t>
            </w:r>
          </w:p>
        </w:tc>
        <w:tc>
          <w:tcPr>
            <w:tcW w:w="1474" w:type="dxa"/>
            <w:vAlign w:val="center"/>
          </w:tcPr>
          <w:p w14:paraId="5DE6202D" w14:textId="77777777" w:rsidR="00A74B79" w:rsidRPr="0025022A" w:rsidRDefault="00A74B79" w:rsidP="009D6213">
            <w:pPr>
              <w:spacing w:line="240" w:lineRule="auto"/>
              <w:jc w:val="center"/>
              <w:rPr>
                <w:rFonts w:cs="Times New Roman"/>
                <w:szCs w:val="24"/>
              </w:rPr>
            </w:pPr>
            <w:r w:rsidRPr="0025022A">
              <w:rPr>
                <w:rFonts w:cs="Times New Roman"/>
                <w:szCs w:val="24"/>
              </w:rPr>
              <w:t>2.97 × 10⁻³²</w:t>
            </w:r>
          </w:p>
        </w:tc>
      </w:tr>
      <w:tr w:rsidR="00A74B79" w:rsidRPr="0025022A" w14:paraId="325F29B2" w14:textId="77777777" w:rsidTr="009D6213">
        <w:trPr>
          <w:jc w:val="center"/>
        </w:trPr>
        <w:tc>
          <w:tcPr>
            <w:tcW w:w="750" w:type="dxa"/>
            <w:vAlign w:val="center"/>
          </w:tcPr>
          <w:p w14:paraId="5BBD7C54"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0F578C8B"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2CB764CC" w14:textId="77777777" w:rsidR="00A74B79" w:rsidRPr="0025022A" w:rsidRDefault="00A74B79" w:rsidP="009D6213">
            <w:pPr>
              <w:spacing w:line="240" w:lineRule="auto"/>
              <w:jc w:val="center"/>
              <w:rPr>
                <w:rFonts w:cs="Times New Roman"/>
                <w:szCs w:val="24"/>
              </w:rPr>
            </w:pPr>
            <w:r w:rsidRPr="0025022A">
              <w:rPr>
                <w:rFonts w:cs="Times New Roman"/>
                <w:szCs w:val="24"/>
              </w:rPr>
              <w:t>Protocatechuate degradation</w:t>
            </w:r>
          </w:p>
        </w:tc>
        <w:tc>
          <w:tcPr>
            <w:tcW w:w="1336" w:type="dxa"/>
            <w:vAlign w:val="center"/>
          </w:tcPr>
          <w:p w14:paraId="12A2B7B6" w14:textId="77777777" w:rsidR="00A74B79" w:rsidRPr="0025022A" w:rsidRDefault="00A74B79" w:rsidP="009D6213">
            <w:pPr>
              <w:spacing w:line="240" w:lineRule="auto"/>
              <w:jc w:val="center"/>
              <w:rPr>
                <w:rFonts w:cs="Times New Roman"/>
                <w:szCs w:val="24"/>
              </w:rPr>
            </w:pPr>
            <w:r w:rsidRPr="0025022A">
              <w:rPr>
                <w:rFonts w:cs="Times New Roman"/>
                <w:szCs w:val="24"/>
              </w:rPr>
              <w:t>+0.96</w:t>
            </w:r>
          </w:p>
        </w:tc>
        <w:tc>
          <w:tcPr>
            <w:tcW w:w="1474" w:type="dxa"/>
            <w:vAlign w:val="center"/>
          </w:tcPr>
          <w:p w14:paraId="076E6D2E" w14:textId="77777777" w:rsidR="00A74B79" w:rsidRPr="0025022A" w:rsidRDefault="00A74B79" w:rsidP="009D6213">
            <w:pPr>
              <w:spacing w:line="240" w:lineRule="auto"/>
              <w:jc w:val="center"/>
              <w:rPr>
                <w:rFonts w:cs="Times New Roman"/>
                <w:szCs w:val="24"/>
              </w:rPr>
            </w:pPr>
            <w:r w:rsidRPr="0025022A">
              <w:rPr>
                <w:rFonts w:cs="Times New Roman"/>
                <w:szCs w:val="24"/>
              </w:rPr>
              <w:t>3.11 × 10⁻¹²</w:t>
            </w:r>
          </w:p>
        </w:tc>
      </w:tr>
      <w:tr w:rsidR="00A74B79" w:rsidRPr="0025022A" w14:paraId="28EAC67D" w14:textId="77777777" w:rsidTr="009D6213">
        <w:trPr>
          <w:jc w:val="center"/>
        </w:trPr>
        <w:tc>
          <w:tcPr>
            <w:tcW w:w="750" w:type="dxa"/>
            <w:vAlign w:val="center"/>
          </w:tcPr>
          <w:p w14:paraId="07CF5D0C"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39313E7F"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31375D43" w14:textId="77777777" w:rsidR="00A74B79" w:rsidRPr="0025022A" w:rsidRDefault="00A74B79" w:rsidP="009D6213">
            <w:pPr>
              <w:spacing w:line="240" w:lineRule="auto"/>
              <w:jc w:val="center"/>
              <w:rPr>
                <w:rFonts w:cs="Times New Roman"/>
                <w:szCs w:val="24"/>
              </w:rPr>
            </w:pPr>
            <w:r w:rsidRPr="0025022A">
              <w:rPr>
                <w:rFonts w:cs="Times New Roman"/>
                <w:szCs w:val="24"/>
              </w:rPr>
              <w:t>Inositol degradation</w:t>
            </w:r>
          </w:p>
        </w:tc>
        <w:tc>
          <w:tcPr>
            <w:tcW w:w="1336" w:type="dxa"/>
            <w:vAlign w:val="center"/>
          </w:tcPr>
          <w:p w14:paraId="3401A5FD" w14:textId="77777777" w:rsidR="00A74B79" w:rsidRPr="0025022A" w:rsidRDefault="00A74B79" w:rsidP="009D6213">
            <w:pPr>
              <w:spacing w:line="240" w:lineRule="auto"/>
              <w:jc w:val="center"/>
              <w:rPr>
                <w:rFonts w:cs="Times New Roman"/>
                <w:szCs w:val="24"/>
              </w:rPr>
            </w:pPr>
            <w:r w:rsidRPr="0025022A">
              <w:rPr>
                <w:rFonts w:cs="Times New Roman"/>
                <w:szCs w:val="24"/>
              </w:rPr>
              <w:t>+0.90</w:t>
            </w:r>
          </w:p>
        </w:tc>
        <w:tc>
          <w:tcPr>
            <w:tcW w:w="1474" w:type="dxa"/>
            <w:vAlign w:val="center"/>
          </w:tcPr>
          <w:p w14:paraId="3E499BCC" w14:textId="77777777" w:rsidR="00A74B79" w:rsidRPr="0025022A" w:rsidRDefault="00A74B79" w:rsidP="009D6213">
            <w:pPr>
              <w:spacing w:line="240" w:lineRule="auto"/>
              <w:jc w:val="center"/>
              <w:rPr>
                <w:rFonts w:cs="Times New Roman"/>
                <w:szCs w:val="24"/>
              </w:rPr>
            </w:pPr>
            <w:r w:rsidRPr="0025022A">
              <w:rPr>
                <w:rFonts w:cs="Times New Roman"/>
                <w:szCs w:val="24"/>
              </w:rPr>
              <w:t>4.15 × 10⁻¹⁹</w:t>
            </w:r>
          </w:p>
        </w:tc>
      </w:tr>
      <w:tr w:rsidR="00A74B79" w:rsidRPr="0025022A" w14:paraId="316231A2" w14:textId="77777777" w:rsidTr="009D6213">
        <w:trPr>
          <w:jc w:val="center"/>
        </w:trPr>
        <w:tc>
          <w:tcPr>
            <w:tcW w:w="750" w:type="dxa"/>
            <w:vAlign w:val="center"/>
          </w:tcPr>
          <w:p w14:paraId="51CD7A08"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52CF6FD4"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7B01F992" w14:textId="77777777" w:rsidR="00A74B79" w:rsidRPr="0025022A" w:rsidRDefault="00A74B79" w:rsidP="009D6213">
            <w:pPr>
              <w:spacing w:line="240" w:lineRule="auto"/>
              <w:jc w:val="center"/>
              <w:rPr>
                <w:rFonts w:cs="Times New Roman"/>
                <w:szCs w:val="24"/>
              </w:rPr>
            </w:pPr>
            <w:r w:rsidRPr="0025022A">
              <w:rPr>
                <w:rFonts w:cs="Times New Roman"/>
                <w:szCs w:val="24"/>
              </w:rPr>
              <w:t>Phytol degradation</w:t>
            </w:r>
          </w:p>
        </w:tc>
        <w:tc>
          <w:tcPr>
            <w:tcW w:w="1336" w:type="dxa"/>
            <w:vAlign w:val="center"/>
          </w:tcPr>
          <w:p w14:paraId="15D042EA" w14:textId="77777777" w:rsidR="00A74B79" w:rsidRPr="0025022A" w:rsidRDefault="00A74B79" w:rsidP="009D6213">
            <w:pPr>
              <w:spacing w:line="240" w:lineRule="auto"/>
              <w:jc w:val="center"/>
              <w:rPr>
                <w:rFonts w:cs="Times New Roman"/>
                <w:szCs w:val="24"/>
              </w:rPr>
            </w:pPr>
            <w:r w:rsidRPr="0025022A">
              <w:rPr>
                <w:rFonts w:cs="Times New Roman"/>
                <w:szCs w:val="24"/>
              </w:rPr>
              <w:t>+0.84</w:t>
            </w:r>
          </w:p>
        </w:tc>
        <w:tc>
          <w:tcPr>
            <w:tcW w:w="1474" w:type="dxa"/>
            <w:vAlign w:val="center"/>
          </w:tcPr>
          <w:p w14:paraId="71A3BBA2" w14:textId="77777777" w:rsidR="00A74B79" w:rsidRPr="0025022A" w:rsidRDefault="00A74B79" w:rsidP="009D6213">
            <w:pPr>
              <w:spacing w:line="240" w:lineRule="auto"/>
              <w:jc w:val="center"/>
              <w:rPr>
                <w:rFonts w:cs="Times New Roman"/>
                <w:szCs w:val="24"/>
              </w:rPr>
            </w:pPr>
            <w:r w:rsidRPr="0025022A">
              <w:rPr>
                <w:rFonts w:cs="Times New Roman"/>
                <w:szCs w:val="24"/>
              </w:rPr>
              <w:t>1.87 × 10⁻³</w:t>
            </w:r>
          </w:p>
        </w:tc>
      </w:tr>
      <w:tr w:rsidR="00A74B79" w:rsidRPr="0025022A" w14:paraId="29D36680" w14:textId="77777777" w:rsidTr="009D6213">
        <w:trPr>
          <w:jc w:val="center"/>
        </w:trPr>
        <w:tc>
          <w:tcPr>
            <w:tcW w:w="750" w:type="dxa"/>
            <w:vAlign w:val="center"/>
          </w:tcPr>
          <w:p w14:paraId="1F16F064"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4E10EC51"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7A46BDE8" w14:textId="77777777" w:rsidR="00A74B79" w:rsidRPr="0025022A" w:rsidRDefault="00A74B79" w:rsidP="009D6213">
            <w:pPr>
              <w:spacing w:line="240" w:lineRule="auto"/>
              <w:jc w:val="center"/>
              <w:rPr>
                <w:rFonts w:cs="Times New Roman"/>
                <w:szCs w:val="24"/>
              </w:rPr>
            </w:pPr>
            <w:proofErr w:type="spellStart"/>
            <w:r w:rsidRPr="0025022A">
              <w:rPr>
                <w:rFonts w:cs="Times New Roman"/>
                <w:szCs w:val="24"/>
              </w:rPr>
              <w:t>Petroselinate</w:t>
            </w:r>
            <w:proofErr w:type="spellEnd"/>
            <w:r w:rsidRPr="0025022A">
              <w:rPr>
                <w:rFonts w:cs="Times New Roman"/>
                <w:szCs w:val="24"/>
              </w:rPr>
              <w:t xml:space="preserve"> biosynthesis</w:t>
            </w:r>
          </w:p>
        </w:tc>
        <w:tc>
          <w:tcPr>
            <w:tcW w:w="1336" w:type="dxa"/>
            <w:vAlign w:val="center"/>
          </w:tcPr>
          <w:p w14:paraId="06F06F5C" w14:textId="77777777" w:rsidR="00A74B79" w:rsidRPr="0025022A" w:rsidRDefault="00A74B79" w:rsidP="009D6213">
            <w:pPr>
              <w:spacing w:line="240" w:lineRule="auto"/>
              <w:jc w:val="center"/>
              <w:rPr>
                <w:rFonts w:cs="Times New Roman"/>
                <w:szCs w:val="24"/>
              </w:rPr>
            </w:pPr>
            <w:r w:rsidRPr="0025022A">
              <w:rPr>
                <w:rFonts w:cs="Times New Roman"/>
                <w:szCs w:val="24"/>
              </w:rPr>
              <w:t>−1.17</w:t>
            </w:r>
          </w:p>
        </w:tc>
        <w:tc>
          <w:tcPr>
            <w:tcW w:w="1474" w:type="dxa"/>
            <w:vAlign w:val="center"/>
          </w:tcPr>
          <w:p w14:paraId="50ECDC7C" w14:textId="77777777" w:rsidR="00A74B79" w:rsidRPr="0025022A" w:rsidRDefault="00A74B79" w:rsidP="009D6213">
            <w:pPr>
              <w:spacing w:line="240" w:lineRule="auto"/>
              <w:jc w:val="center"/>
              <w:rPr>
                <w:rFonts w:cs="Times New Roman"/>
                <w:szCs w:val="24"/>
              </w:rPr>
            </w:pPr>
            <w:r w:rsidRPr="0025022A">
              <w:rPr>
                <w:rFonts w:cs="Times New Roman"/>
                <w:szCs w:val="24"/>
              </w:rPr>
              <w:t>2.11 × 10⁻¹⁹</w:t>
            </w:r>
          </w:p>
        </w:tc>
      </w:tr>
      <w:tr w:rsidR="00A74B79" w:rsidRPr="0025022A" w14:paraId="1CCEB05B" w14:textId="77777777" w:rsidTr="009D6213">
        <w:trPr>
          <w:jc w:val="center"/>
        </w:trPr>
        <w:tc>
          <w:tcPr>
            <w:tcW w:w="750" w:type="dxa"/>
            <w:vAlign w:val="center"/>
          </w:tcPr>
          <w:p w14:paraId="2E101418"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39DF9D28"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529CE976" w14:textId="77777777" w:rsidR="00A74B79" w:rsidRPr="0025022A" w:rsidRDefault="00A74B79" w:rsidP="009D6213">
            <w:pPr>
              <w:spacing w:line="240" w:lineRule="auto"/>
              <w:jc w:val="center"/>
              <w:rPr>
                <w:rFonts w:cs="Times New Roman"/>
                <w:szCs w:val="24"/>
              </w:rPr>
            </w:pPr>
            <w:r w:rsidRPr="0025022A">
              <w:rPr>
                <w:rFonts w:cs="Times New Roman"/>
                <w:szCs w:val="24"/>
              </w:rPr>
              <w:t>Cardiolipin biosynthesis II</w:t>
            </w:r>
          </w:p>
        </w:tc>
        <w:tc>
          <w:tcPr>
            <w:tcW w:w="1336" w:type="dxa"/>
            <w:vAlign w:val="center"/>
          </w:tcPr>
          <w:p w14:paraId="68B53D37" w14:textId="77777777" w:rsidR="00A74B79" w:rsidRPr="0025022A" w:rsidRDefault="00A74B79" w:rsidP="009D6213">
            <w:pPr>
              <w:spacing w:line="240" w:lineRule="auto"/>
              <w:jc w:val="center"/>
              <w:rPr>
                <w:rFonts w:cs="Times New Roman"/>
                <w:szCs w:val="24"/>
              </w:rPr>
            </w:pPr>
            <w:r w:rsidRPr="0025022A">
              <w:rPr>
                <w:rFonts w:cs="Times New Roman"/>
                <w:szCs w:val="24"/>
              </w:rPr>
              <w:t>−0.94</w:t>
            </w:r>
          </w:p>
        </w:tc>
        <w:tc>
          <w:tcPr>
            <w:tcW w:w="1474" w:type="dxa"/>
            <w:vAlign w:val="center"/>
          </w:tcPr>
          <w:p w14:paraId="0BFA4FA9" w14:textId="77777777" w:rsidR="00A74B79" w:rsidRPr="0025022A" w:rsidRDefault="00A74B79" w:rsidP="009D6213">
            <w:pPr>
              <w:spacing w:line="240" w:lineRule="auto"/>
              <w:jc w:val="center"/>
              <w:rPr>
                <w:rFonts w:cs="Times New Roman"/>
                <w:szCs w:val="24"/>
              </w:rPr>
            </w:pPr>
            <w:r w:rsidRPr="0025022A">
              <w:rPr>
                <w:rFonts w:cs="Times New Roman"/>
                <w:szCs w:val="24"/>
              </w:rPr>
              <w:t>7.88 × 10⁻¹⁹</w:t>
            </w:r>
          </w:p>
        </w:tc>
      </w:tr>
      <w:tr w:rsidR="00A74B79" w:rsidRPr="0025022A" w14:paraId="28980B69" w14:textId="77777777" w:rsidTr="009D6213">
        <w:trPr>
          <w:jc w:val="center"/>
        </w:trPr>
        <w:tc>
          <w:tcPr>
            <w:tcW w:w="750" w:type="dxa"/>
            <w:vAlign w:val="center"/>
          </w:tcPr>
          <w:p w14:paraId="4050621C"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66D097D9"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6B5E4B34" w14:textId="77777777" w:rsidR="00A74B79" w:rsidRPr="0025022A" w:rsidRDefault="00A74B79" w:rsidP="009D6213">
            <w:pPr>
              <w:spacing w:line="240" w:lineRule="auto"/>
              <w:jc w:val="center"/>
              <w:rPr>
                <w:rFonts w:cs="Times New Roman"/>
                <w:szCs w:val="24"/>
              </w:rPr>
            </w:pPr>
            <w:proofErr w:type="spellStart"/>
            <w:r w:rsidRPr="0025022A">
              <w:rPr>
                <w:rFonts w:cs="Times New Roman"/>
                <w:szCs w:val="24"/>
              </w:rPr>
              <w:t>Superpathway</w:t>
            </w:r>
            <w:proofErr w:type="spellEnd"/>
            <w:r w:rsidRPr="0025022A">
              <w:rPr>
                <w:rFonts w:cs="Times New Roman"/>
                <w:szCs w:val="24"/>
              </w:rPr>
              <w:t xml:space="preserve"> of </w:t>
            </w:r>
            <w:proofErr w:type="spellStart"/>
            <w:r w:rsidRPr="0025022A">
              <w:rPr>
                <w:rFonts w:cs="Times New Roman"/>
                <w:szCs w:val="24"/>
              </w:rPr>
              <w:t>dTDP</w:t>
            </w:r>
            <w:proofErr w:type="spellEnd"/>
            <w:r w:rsidRPr="0025022A">
              <w:rPr>
                <w:rFonts w:cs="Times New Roman"/>
                <w:szCs w:val="24"/>
              </w:rPr>
              <w:t>-glucose biosynthesis</w:t>
            </w:r>
          </w:p>
        </w:tc>
        <w:tc>
          <w:tcPr>
            <w:tcW w:w="1336" w:type="dxa"/>
            <w:vAlign w:val="center"/>
          </w:tcPr>
          <w:p w14:paraId="1B77EEE6" w14:textId="77777777" w:rsidR="00A74B79" w:rsidRPr="0025022A" w:rsidRDefault="00A74B79" w:rsidP="009D6213">
            <w:pPr>
              <w:spacing w:line="240" w:lineRule="auto"/>
              <w:jc w:val="center"/>
              <w:rPr>
                <w:rFonts w:cs="Times New Roman"/>
                <w:szCs w:val="24"/>
              </w:rPr>
            </w:pPr>
            <w:r w:rsidRPr="0025022A">
              <w:rPr>
                <w:rFonts w:cs="Times New Roman"/>
                <w:szCs w:val="24"/>
              </w:rPr>
              <w:t>−0.92</w:t>
            </w:r>
          </w:p>
        </w:tc>
        <w:tc>
          <w:tcPr>
            <w:tcW w:w="1474" w:type="dxa"/>
            <w:vAlign w:val="center"/>
          </w:tcPr>
          <w:p w14:paraId="63149B56" w14:textId="77777777" w:rsidR="00A74B79" w:rsidRPr="0025022A" w:rsidRDefault="00A74B79" w:rsidP="009D6213">
            <w:pPr>
              <w:spacing w:line="240" w:lineRule="auto"/>
              <w:jc w:val="center"/>
              <w:rPr>
                <w:rFonts w:cs="Times New Roman"/>
                <w:szCs w:val="24"/>
              </w:rPr>
            </w:pPr>
            <w:r w:rsidRPr="0025022A">
              <w:rPr>
                <w:rFonts w:cs="Times New Roman"/>
                <w:szCs w:val="24"/>
              </w:rPr>
              <w:t>8.16 × 10⁻³³</w:t>
            </w:r>
          </w:p>
        </w:tc>
      </w:tr>
      <w:tr w:rsidR="00A74B79" w:rsidRPr="0025022A" w14:paraId="5F1DFD34" w14:textId="77777777" w:rsidTr="009D6213">
        <w:trPr>
          <w:jc w:val="center"/>
        </w:trPr>
        <w:tc>
          <w:tcPr>
            <w:tcW w:w="750" w:type="dxa"/>
            <w:vAlign w:val="center"/>
          </w:tcPr>
          <w:p w14:paraId="6BFA7476"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0252D15A"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3E360E30" w14:textId="77777777" w:rsidR="00A74B79" w:rsidRPr="0025022A" w:rsidRDefault="00A74B79" w:rsidP="009D6213">
            <w:pPr>
              <w:spacing w:line="240" w:lineRule="auto"/>
              <w:jc w:val="center"/>
              <w:rPr>
                <w:rFonts w:cs="Times New Roman"/>
                <w:szCs w:val="24"/>
              </w:rPr>
            </w:pPr>
            <w:r w:rsidRPr="0025022A">
              <w:rPr>
                <w:rFonts w:cs="Times New Roman"/>
                <w:szCs w:val="24"/>
              </w:rPr>
              <w:t>cis-</w:t>
            </w:r>
            <w:proofErr w:type="spellStart"/>
            <w:r w:rsidRPr="0025022A">
              <w:rPr>
                <w:rFonts w:cs="Times New Roman"/>
                <w:szCs w:val="24"/>
              </w:rPr>
              <w:t>vaccenate</w:t>
            </w:r>
            <w:proofErr w:type="spellEnd"/>
            <w:r w:rsidRPr="0025022A">
              <w:rPr>
                <w:rFonts w:cs="Times New Roman"/>
                <w:szCs w:val="24"/>
              </w:rPr>
              <w:t xml:space="preserve"> biosynthesis</w:t>
            </w:r>
          </w:p>
        </w:tc>
        <w:tc>
          <w:tcPr>
            <w:tcW w:w="1336" w:type="dxa"/>
            <w:vAlign w:val="center"/>
          </w:tcPr>
          <w:p w14:paraId="3ACB0C86" w14:textId="77777777" w:rsidR="00A74B79" w:rsidRPr="0025022A" w:rsidRDefault="00A74B79" w:rsidP="009D6213">
            <w:pPr>
              <w:spacing w:line="240" w:lineRule="auto"/>
              <w:jc w:val="center"/>
              <w:rPr>
                <w:rFonts w:cs="Times New Roman"/>
                <w:szCs w:val="24"/>
              </w:rPr>
            </w:pPr>
            <w:r w:rsidRPr="0025022A">
              <w:rPr>
                <w:rFonts w:cs="Times New Roman"/>
                <w:szCs w:val="24"/>
              </w:rPr>
              <w:t>−0.91</w:t>
            </w:r>
          </w:p>
        </w:tc>
        <w:tc>
          <w:tcPr>
            <w:tcW w:w="1474" w:type="dxa"/>
            <w:vAlign w:val="center"/>
          </w:tcPr>
          <w:p w14:paraId="1AAC4D4B" w14:textId="77777777" w:rsidR="00A74B79" w:rsidRPr="0025022A" w:rsidRDefault="00A74B79" w:rsidP="009D6213">
            <w:pPr>
              <w:spacing w:line="240" w:lineRule="auto"/>
              <w:jc w:val="center"/>
              <w:rPr>
                <w:rFonts w:cs="Times New Roman"/>
                <w:szCs w:val="24"/>
              </w:rPr>
            </w:pPr>
            <w:r w:rsidRPr="0025022A">
              <w:rPr>
                <w:rFonts w:cs="Times New Roman"/>
                <w:szCs w:val="24"/>
              </w:rPr>
              <w:t>8.99 × 10⁻¹⁷</w:t>
            </w:r>
          </w:p>
        </w:tc>
      </w:tr>
      <w:tr w:rsidR="00A74B79" w:rsidRPr="0025022A" w14:paraId="1DD55379" w14:textId="77777777" w:rsidTr="009D6213">
        <w:trPr>
          <w:jc w:val="center"/>
        </w:trPr>
        <w:tc>
          <w:tcPr>
            <w:tcW w:w="750" w:type="dxa"/>
            <w:vAlign w:val="center"/>
          </w:tcPr>
          <w:p w14:paraId="1C878E42" w14:textId="77777777" w:rsidR="00A74B79" w:rsidRPr="0025022A" w:rsidRDefault="00A74B79" w:rsidP="009D6213">
            <w:pPr>
              <w:spacing w:line="240" w:lineRule="auto"/>
              <w:jc w:val="center"/>
              <w:rPr>
                <w:rFonts w:cs="Times New Roman"/>
                <w:szCs w:val="24"/>
              </w:rPr>
            </w:pPr>
            <w:r w:rsidRPr="0025022A">
              <w:rPr>
                <w:rFonts w:cs="Times New Roman"/>
                <w:szCs w:val="24"/>
              </w:rPr>
              <w:t>Skin</w:t>
            </w:r>
          </w:p>
        </w:tc>
        <w:tc>
          <w:tcPr>
            <w:tcW w:w="1363" w:type="dxa"/>
            <w:vAlign w:val="center"/>
          </w:tcPr>
          <w:p w14:paraId="17692FB4"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3957C8EF" w14:textId="77777777" w:rsidR="00A74B79" w:rsidRPr="0025022A" w:rsidRDefault="00A74B79" w:rsidP="009D6213">
            <w:pPr>
              <w:spacing w:line="240" w:lineRule="auto"/>
              <w:jc w:val="center"/>
              <w:rPr>
                <w:rFonts w:cs="Times New Roman"/>
                <w:szCs w:val="24"/>
              </w:rPr>
            </w:pPr>
            <w:r w:rsidRPr="0025022A">
              <w:rPr>
                <w:rFonts w:cs="Times New Roman"/>
                <w:szCs w:val="24"/>
              </w:rPr>
              <w:t>Gondoate biosynthesis</w:t>
            </w:r>
          </w:p>
        </w:tc>
        <w:tc>
          <w:tcPr>
            <w:tcW w:w="1336" w:type="dxa"/>
            <w:vAlign w:val="center"/>
          </w:tcPr>
          <w:p w14:paraId="77C449AB" w14:textId="77777777" w:rsidR="00A74B79" w:rsidRPr="0025022A" w:rsidRDefault="00A74B79" w:rsidP="009D6213">
            <w:pPr>
              <w:spacing w:line="240" w:lineRule="auto"/>
              <w:jc w:val="center"/>
              <w:rPr>
                <w:rFonts w:cs="Times New Roman"/>
                <w:szCs w:val="24"/>
              </w:rPr>
            </w:pPr>
            <w:r w:rsidRPr="0025022A">
              <w:rPr>
                <w:rFonts w:cs="Times New Roman"/>
                <w:szCs w:val="24"/>
              </w:rPr>
              <w:t>−0.91</w:t>
            </w:r>
          </w:p>
        </w:tc>
        <w:tc>
          <w:tcPr>
            <w:tcW w:w="1474" w:type="dxa"/>
            <w:vAlign w:val="center"/>
          </w:tcPr>
          <w:p w14:paraId="404B24F3" w14:textId="77777777" w:rsidR="00A74B79" w:rsidRPr="0025022A" w:rsidRDefault="00A74B79" w:rsidP="009D6213">
            <w:pPr>
              <w:spacing w:line="240" w:lineRule="auto"/>
              <w:jc w:val="center"/>
              <w:rPr>
                <w:rFonts w:cs="Times New Roman"/>
                <w:szCs w:val="24"/>
              </w:rPr>
            </w:pPr>
            <w:r w:rsidRPr="0025022A">
              <w:rPr>
                <w:rFonts w:cs="Times New Roman"/>
                <w:szCs w:val="24"/>
              </w:rPr>
              <w:t>1.47 × 10⁻¹⁴</w:t>
            </w:r>
          </w:p>
        </w:tc>
      </w:tr>
      <w:tr w:rsidR="00A74B79" w:rsidRPr="0025022A" w14:paraId="4DD07999" w14:textId="77777777" w:rsidTr="009D6213">
        <w:trPr>
          <w:jc w:val="center"/>
        </w:trPr>
        <w:tc>
          <w:tcPr>
            <w:tcW w:w="750" w:type="dxa"/>
            <w:vAlign w:val="center"/>
          </w:tcPr>
          <w:p w14:paraId="1BF01097"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63B93D35"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546DF79D" w14:textId="77777777" w:rsidR="00A74B79" w:rsidRPr="0025022A" w:rsidRDefault="00A74B79" w:rsidP="009D6213">
            <w:pPr>
              <w:spacing w:line="240" w:lineRule="auto"/>
              <w:jc w:val="center"/>
              <w:rPr>
                <w:rFonts w:cs="Times New Roman"/>
                <w:szCs w:val="24"/>
              </w:rPr>
            </w:pPr>
            <w:r w:rsidRPr="0025022A">
              <w:rPr>
                <w:rFonts w:cs="Times New Roman"/>
                <w:szCs w:val="24"/>
              </w:rPr>
              <w:t>tRNA charging</w:t>
            </w:r>
          </w:p>
        </w:tc>
        <w:tc>
          <w:tcPr>
            <w:tcW w:w="1336" w:type="dxa"/>
            <w:vAlign w:val="center"/>
          </w:tcPr>
          <w:p w14:paraId="19C12851" w14:textId="77777777" w:rsidR="00A74B79" w:rsidRPr="0025022A" w:rsidRDefault="00A74B79" w:rsidP="009D6213">
            <w:pPr>
              <w:spacing w:line="240" w:lineRule="auto"/>
              <w:jc w:val="center"/>
              <w:rPr>
                <w:rFonts w:cs="Times New Roman"/>
                <w:szCs w:val="24"/>
              </w:rPr>
            </w:pPr>
            <w:r w:rsidRPr="0025022A">
              <w:rPr>
                <w:rFonts w:cs="Times New Roman"/>
                <w:szCs w:val="24"/>
              </w:rPr>
              <w:t>+8.35</w:t>
            </w:r>
          </w:p>
        </w:tc>
        <w:tc>
          <w:tcPr>
            <w:tcW w:w="1474" w:type="dxa"/>
            <w:vAlign w:val="center"/>
          </w:tcPr>
          <w:p w14:paraId="22345C95" w14:textId="77777777" w:rsidR="00A74B79" w:rsidRPr="0025022A" w:rsidRDefault="00A74B79" w:rsidP="009D6213">
            <w:pPr>
              <w:spacing w:line="240" w:lineRule="auto"/>
              <w:jc w:val="center"/>
              <w:rPr>
                <w:rFonts w:cs="Times New Roman"/>
                <w:szCs w:val="24"/>
              </w:rPr>
            </w:pPr>
            <w:r w:rsidRPr="0025022A">
              <w:rPr>
                <w:rFonts w:cs="Times New Roman"/>
                <w:szCs w:val="24"/>
              </w:rPr>
              <w:t>7.21 × 10⁻⁵</w:t>
            </w:r>
          </w:p>
        </w:tc>
      </w:tr>
      <w:tr w:rsidR="00A74B79" w:rsidRPr="0025022A" w14:paraId="2D1F4EBE" w14:textId="77777777" w:rsidTr="009D6213">
        <w:trPr>
          <w:jc w:val="center"/>
        </w:trPr>
        <w:tc>
          <w:tcPr>
            <w:tcW w:w="750" w:type="dxa"/>
            <w:vAlign w:val="center"/>
          </w:tcPr>
          <w:p w14:paraId="51D5C8A2"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117ED7D4"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4A2AA5D9" w14:textId="77777777" w:rsidR="00A74B79" w:rsidRPr="0025022A" w:rsidRDefault="00A74B79" w:rsidP="009D6213">
            <w:pPr>
              <w:spacing w:line="240" w:lineRule="auto"/>
              <w:jc w:val="center"/>
              <w:rPr>
                <w:rFonts w:cs="Times New Roman"/>
                <w:szCs w:val="24"/>
              </w:rPr>
            </w:pPr>
            <w:r w:rsidRPr="0025022A">
              <w:rPr>
                <w:rFonts w:cs="Times New Roman"/>
                <w:szCs w:val="24"/>
              </w:rPr>
              <w:t>Glucose-1-phosphate metabolism</w:t>
            </w:r>
          </w:p>
        </w:tc>
        <w:tc>
          <w:tcPr>
            <w:tcW w:w="1336" w:type="dxa"/>
            <w:vAlign w:val="center"/>
          </w:tcPr>
          <w:p w14:paraId="61295AC2" w14:textId="77777777" w:rsidR="00A74B79" w:rsidRPr="0025022A" w:rsidRDefault="00A74B79" w:rsidP="009D6213">
            <w:pPr>
              <w:spacing w:line="240" w:lineRule="auto"/>
              <w:jc w:val="center"/>
              <w:rPr>
                <w:rFonts w:cs="Times New Roman"/>
                <w:szCs w:val="24"/>
              </w:rPr>
            </w:pPr>
            <w:r w:rsidRPr="0025022A">
              <w:rPr>
                <w:rFonts w:cs="Times New Roman"/>
                <w:szCs w:val="24"/>
              </w:rPr>
              <w:t>+6.96</w:t>
            </w:r>
          </w:p>
        </w:tc>
        <w:tc>
          <w:tcPr>
            <w:tcW w:w="1474" w:type="dxa"/>
            <w:vAlign w:val="center"/>
          </w:tcPr>
          <w:p w14:paraId="0A8BB805" w14:textId="77777777" w:rsidR="00A74B79" w:rsidRPr="0025022A" w:rsidRDefault="00A74B79" w:rsidP="009D6213">
            <w:pPr>
              <w:spacing w:line="240" w:lineRule="auto"/>
              <w:jc w:val="center"/>
              <w:rPr>
                <w:rFonts w:cs="Times New Roman"/>
                <w:szCs w:val="24"/>
              </w:rPr>
            </w:pPr>
            <w:r w:rsidRPr="0025022A">
              <w:rPr>
                <w:rFonts w:cs="Times New Roman"/>
                <w:szCs w:val="24"/>
              </w:rPr>
              <w:t>1.33 × 10⁻⁴</w:t>
            </w:r>
          </w:p>
        </w:tc>
      </w:tr>
      <w:tr w:rsidR="00A74B79" w:rsidRPr="0025022A" w14:paraId="00BFD9AE" w14:textId="77777777" w:rsidTr="009D6213">
        <w:trPr>
          <w:jc w:val="center"/>
        </w:trPr>
        <w:tc>
          <w:tcPr>
            <w:tcW w:w="750" w:type="dxa"/>
            <w:vAlign w:val="center"/>
          </w:tcPr>
          <w:p w14:paraId="251C87F9"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529910BB"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5523B564" w14:textId="77777777" w:rsidR="00A74B79" w:rsidRPr="0025022A" w:rsidRDefault="00A74B79" w:rsidP="009D6213">
            <w:pPr>
              <w:spacing w:line="240" w:lineRule="auto"/>
              <w:jc w:val="center"/>
              <w:rPr>
                <w:rFonts w:cs="Times New Roman"/>
                <w:szCs w:val="24"/>
              </w:rPr>
            </w:pPr>
            <w:r w:rsidRPr="0025022A">
              <w:rPr>
                <w:rFonts w:cs="Times New Roman"/>
                <w:szCs w:val="24"/>
              </w:rPr>
              <w:t>Inositol degradation</w:t>
            </w:r>
          </w:p>
        </w:tc>
        <w:tc>
          <w:tcPr>
            <w:tcW w:w="1336" w:type="dxa"/>
            <w:vAlign w:val="center"/>
          </w:tcPr>
          <w:p w14:paraId="55F2A6E7" w14:textId="77777777" w:rsidR="00A74B79" w:rsidRPr="0025022A" w:rsidRDefault="00A74B79" w:rsidP="009D6213">
            <w:pPr>
              <w:spacing w:line="240" w:lineRule="auto"/>
              <w:jc w:val="center"/>
              <w:rPr>
                <w:rFonts w:cs="Times New Roman"/>
                <w:szCs w:val="24"/>
              </w:rPr>
            </w:pPr>
            <w:r w:rsidRPr="0025022A">
              <w:rPr>
                <w:rFonts w:cs="Times New Roman"/>
                <w:szCs w:val="24"/>
              </w:rPr>
              <w:t>+5.88</w:t>
            </w:r>
          </w:p>
        </w:tc>
        <w:tc>
          <w:tcPr>
            <w:tcW w:w="1474" w:type="dxa"/>
            <w:vAlign w:val="center"/>
          </w:tcPr>
          <w:p w14:paraId="58F9C322" w14:textId="77777777" w:rsidR="00A74B79" w:rsidRPr="0025022A" w:rsidRDefault="00A74B79" w:rsidP="009D6213">
            <w:pPr>
              <w:spacing w:line="240" w:lineRule="auto"/>
              <w:jc w:val="center"/>
              <w:rPr>
                <w:rFonts w:cs="Times New Roman"/>
                <w:szCs w:val="24"/>
              </w:rPr>
            </w:pPr>
            <w:r w:rsidRPr="0025022A">
              <w:rPr>
                <w:rFonts w:cs="Times New Roman"/>
                <w:szCs w:val="24"/>
              </w:rPr>
              <w:t>2.06 × 10⁻⁴</w:t>
            </w:r>
          </w:p>
        </w:tc>
      </w:tr>
      <w:tr w:rsidR="00A74B79" w:rsidRPr="0025022A" w14:paraId="62EB8F1C" w14:textId="77777777" w:rsidTr="009D6213">
        <w:trPr>
          <w:jc w:val="center"/>
        </w:trPr>
        <w:tc>
          <w:tcPr>
            <w:tcW w:w="750" w:type="dxa"/>
            <w:vAlign w:val="center"/>
          </w:tcPr>
          <w:p w14:paraId="5B0E9205"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5904B14B"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241269A2" w14:textId="77777777" w:rsidR="00A74B79" w:rsidRPr="0025022A" w:rsidRDefault="00A74B79" w:rsidP="009D6213">
            <w:pPr>
              <w:spacing w:line="240" w:lineRule="auto"/>
              <w:jc w:val="center"/>
              <w:rPr>
                <w:rFonts w:cs="Times New Roman"/>
                <w:szCs w:val="24"/>
              </w:rPr>
            </w:pPr>
            <w:r w:rsidRPr="0025022A">
              <w:rPr>
                <w:rFonts w:cs="Times New Roman"/>
                <w:szCs w:val="24"/>
              </w:rPr>
              <w:t>Glycolysis IV</w:t>
            </w:r>
          </w:p>
        </w:tc>
        <w:tc>
          <w:tcPr>
            <w:tcW w:w="1336" w:type="dxa"/>
            <w:vAlign w:val="center"/>
          </w:tcPr>
          <w:p w14:paraId="716B2817" w14:textId="77777777" w:rsidR="00A74B79" w:rsidRPr="0025022A" w:rsidRDefault="00A74B79" w:rsidP="009D6213">
            <w:pPr>
              <w:spacing w:line="240" w:lineRule="auto"/>
              <w:jc w:val="center"/>
              <w:rPr>
                <w:rFonts w:cs="Times New Roman"/>
                <w:szCs w:val="24"/>
              </w:rPr>
            </w:pPr>
            <w:r w:rsidRPr="0025022A">
              <w:rPr>
                <w:rFonts w:cs="Times New Roman"/>
                <w:szCs w:val="24"/>
              </w:rPr>
              <w:t>+5.61</w:t>
            </w:r>
          </w:p>
        </w:tc>
        <w:tc>
          <w:tcPr>
            <w:tcW w:w="1474" w:type="dxa"/>
            <w:vAlign w:val="center"/>
          </w:tcPr>
          <w:p w14:paraId="36EDFC0F" w14:textId="77777777" w:rsidR="00A74B79" w:rsidRPr="0025022A" w:rsidRDefault="00A74B79" w:rsidP="009D6213">
            <w:pPr>
              <w:spacing w:line="240" w:lineRule="auto"/>
              <w:jc w:val="center"/>
              <w:rPr>
                <w:rFonts w:cs="Times New Roman"/>
                <w:szCs w:val="24"/>
              </w:rPr>
            </w:pPr>
            <w:r w:rsidRPr="0025022A">
              <w:rPr>
                <w:rFonts w:cs="Times New Roman"/>
                <w:szCs w:val="24"/>
              </w:rPr>
              <w:t>1.09 × 10⁻⁶</w:t>
            </w:r>
          </w:p>
        </w:tc>
      </w:tr>
      <w:tr w:rsidR="00A74B79" w:rsidRPr="0025022A" w14:paraId="11071B31" w14:textId="77777777" w:rsidTr="009D6213">
        <w:trPr>
          <w:jc w:val="center"/>
        </w:trPr>
        <w:tc>
          <w:tcPr>
            <w:tcW w:w="750" w:type="dxa"/>
            <w:vAlign w:val="center"/>
          </w:tcPr>
          <w:p w14:paraId="01DDFFD7"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3CAC8657" w14:textId="77777777" w:rsidR="00A74B79" w:rsidRPr="0025022A" w:rsidRDefault="00A74B79" w:rsidP="009D6213">
            <w:pPr>
              <w:spacing w:line="240" w:lineRule="auto"/>
              <w:jc w:val="center"/>
              <w:rPr>
                <w:rFonts w:cs="Times New Roman"/>
                <w:szCs w:val="24"/>
              </w:rPr>
            </w:pPr>
            <w:r w:rsidRPr="0025022A">
              <w:rPr>
                <w:rFonts w:cs="Times New Roman"/>
                <w:szCs w:val="24"/>
              </w:rPr>
              <w:t>Hibernation</w:t>
            </w:r>
          </w:p>
        </w:tc>
        <w:tc>
          <w:tcPr>
            <w:tcW w:w="4479" w:type="dxa"/>
            <w:vAlign w:val="center"/>
          </w:tcPr>
          <w:p w14:paraId="41AA8A07" w14:textId="77777777" w:rsidR="00A74B79" w:rsidRPr="0025022A" w:rsidRDefault="00A74B79" w:rsidP="009D6213">
            <w:pPr>
              <w:spacing w:line="240" w:lineRule="auto"/>
              <w:jc w:val="center"/>
              <w:rPr>
                <w:rFonts w:cs="Times New Roman"/>
                <w:szCs w:val="24"/>
              </w:rPr>
            </w:pPr>
            <w:r w:rsidRPr="0025022A">
              <w:rPr>
                <w:rFonts w:cs="Times New Roman"/>
                <w:szCs w:val="24"/>
              </w:rPr>
              <w:t>D-glucuronate degradation I</w:t>
            </w:r>
          </w:p>
        </w:tc>
        <w:tc>
          <w:tcPr>
            <w:tcW w:w="1336" w:type="dxa"/>
            <w:vAlign w:val="center"/>
          </w:tcPr>
          <w:p w14:paraId="467E17E4" w14:textId="77777777" w:rsidR="00A74B79" w:rsidRPr="0025022A" w:rsidRDefault="00A74B79" w:rsidP="009D6213">
            <w:pPr>
              <w:spacing w:line="240" w:lineRule="auto"/>
              <w:jc w:val="center"/>
              <w:rPr>
                <w:rFonts w:cs="Times New Roman"/>
                <w:szCs w:val="24"/>
              </w:rPr>
            </w:pPr>
            <w:r w:rsidRPr="0025022A">
              <w:rPr>
                <w:rFonts w:cs="Times New Roman"/>
                <w:szCs w:val="24"/>
              </w:rPr>
              <w:t>+5.46</w:t>
            </w:r>
          </w:p>
        </w:tc>
        <w:tc>
          <w:tcPr>
            <w:tcW w:w="1474" w:type="dxa"/>
            <w:vAlign w:val="center"/>
          </w:tcPr>
          <w:p w14:paraId="6E676E80" w14:textId="77777777" w:rsidR="00A74B79" w:rsidRPr="0025022A" w:rsidRDefault="00A74B79" w:rsidP="009D6213">
            <w:pPr>
              <w:spacing w:line="240" w:lineRule="auto"/>
              <w:jc w:val="center"/>
              <w:rPr>
                <w:rFonts w:cs="Times New Roman"/>
                <w:szCs w:val="24"/>
              </w:rPr>
            </w:pPr>
            <w:r w:rsidRPr="0025022A">
              <w:rPr>
                <w:rFonts w:cs="Times New Roman"/>
                <w:szCs w:val="24"/>
              </w:rPr>
              <w:t>1.33 × 10⁻⁴</w:t>
            </w:r>
          </w:p>
        </w:tc>
      </w:tr>
      <w:tr w:rsidR="00A74B79" w:rsidRPr="0025022A" w14:paraId="15908A49" w14:textId="77777777" w:rsidTr="009D6213">
        <w:trPr>
          <w:jc w:val="center"/>
        </w:trPr>
        <w:tc>
          <w:tcPr>
            <w:tcW w:w="750" w:type="dxa"/>
            <w:vAlign w:val="center"/>
          </w:tcPr>
          <w:p w14:paraId="58AACF7C"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2BE6BA17"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4D7DC95D" w14:textId="77777777" w:rsidR="00A74B79" w:rsidRPr="0025022A" w:rsidRDefault="00A74B79" w:rsidP="009D6213">
            <w:pPr>
              <w:spacing w:line="240" w:lineRule="auto"/>
              <w:jc w:val="center"/>
              <w:rPr>
                <w:rFonts w:cs="Times New Roman"/>
                <w:szCs w:val="24"/>
              </w:rPr>
            </w:pPr>
            <w:r w:rsidRPr="0025022A">
              <w:rPr>
                <w:rFonts w:cs="Times New Roman"/>
                <w:szCs w:val="24"/>
              </w:rPr>
              <w:t>Lipid A biosynthesis</w:t>
            </w:r>
          </w:p>
        </w:tc>
        <w:tc>
          <w:tcPr>
            <w:tcW w:w="1336" w:type="dxa"/>
            <w:vAlign w:val="center"/>
          </w:tcPr>
          <w:p w14:paraId="6DA2D9C9" w14:textId="77777777" w:rsidR="00A74B79" w:rsidRPr="0025022A" w:rsidRDefault="00A74B79" w:rsidP="009D6213">
            <w:pPr>
              <w:spacing w:line="240" w:lineRule="auto"/>
              <w:jc w:val="center"/>
              <w:rPr>
                <w:rFonts w:cs="Times New Roman"/>
                <w:szCs w:val="24"/>
              </w:rPr>
            </w:pPr>
            <w:r w:rsidRPr="0025022A">
              <w:rPr>
                <w:rFonts w:cs="Times New Roman"/>
                <w:szCs w:val="24"/>
              </w:rPr>
              <w:t>−1.91</w:t>
            </w:r>
          </w:p>
        </w:tc>
        <w:tc>
          <w:tcPr>
            <w:tcW w:w="1474" w:type="dxa"/>
            <w:vAlign w:val="center"/>
          </w:tcPr>
          <w:p w14:paraId="1B89EE88" w14:textId="77777777" w:rsidR="00A74B79" w:rsidRPr="0025022A" w:rsidRDefault="00A74B79" w:rsidP="009D6213">
            <w:pPr>
              <w:spacing w:line="240" w:lineRule="auto"/>
              <w:jc w:val="center"/>
              <w:rPr>
                <w:rFonts w:cs="Times New Roman"/>
                <w:szCs w:val="24"/>
              </w:rPr>
            </w:pPr>
            <w:r w:rsidRPr="0025022A">
              <w:rPr>
                <w:rFonts w:cs="Times New Roman"/>
                <w:szCs w:val="24"/>
              </w:rPr>
              <w:t>2.09 × 10⁻³</w:t>
            </w:r>
          </w:p>
        </w:tc>
      </w:tr>
      <w:tr w:rsidR="00A74B79" w:rsidRPr="0025022A" w14:paraId="1E8C3715" w14:textId="77777777" w:rsidTr="009D6213">
        <w:trPr>
          <w:jc w:val="center"/>
        </w:trPr>
        <w:tc>
          <w:tcPr>
            <w:tcW w:w="750" w:type="dxa"/>
            <w:vAlign w:val="center"/>
          </w:tcPr>
          <w:p w14:paraId="6515D2CE"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11452332"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24640065" w14:textId="77777777" w:rsidR="00A74B79" w:rsidRPr="0025022A" w:rsidRDefault="00A74B79" w:rsidP="009D6213">
            <w:pPr>
              <w:spacing w:line="240" w:lineRule="auto"/>
              <w:jc w:val="center"/>
              <w:rPr>
                <w:rFonts w:cs="Times New Roman"/>
                <w:szCs w:val="24"/>
              </w:rPr>
            </w:pPr>
            <w:r w:rsidRPr="0025022A">
              <w:rPr>
                <w:rFonts w:cs="Times New Roman"/>
                <w:szCs w:val="24"/>
              </w:rPr>
              <w:t>Ethanolamine utilization</w:t>
            </w:r>
          </w:p>
        </w:tc>
        <w:tc>
          <w:tcPr>
            <w:tcW w:w="1336" w:type="dxa"/>
            <w:vAlign w:val="center"/>
          </w:tcPr>
          <w:p w14:paraId="2B6FE441" w14:textId="77777777" w:rsidR="00A74B79" w:rsidRPr="0025022A" w:rsidRDefault="00A74B79" w:rsidP="009D6213">
            <w:pPr>
              <w:spacing w:line="240" w:lineRule="auto"/>
              <w:jc w:val="center"/>
              <w:rPr>
                <w:rFonts w:cs="Times New Roman"/>
                <w:szCs w:val="24"/>
              </w:rPr>
            </w:pPr>
            <w:r w:rsidRPr="0025022A">
              <w:rPr>
                <w:rFonts w:cs="Times New Roman"/>
                <w:szCs w:val="24"/>
              </w:rPr>
              <w:t>−1.47</w:t>
            </w:r>
          </w:p>
        </w:tc>
        <w:tc>
          <w:tcPr>
            <w:tcW w:w="1474" w:type="dxa"/>
            <w:vAlign w:val="center"/>
          </w:tcPr>
          <w:p w14:paraId="7E9468FA" w14:textId="77777777" w:rsidR="00A74B79" w:rsidRPr="0025022A" w:rsidRDefault="00A74B79" w:rsidP="009D6213">
            <w:pPr>
              <w:spacing w:line="240" w:lineRule="auto"/>
              <w:jc w:val="center"/>
              <w:rPr>
                <w:rFonts w:cs="Times New Roman"/>
                <w:szCs w:val="24"/>
              </w:rPr>
            </w:pPr>
            <w:r w:rsidRPr="0025022A">
              <w:rPr>
                <w:rFonts w:cs="Times New Roman"/>
                <w:szCs w:val="24"/>
              </w:rPr>
              <w:t>1.05 × 10⁻²</w:t>
            </w:r>
          </w:p>
        </w:tc>
      </w:tr>
      <w:tr w:rsidR="00A74B79" w:rsidRPr="0025022A" w14:paraId="72A6C25D" w14:textId="77777777" w:rsidTr="009D6213">
        <w:trPr>
          <w:jc w:val="center"/>
        </w:trPr>
        <w:tc>
          <w:tcPr>
            <w:tcW w:w="750" w:type="dxa"/>
            <w:vAlign w:val="center"/>
          </w:tcPr>
          <w:p w14:paraId="0429E8A4"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56CE7E0B"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4AC65B1D" w14:textId="77777777" w:rsidR="00A74B79" w:rsidRPr="0025022A" w:rsidRDefault="00A74B79" w:rsidP="009D6213">
            <w:pPr>
              <w:spacing w:line="240" w:lineRule="auto"/>
              <w:jc w:val="center"/>
              <w:rPr>
                <w:rFonts w:cs="Times New Roman"/>
                <w:szCs w:val="24"/>
              </w:rPr>
            </w:pPr>
            <w:proofErr w:type="spellStart"/>
            <w:r w:rsidRPr="0025022A">
              <w:rPr>
                <w:rFonts w:cs="Times New Roman"/>
                <w:szCs w:val="24"/>
              </w:rPr>
              <w:t>Polyprenol</w:t>
            </w:r>
            <w:proofErr w:type="spellEnd"/>
            <w:r w:rsidRPr="0025022A">
              <w:rPr>
                <w:rFonts w:cs="Times New Roman"/>
                <w:szCs w:val="24"/>
              </w:rPr>
              <w:t xml:space="preserve"> biosynthesis</w:t>
            </w:r>
          </w:p>
        </w:tc>
        <w:tc>
          <w:tcPr>
            <w:tcW w:w="1336" w:type="dxa"/>
            <w:vAlign w:val="center"/>
          </w:tcPr>
          <w:p w14:paraId="36A24FB0" w14:textId="77777777" w:rsidR="00A74B79" w:rsidRPr="0025022A" w:rsidRDefault="00A74B79" w:rsidP="009D6213">
            <w:pPr>
              <w:spacing w:line="240" w:lineRule="auto"/>
              <w:jc w:val="center"/>
              <w:rPr>
                <w:rFonts w:cs="Times New Roman"/>
                <w:szCs w:val="24"/>
              </w:rPr>
            </w:pPr>
            <w:r w:rsidRPr="0025022A">
              <w:rPr>
                <w:rFonts w:cs="Times New Roman"/>
                <w:szCs w:val="24"/>
              </w:rPr>
              <w:t>−1.41</w:t>
            </w:r>
          </w:p>
        </w:tc>
        <w:tc>
          <w:tcPr>
            <w:tcW w:w="1474" w:type="dxa"/>
            <w:vAlign w:val="center"/>
          </w:tcPr>
          <w:p w14:paraId="0BD7D8D9" w14:textId="77777777" w:rsidR="00A74B79" w:rsidRPr="0025022A" w:rsidRDefault="00A74B79" w:rsidP="009D6213">
            <w:pPr>
              <w:spacing w:line="240" w:lineRule="auto"/>
              <w:jc w:val="center"/>
              <w:rPr>
                <w:rFonts w:cs="Times New Roman"/>
                <w:szCs w:val="24"/>
              </w:rPr>
            </w:pPr>
            <w:r w:rsidRPr="0025022A">
              <w:rPr>
                <w:rFonts w:cs="Times New Roman"/>
                <w:szCs w:val="24"/>
              </w:rPr>
              <w:t>5.17 × 10⁻⁵</w:t>
            </w:r>
          </w:p>
        </w:tc>
      </w:tr>
      <w:tr w:rsidR="00A74B79" w:rsidRPr="0025022A" w14:paraId="7E0028FC" w14:textId="77777777" w:rsidTr="009D6213">
        <w:trPr>
          <w:jc w:val="center"/>
        </w:trPr>
        <w:tc>
          <w:tcPr>
            <w:tcW w:w="750" w:type="dxa"/>
            <w:vAlign w:val="center"/>
          </w:tcPr>
          <w:p w14:paraId="027B5935"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5119FDA0"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6D23C5E1" w14:textId="77777777" w:rsidR="00A74B79" w:rsidRPr="0025022A" w:rsidRDefault="00A74B79" w:rsidP="009D6213">
            <w:pPr>
              <w:spacing w:line="240" w:lineRule="auto"/>
              <w:jc w:val="center"/>
              <w:rPr>
                <w:rFonts w:cs="Times New Roman"/>
                <w:szCs w:val="24"/>
              </w:rPr>
            </w:pPr>
            <w:r w:rsidRPr="0025022A">
              <w:rPr>
                <w:rFonts w:cs="Times New Roman"/>
                <w:szCs w:val="24"/>
              </w:rPr>
              <w:t>Pentose phosphate pathway</w:t>
            </w:r>
          </w:p>
        </w:tc>
        <w:tc>
          <w:tcPr>
            <w:tcW w:w="1336" w:type="dxa"/>
            <w:vAlign w:val="center"/>
          </w:tcPr>
          <w:p w14:paraId="106B4905" w14:textId="77777777" w:rsidR="00A74B79" w:rsidRPr="0025022A" w:rsidRDefault="00A74B79" w:rsidP="009D6213">
            <w:pPr>
              <w:spacing w:line="240" w:lineRule="auto"/>
              <w:jc w:val="center"/>
              <w:rPr>
                <w:rFonts w:cs="Times New Roman"/>
                <w:szCs w:val="24"/>
              </w:rPr>
            </w:pPr>
            <w:r w:rsidRPr="0025022A">
              <w:rPr>
                <w:rFonts w:cs="Times New Roman"/>
                <w:szCs w:val="24"/>
              </w:rPr>
              <w:t>−1.31</w:t>
            </w:r>
          </w:p>
        </w:tc>
        <w:tc>
          <w:tcPr>
            <w:tcW w:w="1474" w:type="dxa"/>
            <w:vAlign w:val="center"/>
          </w:tcPr>
          <w:p w14:paraId="7EDCF717" w14:textId="77777777" w:rsidR="00A74B79" w:rsidRPr="0025022A" w:rsidRDefault="00A74B79" w:rsidP="009D6213">
            <w:pPr>
              <w:spacing w:line="240" w:lineRule="auto"/>
              <w:jc w:val="center"/>
              <w:rPr>
                <w:rFonts w:cs="Times New Roman"/>
                <w:szCs w:val="24"/>
              </w:rPr>
            </w:pPr>
            <w:r w:rsidRPr="0025022A">
              <w:rPr>
                <w:rFonts w:cs="Times New Roman"/>
                <w:szCs w:val="24"/>
              </w:rPr>
              <w:t>1.00 × 10⁻⁶</w:t>
            </w:r>
          </w:p>
        </w:tc>
      </w:tr>
      <w:tr w:rsidR="00A74B79" w:rsidRPr="0025022A" w14:paraId="70D5B928" w14:textId="77777777" w:rsidTr="009D6213">
        <w:trPr>
          <w:jc w:val="center"/>
        </w:trPr>
        <w:tc>
          <w:tcPr>
            <w:tcW w:w="750" w:type="dxa"/>
            <w:vAlign w:val="center"/>
          </w:tcPr>
          <w:p w14:paraId="67314082" w14:textId="77777777" w:rsidR="00A74B79" w:rsidRPr="0025022A" w:rsidRDefault="00A74B79" w:rsidP="009D6213">
            <w:pPr>
              <w:spacing w:line="240" w:lineRule="auto"/>
              <w:jc w:val="center"/>
              <w:rPr>
                <w:rFonts w:cs="Times New Roman"/>
                <w:szCs w:val="24"/>
              </w:rPr>
            </w:pPr>
            <w:r w:rsidRPr="0025022A">
              <w:rPr>
                <w:rFonts w:cs="Times New Roman"/>
                <w:szCs w:val="24"/>
              </w:rPr>
              <w:t>Stool</w:t>
            </w:r>
          </w:p>
        </w:tc>
        <w:tc>
          <w:tcPr>
            <w:tcW w:w="1363" w:type="dxa"/>
            <w:vAlign w:val="center"/>
          </w:tcPr>
          <w:p w14:paraId="6784A9E5" w14:textId="77777777" w:rsidR="00A74B79" w:rsidRPr="0025022A" w:rsidRDefault="00A74B79" w:rsidP="009D6213">
            <w:pPr>
              <w:spacing w:line="240" w:lineRule="auto"/>
              <w:jc w:val="center"/>
              <w:rPr>
                <w:rFonts w:cs="Times New Roman"/>
                <w:szCs w:val="24"/>
              </w:rPr>
            </w:pPr>
            <w:r w:rsidRPr="0025022A">
              <w:rPr>
                <w:rFonts w:cs="Times New Roman"/>
                <w:szCs w:val="24"/>
              </w:rPr>
              <w:t>Active</w:t>
            </w:r>
          </w:p>
        </w:tc>
        <w:tc>
          <w:tcPr>
            <w:tcW w:w="4479" w:type="dxa"/>
            <w:vAlign w:val="center"/>
          </w:tcPr>
          <w:p w14:paraId="67769AE5" w14:textId="77777777" w:rsidR="00A74B79" w:rsidRPr="0025022A" w:rsidRDefault="00A74B79" w:rsidP="009D6213">
            <w:pPr>
              <w:spacing w:line="240" w:lineRule="auto"/>
              <w:jc w:val="center"/>
              <w:rPr>
                <w:rFonts w:cs="Times New Roman"/>
                <w:szCs w:val="24"/>
              </w:rPr>
            </w:pPr>
            <w:r w:rsidRPr="0025022A">
              <w:rPr>
                <w:rFonts w:cs="Times New Roman"/>
                <w:szCs w:val="24"/>
              </w:rPr>
              <w:t>C4 photosynthetic carbon assimilation</w:t>
            </w:r>
          </w:p>
        </w:tc>
        <w:tc>
          <w:tcPr>
            <w:tcW w:w="1336" w:type="dxa"/>
            <w:vAlign w:val="center"/>
          </w:tcPr>
          <w:p w14:paraId="4C2121D3" w14:textId="77777777" w:rsidR="00A74B79" w:rsidRPr="0025022A" w:rsidRDefault="00A74B79" w:rsidP="009D6213">
            <w:pPr>
              <w:spacing w:line="240" w:lineRule="auto"/>
              <w:jc w:val="center"/>
              <w:rPr>
                <w:rFonts w:cs="Times New Roman"/>
                <w:szCs w:val="24"/>
              </w:rPr>
            </w:pPr>
            <w:r w:rsidRPr="0025022A">
              <w:rPr>
                <w:rFonts w:cs="Times New Roman"/>
                <w:szCs w:val="24"/>
              </w:rPr>
              <w:t>−1.25</w:t>
            </w:r>
          </w:p>
        </w:tc>
        <w:tc>
          <w:tcPr>
            <w:tcW w:w="1474" w:type="dxa"/>
            <w:vAlign w:val="center"/>
          </w:tcPr>
          <w:p w14:paraId="2E1B854D" w14:textId="77777777" w:rsidR="00A74B79" w:rsidRPr="0025022A" w:rsidRDefault="00A74B79" w:rsidP="009D6213">
            <w:pPr>
              <w:spacing w:line="240" w:lineRule="auto"/>
              <w:jc w:val="center"/>
              <w:rPr>
                <w:rFonts w:cs="Times New Roman"/>
                <w:szCs w:val="24"/>
              </w:rPr>
            </w:pPr>
            <w:r w:rsidRPr="0025022A">
              <w:rPr>
                <w:rFonts w:cs="Times New Roman"/>
                <w:szCs w:val="24"/>
              </w:rPr>
              <w:t>2.48 × 10⁻⁸</w:t>
            </w:r>
          </w:p>
        </w:tc>
      </w:tr>
    </w:tbl>
    <w:p w14:paraId="522D19BC" w14:textId="77777777" w:rsidR="00A74B79" w:rsidRDefault="00A74B79" w:rsidP="00A74B79">
      <w:pPr>
        <w:spacing w:line="240" w:lineRule="auto"/>
        <w:rPr>
          <w:rFonts w:cs="Times New Roman"/>
          <w:szCs w:val="24"/>
        </w:rPr>
      </w:pPr>
      <w:r w:rsidRPr="0025022A">
        <w:rPr>
          <w:rFonts w:cs="Times New Roman"/>
          <w:szCs w:val="24"/>
        </w:rPr>
        <w:t>All coefficients are on the same (×10⁻³) scale. Stool hibernation-enriched coefficients are substantially larger in magnitude than oral or skin coefficients because hibernating bats cease feeding entirely, producing a dramatic shift in gut substrate availability and therefore larger effect sizes in the linear models for stool. Coefficients are from linear models controlling for species and activity mode, with Benjamini–Hochberg FDR correction (q &lt; 0.05).</w:t>
      </w:r>
    </w:p>
    <w:p w14:paraId="274111D9" w14:textId="77777777" w:rsidR="00A74B79" w:rsidRPr="00913C56" w:rsidRDefault="00A74B79" w:rsidP="00A74B79">
      <w:pPr>
        <w:rPr>
          <w:rFonts w:cs="Times New Roman"/>
          <w:szCs w:val="24"/>
        </w:rPr>
      </w:pPr>
    </w:p>
    <w:p w14:paraId="7393667F" w14:textId="04553E46" w:rsidR="00A74B79" w:rsidRDefault="00A74B79"/>
    <w:p w14:paraId="77E6A03C" w14:textId="77777777" w:rsidR="00A74B79" w:rsidRDefault="00A74B79" w:rsidP="00A74B79">
      <w:pPr>
        <w:spacing w:line="240" w:lineRule="auto"/>
        <w:rPr>
          <w:rFonts w:cs="Times New Roman"/>
          <w:b/>
          <w:szCs w:val="24"/>
        </w:rPr>
      </w:pPr>
      <w:r>
        <w:rPr>
          <w:rFonts w:cs="Times New Roman"/>
          <w:b/>
          <w:noProof/>
          <w:szCs w:val="24"/>
        </w:rPr>
        <w:lastRenderedPageBreak/>
        <w:drawing>
          <wp:inline distT="0" distB="0" distL="0" distR="0" wp14:anchorId="09BDFF61" wp14:editId="58FAD094">
            <wp:extent cx="5943600" cy="4613275"/>
            <wp:effectExtent l="0" t="0" r="0" b="0"/>
            <wp:docPr id="1615707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07664" name="Picture 1615707664"/>
                    <pic:cNvPicPr/>
                  </pic:nvPicPr>
                  <pic:blipFill>
                    <a:blip r:embed="rId4"/>
                    <a:stretch>
                      <a:fillRect/>
                    </a:stretch>
                  </pic:blipFill>
                  <pic:spPr>
                    <a:xfrm>
                      <a:off x="0" y="0"/>
                      <a:ext cx="5943600" cy="4613275"/>
                    </a:xfrm>
                    <a:prstGeom prst="rect">
                      <a:avLst/>
                    </a:prstGeom>
                  </pic:spPr>
                </pic:pic>
              </a:graphicData>
            </a:graphic>
          </wp:inline>
        </w:drawing>
      </w:r>
    </w:p>
    <w:p w14:paraId="659E25CA" w14:textId="77777777" w:rsidR="00A74B79" w:rsidRDefault="00A74B79" w:rsidP="00A74B79">
      <w:pPr>
        <w:spacing w:line="240" w:lineRule="auto"/>
        <w:rPr>
          <w:rFonts w:cs="Times New Roman"/>
          <w:b/>
          <w:szCs w:val="24"/>
        </w:rPr>
      </w:pPr>
    </w:p>
    <w:p w14:paraId="7F1CAA4B" w14:textId="724F51E3" w:rsidR="00A74B79" w:rsidRDefault="00A74B79" w:rsidP="00A74B79">
      <w:pPr>
        <w:spacing w:line="240" w:lineRule="auto"/>
        <w:rPr>
          <w:rFonts w:cs="Times New Roman"/>
          <w:szCs w:val="24"/>
        </w:rPr>
      </w:pPr>
      <w:r w:rsidRPr="0025022A">
        <w:rPr>
          <w:rFonts w:cs="Times New Roman"/>
          <w:b/>
          <w:szCs w:val="24"/>
        </w:rPr>
        <w:t>Fig. S1</w:t>
      </w:r>
      <w:r w:rsidRPr="0025022A">
        <w:rPr>
          <w:rFonts w:cs="Times New Roman"/>
          <w:szCs w:val="24"/>
        </w:rPr>
        <w:t xml:space="preserve"> Predicted metabolic pathways differing across body sites (PICRUSt2). Top 7 pathways enriched in each body site (21 total; linear model controlling for species and activity mode); grouped bars show mean relative abundance (%) for oral (red), skin (blue), and stool (green). All displayed pathways are significant at q &lt; 0.05</w:t>
      </w:r>
      <w:r>
        <w:rPr>
          <w:rFonts w:cs="Times New Roman"/>
          <w:szCs w:val="24"/>
        </w:rPr>
        <w:t>.</w:t>
      </w:r>
    </w:p>
    <w:p w14:paraId="32820EE8" w14:textId="77777777" w:rsidR="00A74B79" w:rsidRDefault="00A74B79" w:rsidP="00A74B79">
      <w:pPr>
        <w:spacing w:line="240" w:lineRule="auto"/>
        <w:rPr>
          <w:rFonts w:cs="Times New Roman"/>
          <w:szCs w:val="24"/>
        </w:rPr>
      </w:pPr>
    </w:p>
    <w:p w14:paraId="28569CB0" w14:textId="77777777" w:rsidR="00A74B79" w:rsidRPr="0025022A" w:rsidRDefault="00A74B79" w:rsidP="00A74B79">
      <w:pPr>
        <w:spacing w:line="240" w:lineRule="auto"/>
        <w:rPr>
          <w:rFonts w:cs="Times New Roman"/>
          <w:szCs w:val="24"/>
        </w:rPr>
      </w:pPr>
    </w:p>
    <w:p w14:paraId="6D127385" w14:textId="77777777" w:rsidR="00A74B79" w:rsidRDefault="00A74B79"/>
    <w:p w14:paraId="38784572" w14:textId="77777777" w:rsidR="00A74B79" w:rsidRDefault="00A74B79"/>
    <w:sectPr w:rsidR="00A74B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79"/>
    <w:rsid w:val="00006403"/>
    <w:rsid w:val="00010819"/>
    <w:rsid w:val="0001473A"/>
    <w:rsid w:val="000159B9"/>
    <w:rsid w:val="0002550F"/>
    <w:rsid w:val="00026F83"/>
    <w:rsid w:val="0003251F"/>
    <w:rsid w:val="00032D5E"/>
    <w:rsid w:val="000407AB"/>
    <w:rsid w:val="00040933"/>
    <w:rsid w:val="000417D5"/>
    <w:rsid w:val="00042F20"/>
    <w:rsid w:val="00044F53"/>
    <w:rsid w:val="0006445D"/>
    <w:rsid w:val="000650FA"/>
    <w:rsid w:val="000772DF"/>
    <w:rsid w:val="00086E11"/>
    <w:rsid w:val="0009392C"/>
    <w:rsid w:val="00094EF7"/>
    <w:rsid w:val="000968DA"/>
    <w:rsid w:val="000A60C9"/>
    <w:rsid w:val="000B1ECF"/>
    <w:rsid w:val="000C3AC8"/>
    <w:rsid w:val="000E0DB6"/>
    <w:rsid w:val="000E506C"/>
    <w:rsid w:val="000F3BB5"/>
    <w:rsid w:val="000F59F6"/>
    <w:rsid w:val="000F740E"/>
    <w:rsid w:val="00100196"/>
    <w:rsid w:val="00105ADA"/>
    <w:rsid w:val="001114C2"/>
    <w:rsid w:val="00111B63"/>
    <w:rsid w:val="0011583F"/>
    <w:rsid w:val="00117D77"/>
    <w:rsid w:val="001270DC"/>
    <w:rsid w:val="00127B0F"/>
    <w:rsid w:val="0013750F"/>
    <w:rsid w:val="0014357B"/>
    <w:rsid w:val="001664B2"/>
    <w:rsid w:val="001731FA"/>
    <w:rsid w:val="00177CB8"/>
    <w:rsid w:val="00194585"/>
    <w:rsid w:val="001A2FD4"/>
    <w:rsid w:val="001B0F92"/>
    <w:rsid w:val="001B6F47"/>
    <w:rsid w:val="001B7B49"/>
    <w:rsid w:val="001C4F2F"/>
    <w:rsid w:val="001C7C24"/>
    <w:rsid w:val="001D5E4F"/>
    <w:rsid w:val="001D7EDA"/>
    <w:rsid w:val="001E026A"/>
    <w:rsid w:val="001F5BE3"/>
    <w:rsid w:val="00205336"/>
    <w:rsid w:val="0021222A"/>
    <w:rsid w:val="0021739F"/>
    <w:rsid w:val="0022410A"/>
    <w:rsid w:val="00226B0E"/>
    <w:rsid w:val="0023073E"/>
    <w:rsid w:val="00260234"/>
    <w:rsid w:val="00262FF4"/>
    <w:rsid w:val="002645C9"/>
    <w:rsid w:val="00270B30"/>
    <w:rsid w:val="0027302A"/>
    <w:rsid w:val="002968B7"/>
    <w:rsid w:val="002A1D15"/>
    <w:rsid w:val="002A1F96"/>
    <w:rsid w:val="002A4D60"/>
    <w:rsid w:val="002C0C38"/>
    <w:rsid w:val="002C2E23"/>
    <w:rsid w:val="002E121C"/>
    <w:rsid w:val="002E3FA7"/>
    <w:rsid w:val="002F38DF"/>
    <w:rsid w:val="002F7127"/>
    <w:rsid w:val="003003F3"/>
    <w:rsid w:val="00301123"/>
    <w:rsid w:val="003025CD"/>
    <w:rsid w:val="00302A46"/>
    <w:rsid w:val="0031218A"/>
    <w:rsid w:val="003300DD"/>
    <w:rsid w:val="00344F84"/>
    <w:rsid w:val="00350CDC"/>
    <w:rsid w:val="00360835"/>
    <w:rsid w:val="00373BC8"/>
    <w:rsid w:val="00376219"/>
    <w:rsid w:val="00391BE6"/>
    <w:rsid w:val="00392515"/>
    <w:rsid w:val="003945DD"/>
    <w:rsid w:val="003959E5"/>
    <w:rsid w:val="003A4B24"/>
    <w:rsid w:val="003E19A7"/>
    <w:rsid w:val="003E1B0E"/>
    <w:rsid w:val="003E7892"/>
    <w:rsid w:val="003F0094"/>
    <w:rsid w:val="003F58CC"/>
    <w:rsid w:val="003F597C"/>
    <w:rsid w:val="00404D9F"/>
    <w:rsid w:val="00421F29"/>
    <w:rsid w:val="0042294C"/>
    <w:rsid w:val="004272F6"/>
    <w:rsid w:val="00446B88"/>
    <w:rsid w:val="00453954"/>
    <w:rsid w:val="00474BA8"/>
    <w:rsid w:val="00483538"/>
    <w:rsid w:val="00493814"/>
    <w:rsid w:val="004A2770"/>
    <w:rsid w:val="004B7E92"/>
    <w:rsid w:val="004C1454"/>
    <w:rsid w:val="004C3354"/>
    <w:rsid w:val="004C474B"/>
    <w:rsid w:val="004C72D0"/>
    <w:rsid w:val="004C7907"/>
    <w:rsid w:val="004D15DD"/>
    <w:rsid w:val="004D2F3D"/>
    <w:rsid w:val="004D536D"/>
    <w:rsid w:val="004D6044"/>
    <w:rsid w:val="004E0BC9"/>
    <w:rsid w:val="004E67FC"/>
    <w:rsid w:val="004F3453"/>
    <w:rsid w:val="00500A0E"/>
    <w:rsid w:val="00505E65"/>
    <w:rsid w:val="00514ECA"/>
    <w:rsid w:val="00521BBC"/>
    <w:rsid w:val="00523B71"/>
    <w:rsid w:val="005240B6"/>
    <w:rsid w:val="00524347"/>
    <w:rsid w:val="00531ABE"/>
    <w:rsid w:val="00544A79"/>
    <w:rsid w:val="00555144"/>
    <w:rsid w:val="00567F3D"/>
    <w:rsid w:val="00573744"/>
    <w:rsid w:val="00580844"/>
    <w:rsid w:val="00581CBD"/>
    <w:rsid w:val="005929CE"/>
    <w:rsid w:val="005972D1"/>
    <w:rsid w:val="005B2D47"/>
    <w:rsid w:val="005C36AC"/>
    <w:rsid w:val="005C6104"/>
    <w:rsid w:val="005D69B5"/>
    <w:rsid w:val="005E50F8"/>
    <w:rsid w:val="005E70FF"/>
    <w:rsid w:val="00602A0C"/>
    <w:rsid w:val="00615A46"/>
    <w:rsid w:val="00616F42"/>
    <w:rsid w:val="00622841"/>
    <w:rsid w:val="00626B1F"/>
    <w:rsid w:val="00630FFF"/>
    <w:rsid w:val="00632706"/>
    <w:rsid w:val="0064075A"/>
    <w:rsid w:val="006429B5"/>
    <w:rsid w:val="00650BCE"/>
    <w:rsid w:val="00663E5D"/>
    <w:rsid w:val="00667732"/>
    <w:rsid w:val="00670085"/>
    <w:rsid w:val="006705D7"/>
    <w:rsid w:val="00683F94"/>
    <w:rsid w:val="006961B3"/>
    <w:rsid w:val="006A1380"/>
    <w:rsid w:val="006B4F71"/>
    <w:rsid w:val="006B54F9"/>
    <w:rsid w:val="006B7D8C"/>
    <w:rsid w:val="006D3549"/>
    <w:rsid w:val="006E2BDA"/>
    <w:rsid w:val="006F2933"/>
    <w:rsid w:val="00707E1F"/>
    <w:rsid w:val="007119D6"/>
    <w:rsid w:val="007249AE"/>
    <w:rsid w:val="00725FC4"/>
    <w:rsid w:val="00730907"/>
    <w:rsid w:val="00733347"/>
    <w:rsid w:val="007525D5"/>
    <w:rsid w:val="00756397"/>
    <w:rsid w:val="00760D5C"/>
    <w:rsid w:val="0076377A"/>
    <w:rsid w:val="00764C41"/>
    <w:rsid w:val="00770A18"/>
    <w:rsid w:val="007735FD"/>
    <w:rsid w:val="00785F87"/>
    <w:rsid w:val="00796360"/>
    <w:rsid w:val="007A0F47"/>
    <w:rsid w:val="007A1A90"/>
    <w:rsid w:val="007A5E0B"/>
    <w:rsid w:val="007A6459"/>
    <w:rsid w:val="007B07EF"/>
    <w:rsid w:val="007B25FE"/>
    <w:rsid w:val="007B3D3B"/>
    <w:rsid w:val="007B71DC"/>
    <w:rsid w:val="007C19A5"/>
    <w:rsid w:val="007C2D20"/>
    <w:rsid w:val="007D175F"/>
    <w:rsid w:val="007D31A1"/>
    <w:rsid w:val="007F0BA2"/>
    <w:rsid w:val="007F6CF2"/>
    <w:rsid w:val="007F6FEF"/>
    <w:rsid w:val="00806471"/>
    <w:rsid w:val="0081024F"/>
    <w:rsid w:val="008170F6"/>
    <w:rsid w:val="00823CCC"/>
    <w:rsid w:val="008328C3"/>
    <w:rsid w:val="00834817"/>
    <w:rsid w:val="00837345"/>
    <w:rsid w:val="00844B68"/>
    <w:rsid w:val="00854895"/>
    <w:rsid w:val="008611BD"/>
    <w:rsid w:val="00862CD9"/>
    <w:rsid w:val="008728C5"/>
    <w:rsid w:val="008A1762"/>
    <w:rsid w:val="008B01AC"/>
    <w:rsid w:val="008B38FD"/>
    <w:rsid w:val="008B4E86"/>
    <w:rsid w:val="008C4285"/>
    <w:rsid w:val="008C5873"/>
    <w:rsid w:val="008C5CE6"/>
    <w:rsid w:val="008C68E8"/>
    <w:rsid w:val="008C7D4B"/>
    <w:rsid w:val="008E02EF"/>
    <w:rsid w:val="008E416B"/>
    <w:rsid w:val="009013BB"/>
    <w:rsid w:val="009028CA"/>
    <w:rsid w:val="0090317B"/>
    <w:rsid w:val="00910F82"/>
    <w:rsid w:val="00913508"/>
    <w:rsid w:val="0091701C"/>
    <w:rsid w:val="00931BBC"/>
    <w:rsid w:val="009455D1"/>
    <w:rsid w:val="00946E73"/>
    <w:rsid w:val="00946FAF"/>
    <w:rsid w:val="0096127B"/>
    <w:rsid w:val="00965394"/>
    <w:rsid w:val="009679C6"/>
    <w:rsid w:val="009B675E"/>
    <w:rsid w:val="009C6550"/>
    <w:rsid w:val="009D5799"/>
    <w:rsid w:val="009D6641"/>
    <w:rsid w:val="009E16CE"/>
    <w:rsid w:val="009E77C1"/>
    <w:rsid w:val="00A06999"/>
    <w:rsid w:val="00A115AA"/>
    <w:rsid w:val="00A166FB"/>
    <w:rsid w:val="00A22DA8"/>
    <w:rsid w:val="00A238DF"/>
    <w:rsid w:val="00A35788"/>
    <w:rsid w:val="00A41564"/>
    <w:rsid w:val="00A52661"/>
    <w:rsid w:val="00A5269B"/>
    <w:rsid w:val="00A74B79"/>
    <w:rsid w:val="00A77AF6"/>
    <w:rsid w:val="00A80560"/>
    <w:rsid w:val="00A82C78"/>
    <w:rsid w:val="00AA7A58"/>
    <w:rsid w:val="00AB6E85"/>
    <w:rsid w:val="00AB73FF"/>
    <w:rsid w:val="00AC2869"/>
    <w:rsid w:val="00AE1496"/>
    <w:rsid w:val="00AE7CE7"/>
    <w:rsid w:val="00AF158C"/>
    <w:rsid w:val="00AF337F"/>
    <w:rsid w:val="00AF57D5"/>
    <w:rsid w:val="00AF6435"/>
    <w:rsid w:val="00AF7E9C"/>
    <w:rsid w:val="00B0679F"/>
    <w:rsid w:val="00B079A8"/>
    <w:rsid w:val="00B24059"/>
    <w:rsid w:val="00B433AC"/>
    <w:rsid w:val="00B440D0"/>
    <w:rsid w:val="00B4494B"/>
    <w:rsid w:val="00B50E63"/>
    <w:rsid w:val="00B51FA0"/>
    <w:rsid w:val="00B53218"/>
    <w:rsid w:val="00B579C9"/>
    <w:rsid w:val="00B644F3"/>
    <w:rsid w:val="00B756D6"/>
    <w:rsid w:val="00B931CF"/>
    <w:rsid w:val="00B95B2E"/>
    <w:rsid w:val="00B97412"/>
    <w:rsid w:val="00BA507A"/>
    <w:rsid w:val="00BC28F6"/>
    <w:rsid w:val="00BC4B0E"/>
    <w:rsid w:val="00BE0910"/>
    <w:rsid w:val="00BE272D"/>
    <w:rsid w:val="00BF55E4"/>
    <w:rsid w:val="00BF6353"/>
    <w:rsid w:val="00C04CEB"/>
    <w:rsid w:val="00C10CAF"/>
    <w:rsid w:val="00C12185"/>
    <w:rsid w:val="00C1555E"/>
    <w:rsid w:val="00C156E8"/>
    <w:rsid w:val="00C2145E"/>
    <w:rsid w:val="00C3140C"/>
    <w:rsid w:val="00C43C89"/>
    <w:rsid w:val="00C51B40"/>
    <w:rsid w:val="00C55964"/>
    <w:rsid w:val="00C6006F"/>
    <w:rsid w:val="00C60EB7"/>
    <w:rsid w:val="00C6382C"/>
    <w:rsid w:val="00C6674A"/>
    <w:rsid w:val="00C70F9D"/>
    <w:rsid w:val="00C7567F"/>
    <w:rsid w:val="00C87211"/>
    <w:rsid w:val="00C9111B"/>
    <w:rsid w:val="00C92FEB"/>
    <w:rsid w:val="00C944D4"/>
    <w:rsid w:val="00CC60CE"/>
    <w:rsid w:val="00CC74C4"/>
    <w:rsid w:val="00CD39B4"/>
    <w:rsid w:val="00CF54AA"/>
    <w:rsid w:val="00CF568F"/>
    <w:rsid w:val="00D04C73"/>
    <w:rsid w:val="00D13F46"/>
    <w:rsid w:val="00D15CFE"/>
    <w:rsid w:val="00D2044B"/>
    <w:rsid w:val="00D331B3"/>
    <w:rsid w:val="00D46E28"/>
    <w:rsid w:val="00D55718"/>
    <w:rsid w:val="00D718B8"/>
    <w:rsid w:val="00D73D7F"/>
    <w:rsid w:val="00D74DEA"/>
    <w:rsid w:val="00D861A7"/>
    <w:rsid w:val="00D97429"/>
    <w:rsid w:val="00D976C5"/>
    <w:rsid w:val="00DB3895"/>
    <w:rsid w:val="00DB6D50"/>
    <w:rsid w:val="00DC206A"/>
    <w:rsid w:val="00DC3DAB"/>
    <w:rsid w:val="00DC4740"/>
    <w:rsid w:val="00DC6DB3"/>
    <w:rsid w:val="00DC7598"/>
    <w:rsid w:val="00DD3CEA"/>
    <w:rsid w:val="00DD4344"/>
    <w:rsid w:val="00DD58C3"/>
    <w:rsid w:val="00DD6107"/>
    <w:rsid w:val="00DE1211"/>
    <w:rsid w:val="00E07C79"/>
    <w:rsid w:val="00E12113"/>
    <w:rsid w:val="00E13E42"/>
    <w:rsid w:val="00E1618D"/>
    <w:rsid w:val="00E176C1"/>
    <w:rsid w:val="00E2240F"/>
    <w:rsid w:val="00E24C82"/>
    <w:rsid w:val="00E27107"/>
    <w:rsid w:val="00E278DF"/>
    <w:rsid w:val="00E5272B"/>
    <w:rsid w:val="00E566D6"/>
    <w:rsid w:val="00E56F79"/>
    <w:rsid w:val="00E611FF"/>
    <w:rsid w:val="00E76A7B"/>
    <w:rsid w:val="00E8178D"/>
    <w:rsid w:val="00E87D76"/>
    <w:rsid w:val="00EC14E7"/>
    <w:rsid w:val="00EC6888"/>
    <w:rsid w:val="00ED2527"/>
    <w:rsid w:val="00ED308E"/>
    <w:rsid w:val="00ED550F"/>
    <w:rsid w:val="00EF09A5"/>
    <w:rsid w:val="00EF358E"/>
    <w:rsid w:val="00EF4698"/>
    <w:rsid w:val="00F05408"/>
    <w:rsid w:val="00F35C8A"/>
    <w:rsid w:val="00F418C1"/>
    <w:rsid w:val="00F440DC"/>
    <w:rsid w:val="00F444A7"/>
    <w:rsid w:val="00F466AC"/>
    <w:rsid w:val="00F47727"/>
    <w:rsid w:val="00F50FB9"/>
    <w:rsid w:val="00F515C0"/>
    <w:rsid w:val="00F5352E"/>
    <w:rsid w:val="00F55581"/>
    <w:rsid w:val="00F72855"/>
    <w:rsid w:val="00F72A22"/>
    <w:rsid w:val="00F75BBF"/>
    <w:rsid w:val="00F81344"/>
    <w:rsid w:val="00F85031"/>
    <w:rsid w:val="00F926CE"/>
    <w:rsid w:val="00F92F93"/>
    <w:rsid w:val="00F95EC1"/>
    <w:rsid w:val="00F97752"/>
    <w:rsid w:val="00FA057F"/>
    <w:rsid w:val="00FA20F1"/>
    <w:rsid w:val="00FA2649"/>
    <w:rsid w:val="00FA325A"/>
    <w:rsid w:val="00FA6662"/>
    <w:rsid w:val="00FA78C2"/>
    <w:rsid w:val="00FB6252"/>
    <w:rsid w:val="00FB682A"/>
    <w:rsid w:val="00FC4682"/>
    <w:rsid w:val="00FD4D98"/>
    <w:rsid w:val="00FD69FC"/>
    <w:rsid w:val="00FE1C0A"/>
    <w:rsid w:val="00FE4076"/>
    <w:rsid w:val="00FE4F11"/>
    <w:rsid w:val="00FE72E4"/>
    <w:rsid w:val="00FF370A"/>
    <w:rsid w:val="00FF64EF"/>
  </w:rsids>
  <m:mathPr>
    <m:mathFont m:val="Cambria Math"/>
    <m:brkBin m:val="before"/>
    <m:brkBinSub m:val="--"/>
    <m:smallFrac m:val="0"/>
    <m:dispDef/>
    <m:lMargin m:val="0"/>
    <m:rMargin m:val="0"/>
    <m:defJc m:val="centerGroup"/>
    <m:wrapIndent m:val="1440"/>
    <m:intLim m:val="subSup"/>
    <m:naryLim m:val="undOvr"/>
  </m:mathPr>
  <w:themeFontLang w:val="en-K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958BCF3"/>
  <w15:chartTrackingRefBased/>
  <w15:docId w15:val="{373636EE-ADCE-B749-AE4E-AC30B0FB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B79"/>
    <w:pPr>
      <w:spacing w:after="0" w:line="480" w:lineRule="auto"/>
    </w:pPr>
    <w:rPr>
      <w:rFonts w:ascii="Times New Roman" w:hAnsi="Times New Roman"/>
      <w:kern w:val="0"/>
      <w:szCs w:val="22"/>
      <w:lang w:val="en-US" w:eastAsia="en-US"/>
      <w14:ligatures w14:val="none"/>
    </w:rPr>
  </w:style>
  <w:style w:type="paragraph" w:styleId="Heading1">
    <w:name w:val="heading 1"/>
    <w:basedOn w:val="Normal"/>
    <w:next w:val="Normal"/>
    <w:link w:val="Heading1Char"/>
    <w:uiPriority w:val="9"/>
    <w:qFormat/>
    <w:rsid w:val="00A74B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KR" w:eastAsia="ja-JP"/>
      <w14:ligatures w14:val="standardContextual"/>
    </w:rPr>
  </w:style>
  <w:style w:type="paragraph" w:styleId="Heading2">
    <w:name w:val="heading 2"/>
    <w:basedOn w:val="Normal"/>
    <w:next w:val="Normal"/>
    <w:link w:val="Heading2Char"/>
    <w:uiPriority w:val="9"/>
    <w:semiHidden/>
    <w:unhideWhenUsed/>
    <w:qFormat/>
    <w:rsid w:val="00A74B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KR" w:eastAsia="ja-JP"/>
      <w14:ligatures w14:val="standardContextual"/>
    </w:rPr>
  </w:style>
  <w:style w:type="paragraph" w:styleId="Heading3">
    <w:name w:val="heading 3"/>
    <w:basedOn w:val="Normal"/>
    <w:next w:val="Normal"/>
    <w:link w:val="Heading3Char"/>
    <w:uiPriority w:val="9"/>
    <w:semiHidden/>
    <w:unhideWhenUsed/>
    <w:qFormat/>
    <w:rsid w:val="00A74B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KR" w:eastAsia="ja-JP"/>
      <w14:ligatures w14:val="standardContextual"/>
    </w:rPr>
  </w:style>
  <w:style w:type="paragraph" w:styleId="Heading4">
    <w:name w:val="heading 4"/>
    <w:basedOn w:val="Normal"/>
    <w:next w:val="Normal"/>
    <w:link w:val="Heading4Char"/>
    <w:uiPriority w:val="9"/>
    <w:semiHidden/>
    <w:unhideWhenUsed/>
    <w:qFormat/>
    <w:rsid w:val="00A74B7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KR" w:eastAsia="ja-JP"/>
      <w14:ligatures w14:val="standardContextual"/>
    </w:rPr>
  </w:style>
  <w:style w:type="paragraph" w:styleId="Heading5">
    <w:name w:val="heading 5"/>
    <w:basedOn w:val="Normal"/>
    <w:next w:val="Normal"/>
    <w:link w:val="Heading5Char"/>
    <w:uiPriority w:val="9"/>
    <w:semiHidden/>
    <w:unhideWhenUsed/>
    <w:qFormat/>
    <w:rsid w:val="00A74B7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KR" w:eastAsia="ja-JP"/>
      <w14:ligatures w14:val="standardContextual"/>
    </w:rPr>
  </w:style>
  <w:style w:type="paragraph" w:styleId="Heading6">
    <w:name w:val="heading 6"/>
    <w:basedOn w:val="Normal"/>
    <w:next w:val="Normal"/>
    <w:link w:val="Heading6Char"/>
    <w:uiPriority w:val="9"/>
    <w:semiHidden/>
    <w:unhideWhenUsed/>
    <w:qFormat/>
    <w:rsid w:val="00A74B79"/>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KR" w:eastAsia="ja-JP"/>
      <w14:ligatures w14:val="standardContextual"/>
    </w:rPr>
  </w:style>
  <w:style w:type="paragraph" w:styleId="Heading7">
    <w:name w:val="heading 7"/>
    <w:basedOn w:val="Normal"/>
    <w:next w:val="Normal"/>
    <w:link w:val="Heading7Char"/>
    <w:uiPriority w:val="9"/>
    <w:semiHidden/>
    <w:unhideWhenUsed/>
    <w:qFormat/>
    <w:rsid w:val="00A74B79"/>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KR" w:eastAsia="ja-JP"/>
      <w14:ligatures w14:val="standardContextual"/>
    </w:rPr>
  </w:style>
  <w:style w:type="paragraph" w:styleId="Heading8">
    <w:name w:val="heading 8"/>
    <w:basedOn w:val="Normal"/>
    <w:next w:val="Normal"/>
    <w:link w:val="Heading8Char"/>
    <w:uiPriority w:val="9"/>
    <w:semiHidden/>
    <w:unhideWhenUsed/>
    <w:qFormat/>
    <w:rsid w:val="00A74B79"/>
    <w:pPr>
      <w:keepNext/>
      <w:keepLines/>
      <w:spacing w:line="278" w:lineRule="auto"/>
      <w:outlineLvl w:val="7"/>
    </w:pPr>
    <w:rPr>
      <w:rFonts w:asciiTheme="minorHAnsi" w:eastAsiaTheme="majorEastAsia" w:hAnsiTheme="minorHAnsi" w:cstheme="majorBidi"/>
      <w:i/>
      <w:iCs/>
      <w:color w:val="272727" w:themeColor="text1" w:themeTint="D8"/>
      <w:kern w:val="2"/>
      <w:szCs w:val="24"/>
      <w:lang w:val="en-KR" w:eastAsia="ja-JP"/>
      <w14:ligatures w14:val="standardContextual"/>
    </w:rPr>
  </w:style>
  <w:style w:type="paragraph" w:styleId="Heading9">
    <w:name w:val="heading 9"/>
    <w:basedOn w:val="Normal"/>
    <w:next w:val="Normal"/>
    <w:link w:val="Heading9Char"/>
    <w:uiPriority w:val="9"/>
    <w:semiHidden/>
    <w:unhideWhenUsed/>
    <w:qFormat/>
    <w:rsid w:val="00A74B79"/>
    <w:pPr>
      <w:keepNext/>
      <w:keepLines/>
      <w:spacing w:line="278" w:lineRule="auto"/>
      <w:outlineLvl w:val="8"/>
    </w:pPr>
    <w:rPr>
      <w:rFonts w:asciiTheme="minorHAnsi" w:eastAsiaTheme="majorEastAsia" w:hAnsiTheme="minorHAnsi" w:cstheme="majorBidi"/>
      <w:color w:val="272727" w:themeColor="text1" w:themeTint="D8"/>
      <w:kern w:val="2"/>
      <w:szCs w:val="24"/>
      <w:lang w:val="en-KR"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B79"/>
    <w:rPr>
      <w:rFonts w:eastAsiaTheme="majorEastAsia" w:cstheme="majorBidi"/>
      <w:color w:val="272727" w:themeColor="text1" w:themeTint="D8"/>
    </w:rPr>
  </w:style>
  <w:style w:type="paragraph" w:styleId="Title">
    <w:name w:val="Title"/>
    <w:basedOn w:val="Normal"/>
    <w:next w:val="Normal"/>
    <w:link w:val="TitleChar"/>
    <w:uiPriority w:val="10"/>
    <w:qFormat/>
    <w:rsid w:val="00A74B79"/>
    <w:pPr>
      <w:spacing w:after="80" w:line="240" w:lineRule="auto"/>
      <w:contextualSpacing/>
    </w:pPr>
    <w:rPr>
      <w:rFonts w:asciiTheme="majorHAnsi" w:eastAsiaTheme="majorEastAsia" w:hAnsiTheme="majorHAnsi" w:cstheme="majorBidi"/>
      <w:spacing w:val="-10"/>
      <w:kern w:val="28"/>
      <w:sz w:val="56"/>
      <w:szCs w:val="56"/>
      <w:lang w:val="en-KR" w:eastAsia="ja-JP"/>
      <w14:ligatures w14:val="standardContextual"/>
    </w:rPr>
  </w:style>
  <w:style w:type="character" w:customStyle="1" w:styleId="TitleChar">
    <w:name w:val="Title Char"/>
    <w:basedOn w:val="DefaultParagraphFont"/>
    <w:link w:val="Title"/>
    <w:uiPriority w:val="10"/>
    <w:rsid w:val="00A74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B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KR" w:eastAsia="ja-JP"/>
      <w14:ligatures w14:val="standardContextual"/>
    </w:rPr>
  </w:style>
  <w:style w:type="character" w:customStyle="1" w:styleId="SubtitleChar">
    <w:name w:val="Subtitle Char"/>
    <w:basedOn w:val="DefaultParagraphFont"/>
    <w:link w:val="Subtitle"/>
    <w:uiPriority w:val="11"/>
    <w:rsid w:val="00A74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B79"/>
    <w:pPr>
      <w:spacing w:before="160" w:after="160" w:line="278" w:lineRule="auto"/>
      <w:jc w:val="center"/>
    </w:pPr>
    <w:rPr>
      <w:rFonts w:asciiTheme="minorHAnsi" w:hAnsiTheme="minorHAnsi"/>
      <w:i/>
      <w:iCs/>
      <w:color w:val="404040" w:themeColor="text1" w:themeTint="BF"/>
      <w:kern w:val="2"/>
      <w:szCs w:val="24"/>
      <w:lang w:val="en-KR" w:eastAsia="ja-JP"/>
      <w14:ligatures w14:val="standardContextual"/>
    </w:rPr>
  </w:style>
  <w:style w:type="character" w:customStyle="1" w:styleId="QuoteChar">
    <w:name w:val="Quote Char"/>
    <w:basedOn w:val="DefaultParagraphFont"/>
    <w:link w:val="Quote"/>
    <w:uiPriority w:val="29"/>
    <w:rsid w:val="00A74B79"/>
    <w:rPr>
      <w:i/>
      <w:iCs/>
      <w:color w:val="404040" w:themeColor="text1" w:themeTint="BF"/>
    </w:rPr>
  </w:style>
  <w:style w:type="paragraph" w:styleId="ListParagraph">
    <w:name w:val="List Paragraph"/>
    <w:basedOn w:val="Normal"/>
    <w:uiPriority w:val="34"/>
    <w:qFormat/>
    <w:rsid w:val="00A74B79"/>
    <w:pPr>
      <w:spacing w:after="160" w:line="278" w:lineRule="auto"/>
      <w:ind w:left="720"/>
      <w:contextualSpacing/>
    </w:pPr>
    <w:rPr>
      <w:rFonts w:asciiTheme="minorHAnsi" w:hAnsiTheme="minorHAnsi"/>
      <w:kern w:val="2"/>
      <w:szCs w:val="24"/>
      <w:lang w:val="en-KR" w:eastAsia="ja-JP"/>
      <w14:ligatures w14:val="standardContextual"/>
    </w:rPr>
  </w:style>
  <w:style w:type="character" w:styleId="IntenseEmphasis">
    <w:name w:val="Intense Emphasis"/>
    <w:basedOn w:val="DefaultParagraphFont"/>
    <w:uiPriority w:val="21"/>
    <w:qFormat/>
    <w:rsid w:val="00A74B79"/>
    <w:rPr>
      <w:i/>
      <w:iCs/>
      <w:color w:val="0F4761" w:themeColor="accent1" w:themeShade="BF"/>
    </w:rPr>
  </w:style>
  <w:style w:type="paragraph" w:styleId="IntenseQuote">
    <w:name w:val="Intense Quote"/>
    <w:basedOn w:val="Normal"/>
    <w:next w:val="Normal"/>
    <w:link w:val="IntenseQuoteChar"/>
    <w:uiPriority w:val="30"/>
    <w:qFormat/>
    <w:rsid w:val="00A74B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lang w:val="en-KR" w:eastAsia="ja-JP"/>
      <w14:ligatures w14:val="standardContextual"/>
    </w:rPr>
  </w:style>
  <w:style w:type="character" w:customStyle="1" w:styleId="IntenseQuoteChar">
    <w:name w:val="Intense Quote Char"/>
    <w:basedOn w:val="DefaultParagraphFont"/>
    <w:link w:val="IntenseQuote"/>
    <w:uiPriority w:val="30"/>
    <w:rsid w:val="00A74B79"/>
    <w:rPr>
      <w:i/>
      <w:iCs/>
      <w:color w:val="0F4761" w:themeColor="accent1" w:themeShade="BF"/>
    </w:rPr>
  </w:style>
  <w:style w:type="character" w:styleId="IntenseReference">
    <w:name w:val="Intense Reference"/>
    <w:basedOn w:val="DefaultParagraphFont"/>
    <w:uiPriority w:val="32"/>
    <w:qFormat/>
    <w:rsid w:val="00A74B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686</Words>
  <Characters>3975</Characters>
  <Application>Microsoft Office Word</Application>
  <DocSecurity>0</DocSecurity>
  <Lines>331</Lines>
  <Paragraphs>310</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운노타쯔야</dc:creator>
  <cp:keywords/>
  <dc:description/>
  <cp:lastModifiedBy>운노타쯔야</cp:lastModifiedBy>
  <cp:revision>3</cp:revision>
  <dcterms:created xsi:type="dcterms:W3CDTF">2026-04-19T00:21:00Z</dcterms:created>
  <dcterms:modified xsi:type="dcterms:W3CDTF">2026-04-19T00:59:00Z</dcterms:modified>
</cp:coreProperties>
</file>