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4B547">
      <w:pPr>
        <w:ind w:left="973" w:leftChars="-15" w:hanging="1004" w:hangingChars="500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>Table S1.</w:t>
      </w:r>
      <w:r>
        <w:rPr>
          <w:rFonts w:ascii="等线" w:hAnsi="等线" w:eastAsia="等线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Sensitivity Analysis of UHR and Cardiorenal Syndrome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in</w:t>
      </w:r>
      <w:r>
        <w:rPr>
          <w:rFonts w:hint="eastAsia" w:ascii="Times New Roman" w:hAnsi="Times New Roman" w:cs="Times New Roman"/>
          <w:sz w:val="20"/>
          <w:szCs w:val="20"/>
        </w:rPr>
        <w:t xml:space="preserve"> the discovery cohort (NHANES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2011–201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8</w:t>
      </w:r>
      <w:r>
        <w:rPr>
          <w:rFonts w:hint="eastAsia" w:ascii="Times New Roman" w:hAnsi="Times New Roman" w:cs="Times New Roman"/>
          <w:sz w:val="20"/>
          <w:szCs w:val="20"/>
        </w:rPr>
        <w:t>)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6"/>
        <w:tblW w:w="6229" w:type="pct"/>
        <w:tblInd w:w="-57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324"/>
        <w:gridCol w:w="1020"/>
        <w:gridCol w:w="2180"/>
        <w:gridCol w:w="914"/>
        <w:gridCol w:w="1984"/>
        <w:gridCol w:w="1024"/>
      </w:tblGrid>
      <w:tr w14:paraId="3B3501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51" w:type="pct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B31D8A">
            <w:pPr>
              <w:jc w:val="center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</w:pPr>
          </w:p>
        </w:tc>
        <w:tc>
          <w:tcPr>
            <w:tcW w:w="1574" w:type="pct"/>
            <w:gridSpan w:val="2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81103A">
            <w:pPr>
              <w:jc w:val="both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      Model 1</w:t>
            </w:r>
          </w:p>
        </w:tc>
        <w:tc>
          <w:tcPr>
            <w:tcW w:w="1456" w:type="pct"/>
            <w:gridSpan w:val="2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58336C">
            <w:pPr>
              <w:jc w:val="both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     Model 2</w:t>
            </w:r>
          </w:p>
        </w:tc>
        <w:tc>
          <w:tcPr>
            <w:tcW w:w="1416" w:type="pct"/>
            <w:gridSpan w:val="2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B9927A">
            <w:pPr>
              <w:jc w:val="both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        Model 3</w:t>
            </w:r>
          </w:p>
        </w:tc>
      </w:tr>
      <w:tr w14:paraId="74BB1F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7B96BB8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1094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60A433B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 xml:space="preserve">OR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480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16616E1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-value</w:t>
            </w:r>
          </w:p>
        </w:tc>
        <w:tc>
          <w:tcPr>
            <w:tcW w:w="1026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32CA3EE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 xml:space="preserve">OR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430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13DCF59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-value</w:t>
            </w:r>
          </w:p>
        </w:tc>
        <w:tc>
          <w:tcPr>
            <w:tcW w:w="934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1EC7A157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 xml:space="preserve">OR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482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6B85528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-value</w:t>
            </w:r>
          </w:p>
        </w:tc>
      </w:tr>
      <w:tr w14:paraId="294A4C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center"/>
          </w:tcPr>
          <w:p w14:paraId="49A680B8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U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3A4E83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1.116 (1.087, 1.146)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86C4F02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E1FC3D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1.137 (1.102, 1.174)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3A8C6D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CE1786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1.136 (1.094, 1.180)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0D5E8A2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</w:tr>
      <w:tr w14:paraId="39F9BC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255116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Categories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488761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2281DB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80A1D77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7191DD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99AC97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230174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</w:tr>
      <w:tr w14:paraId="197ED0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CD3E065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Q 1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7545C28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A603FB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9798A35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6B7B93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14A5CE3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CDA306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</w:tr>
      <w:tr w14:paraId="3DC939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11B5BF3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Q 2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1A338F8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1.896 (0.965, 3.725)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DCD44B4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0.069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6D1999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1.974 (0.936, 4.166)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1FDFFF5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0.082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8514C9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2.008 (0.913, 4.415)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1F34C77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0.093</w:t>
            </w:r>
          </w:p>
        </w:tc>
      </w:tr>
      <w:tr w14:paraId="3AFE95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BAB61B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Q 3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8D129D0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3.170 (1.678, 5.986)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B3DD32C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DDB2B2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3.617 (1.627, 8.042)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C1468A4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5FF28C2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3.623 (1.534, 8.559)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8CB516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0.006</w:t>
            </w:r>
          </w:p>
        </w:tc>
      </w:tr>
      <w:tr w14:paraId="076010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3B4EC6C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Q 4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EDECAB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4.953 (2.759, 8.890)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412D1E0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10A5598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7.182 (3.290, 15.680)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4826C2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A7CF0E3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7.114 (2.943, 17.199)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6320113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</w:tr>
      <w:tr w14:paraId="33E923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B7323C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/>
                <w:iCs w:val="0"/>
                <w:color w:val="08090C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B3180E8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52B33C7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56E178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B8AA09D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04094CD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89980A5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</w:tr>
    </w:tbl>
    <w:p w14:paraId="2D3F560C">
      <w:pPr>
        <w:rPr>
          <w:rFonts w:ascii="Times New Roman" w:hAnsi="Times New Roman" w:eastAsia="宋体" w:cs="Times New Roman"/>
          <w:sz w:val="20"/>
          <w:szCs w:val="20"/>
          <w14:ligatures w14:val="none"/>
        </w:rPr>
      </w:pP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Model 1: unadjusted; Model 2: adjusted for age, gender, race, education level, smoking status, alcohol use, BMI; Model 3: adjusted for age, gender, race, education level, smoking status, alcohol use, BMI, hypertension, diabetes, triglyceride, LDL-C, total bilirubin, SII, NLR, PLR.</w:t>
      </w:r>
    </w:p>
    <w:p w14:paraId="440BD839">
      <w:pPr>
        <w:rPr>
          <w:rFonts w:ascii="Times New Roman" w:hAnsi="Times New Roman" w:eastAsia="宋体" w:cs="Times New Roman"/>
          <w:sz w:val="20"/>
          <w:szCs w:val="20"/>
          <w14:ligatures w14:val="none"/>
        </w:rPr>
      </w:pP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Abbreviations: UHR: uric acid to high-density lipoprotein cholesterol ratio; CRS: Cardiorenal syndrome; BMI: body mass index; LDL-C: low-density lipoprotein cholesterol; HDL-C: high-density lipoprotein cholesterol; SII: Systemic Immune Inflammation Index; NLR: neutrophil-to-lymphocyte ratio; PLR: platelet-to-lymphocyte ratio; OR: odds ratio; CI: confidence interval.</w:t>
      </w:r>
    </w:p>
    <w:p w14:paraId="45ED9C6A">
      <w:pPr>
        <w:rPr>
          <w:rFonts w:ascii="Times New Roman" w:hAnsi="Times New Roman" w:eastAsia="宋体" w:cs="Times New Roman"/>
          <w:sz w:val="20"/>
          <w:szCs w:val="20"/>
          <w14:ligatures w14:val="none"/>
        </w:rPr>
      </w:pPr>
    </w:p>
    <w:p w14:paraId="63F5DC5D">
      <w:pPr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.</w:t>
      </w:r>
      <w:r>
        <w:rPr>
          <w:rFonts w:ascii="等线" w:hAnsi="等线" w:eastAsia="等线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Sensitivity Analysis of UHR and Cardiorenal Syndrome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in</w:t>
      </w:r>
      <w:r>
        <w:rPr>
          <w:rFonts w:hint="eastAsia" w:ascii="Times New Roman" w:hAnsi="Times New Roman" w:cs="Times New Roman"/>
          <w:sz w:val="20"/>
          <w:szCs w:val="20"/>
        </w:rPr>
        <w:t xml:space="preserve"> the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external</w:t>
      </w:r>
      <w:r>
        <w:rPr>
          <w:rFonts w:hint="eastAsia" w:ascii="Times New Roman" w:hAnsi="Times New Roman" w:cs="Times New Roman"/>
          <w:sz w:val="20"/>
          <w:szCs w:val="20"/>
        </w:rPr>
        <w:t xml:space="preserve"> cohort (Affiliated Lihuili Hospital of Ningbo University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2015-2017</w:t>
      </w:r>
      <w:r>
        <w:rPr>
          <w:rFonts w:hint="eastAsia"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eastAsia="宋体" w:cs="Times New Roman"/>
          <w:sz w:val="20"/>
          <w:szCs w:val="20"/>
        </w:rPr>
        <w:t>.</w:t>
      </w:r>
    </w:p>
    <w:tbl>
      <w:tblPr>
        <w:tblStyle w:val="6"/>
        <w:tblW w:w="6229" w:type="pct"/>
        <w:tblInd w:w="-57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324"/>
        <w:gridCol w:w="1020"/>
        <w:gridCol w:w="2180"/>
        <w:gridCol w:w="914"/>
        <w:gridCol w:w="1984"/>
        <w:gridCol w:w="1024"/>
      </w:tblGrid>
      <w:tr w14:paraId="209F76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4EDFF3">
            <w:pPr>
              <w:jc w:val="center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</w:pPr>
          </w:p>
        </w:tc>
        <w:tc>
          <w:tcPr>
            <w:tcW w:w="1574" w:type="pct"/>
            <w:gridSpan w:val="2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B33500">
            <w:pPr>
              <w:jc w:val="both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      Model 1</w:t>
            </w:r>
          </w:p>
        </w:tc>
        <w:tc>
          <w:tcPr>
            <w:tcW w:w="1456" w:type="pct"/>
            <w:gridSpan w:val="2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EEE0C3">
            <w:pPr>
              <w:jc w:val="both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     Model 2</w:t>
            </w:r>
          </w:p>
        </w:tc>
        <w:tc>
          <w:tcPr>
            <w:tcW w:w="1416" w:type="pct"/>
            <w:gridSpan w:val="2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164C94">
            <w:pPr>
              <w:jc w:val="both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        Model 3</w:t>
            </w:r>
          </w:p>
        </w:tc>
      </w:tr>
      <w:tr w14:paraId="7FE7B2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644DCA9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1094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6D2AB71D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 xml:space="preserve">OR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480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685386F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-value</w:t>
            </w:r>
          </w:p>
        </w:tc>
        <w:tc>
          <w:tcPr>
            <w:tcW w:w="1026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6B5D5AA3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 xml:space="preserve">OR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430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2030D0E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-value</w:t>
            </w:r>
          </w:p>
        </w:tc>
        <w:tc>
          <w:tcPr>
            <w:tcW w:w="934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7375EDF3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 xml:space="preserve">OR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482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7E91F9F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-value</w:t>
            </w:r>
          </w:p>
        </w:tc>
      </w:tr>
      <w:tr w14:paraId="44CCCB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center"/>
          </w:tcPr>
          <w:p w14:paraId="25F48F6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U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4ABDFE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1.042 (1.037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1.047)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172FB6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EA9C85C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1.042 (1.037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1.048)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91428E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719602D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1.035 (1.029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1.041)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E5B7F88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</w:tr>
      <w:tr w14:paraId="1B1F2C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53C393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Categories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BE28AD5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3C1E2E5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241D12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4EF8B3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1518F8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A0F152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</w:tc>
      </w:tr>
      <w:tr w14:paraId="160476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70B9B1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Q 1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6119CF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9973947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1670EF2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D701A6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7A780D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9C13DA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</w:tr>
      <w:tr w14:paraId="1DDDAE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94AFC18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Q 2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4B197E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1.979 (1.414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2.77)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DECFC4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BA5815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1.829 (1.3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2.574)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7502CC4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9AB597A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1.866 (1.311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2.656)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A85EF2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</w:tr>
      <w:tr w14:paraId="14AE41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C649F2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Q 3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9D7B1E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4.482 (3.308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6.072)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87773CB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406ADCA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3.664 (2.68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5.008)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FCA7F44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D083A0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3.702 (2.664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5.143)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024A0A6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</w:tr>
      <w:tr w14:paraId="509E98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3DEC1B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Q 4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F5047BA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12.555 (9.432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16.712)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31619A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D81C9DD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9.192 (6.809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12.409)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41161E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3BF2C49C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8.117 (5.856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11.251)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0A3609F5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</w:tr>
      <w:tr w14:paraId="29B58F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1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4F2EE5A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/>
                <w:iCs w:val="0"/>
                <w:color w:val="08090C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232DDBCD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9CA9034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026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718FDD41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D362D12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43A598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FCC6BB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&lt;0.001</w:t>
            </w:r>
          </w:p>
        </w:tc>
      </w:tr>
    </w:tbl>
    <w:p w14:paraId="1AA53F6C">
      <w:pPr>
        <w:rPr>
          <w:rFonts w:ascii="Times New Roman" w:hAnsi="Times New Roman" w:eastAsia="宋体" w:cs="Times New Roman"/>
          <w:sz w:val="20"/>
          <w:szCs w:val="20"/>
          <w14:ligatures w14:val="none"/>
        </w:rPr>
      </w:pP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Model 1: unadjusted; Model 2: adjusted for age, gender,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education level, smoking status, alcohol use, BMI; Model 3: adjusted for age, gender,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education level,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smoking status, alcohol use, BMI, hypertension, diabetes, triglyceride, LDL-C, total bilirubin, SII, NLR, PLR.</w:t>
      </w:r>
    </w:p>
    <w:p w14:paraId="78A699D3">
      <w:pPr>
        <w:rPr>
          <w:rFonts w:ascii="Times New Roman" w:hAnsi="Times New Roman" w:eastAsia="宋体" w:cs="Times New Roman"/>
          <w:sz w:val="20"/>
          <w:szCs w:val="20"/>
          <w14:ligatures w14:val="none"/>
        </w:rPr>
      </w:pP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Abbreviations: UHR: uric acid to high-density lipoprotein cholesterol ratio; CRS: Cardiorenal syndrome; BMI: body mass index; LDL-C: low-density lipoprotein cholesterol; HDL-C: high-density lipoprotein cholesterol; SII: Systemic Immune Inflammation Index; NLR: neutrophil-to-lymphocyte ratio; PLR: platelet-to-lymphocyte ratio; OR: odds ratio; CI: confidence interval.</w:t>
      </w:r>
    </w:p>
    <w:p w14:paraId="09A0C7DE">
      <w:pPr>
        <w:rPr>
          <w:rFonts w:ascii="Times New Roman" w:hAnsi="Times New Roman" w:eastAsia="宋体" w:cs="Times New Roman"/>
          <w:sz w:val="20"/>
          <w:szCs w:val="20"/>
          <w14:ligatures w14:val="none"/>
        </w:rPr>
      </w:pPr>
    </w:p>
    <w:p w14:paraId="3BB8BAF0">
      <w:pPr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  <w14:ligatures w14:val="none"/>
        </w:rPr>
        <w:t>Table S3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  <w14:ligatures w14:val="none"/>
        </w:rPr>
        <w:t>. Performance of supplementary machine learning models in external validation.</w:t>
      </w:r>
    </w:p>
    <w:p w14:paraId="04B6B5F5">
      <w:pPr>
        <w:rPr>
          <w:rFonts w:ascii="Times New Roman" w:hAnsi="Times New Roman" w:eastAsia="宋体" w:cs="Times New Roman"/>
          <w:sz w:val="20"/>
          <w:szCs w:val="20"/>
        </w:rPr>
      </w:pPr>
    </w:p>
    <w:p w14:paraId="0DB52205">
      <w:pPr>
        <w:rPr>
          <w:rFonts w:ascii="Times New Roman" w:hAnsi="Times New Roman" w:eastAsia="宋体" w:cs="Times New Roman"/>
          <w:sz w:val="20"/>
          <w:szCs w:val="20"/>
        </w:rPr>
      </w:pPr>
    </w:p>
    <w:p w14:paraId="2FC77B66">
      <w:pP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  <w14:ligatures w14:val="none"/>
        </w:rPr>
      </w:pPr>
    </w:p>
    <w:tbl>
      <w:tblPr>
        <w:tblStyle w:val="6"/>
        <w:tblW w:w="5759" w:type="pct"/>
        <w:tblInd w:w="-57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3"/>
        <w:gridCol w:w="2625"/>
        <w:gridCol w:w="2359"/>
        <w:gridCol w:w="2250"/>
      </w:tblGrid>
      <w:tr w14:paraId="54B3B2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315" w:type="pct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9927CD">
            <w:pPr>
              <w:jc w:val="both"/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      Model </w:t>
            </w:r>
          </w:p>
        </w:tc>
        <w:tc>
          <w:tcPr>
            <w:tcW w:w="1336" w:type="pct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1A7A4A">
            <w:pPr>
              <w:jc w:val="both"/>
              <w:rPr>
                <w:rFonts w:hint="default"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:lang w:val="en-US" w:eastAsia="zh-CN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>Feature set</w:t>
            </w:r>
          </w:p>
        </w:tc>
        <w:tc>
          <w:tcPr>
            <w:tcW w:w="1201" w:type="pct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C6BA8B">
            <w:pPr>
              <w:jc w:val="both"/>
              <w:rPr>
                <w:rFonts w:hint="default"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:lang w:val="en-US" w:eastAsia="zh-CN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>External AUC</w:t>
            </w:r>
          </w:p>
        </w:tc>
        <w:tc>
          <w:tcPr>
            <w:tcW w:w="1145" w:type="pct"/>
            <w:tcBorders>
              <w:top w:val="single" w:color="4472C4" w:themeColor="accent1" w:sz="12" w:space="0"/>
              <w:left w:val="nil"/>
              <w:bottom w:val="single" w:color="4472C4" w:themeColor="accent1" w:sz="6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EEFF49">
            <w:pPr>
              <w:jc w:val="both"/>
              <w:rPr>
                <w:rFonts w:hint="default"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:lang w:val="en-US" w:eastAsia="zh-CN"/>
                <w14:textFill>
                  <w14:solidFill>
                    <w14:schemeClr w14:val="accent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4472C4" w:themeColor="accent1"/>
                <w:sz w:val="20"/>
                <w:szCs w:val="20"/>
                <w:lang w:val="en-US" w:eastAsia="zh-CN"/>
                <w14:textFill>
                  <w14:solidFill>
                    <w14:schemeClr w14:val="accent1"/>
                  </w14:solidFill>
                </w14:textFill>
                <w14:ligatures w14:val="none"/>
              </w:rPr>
              <w:t>External Brier score</w:t>
            </w:r>
          </w:p>
        </w:tc>
      </w:tr>
      <w:tr w14:paraId="437911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15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3B981894">
            <w:pPr>
              <w:jc w:val="both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Logistic regression</w:t>
            </w:r>
          </w:p>
        </w:tc>
        <w:tc>
          <w:tcPr>
            <w:tcW w:w="1336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6348305A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  <w:t>Base</w:t>
            </w:r>
          </w:p>
        </w:tc>
        <w:tc>
          <w:tcPr>
            <w:tcW w:w="1201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250361A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:lang w:val="en-US" w:eastAsia="zh-CN"/>
                <w14:ligatures w14:val="none"/>
              </w:rPr>
              <w:t>0.850</w:t>
            </w:r>
          </w:p>
        </w:tc>
        <w:tc>
          <w:tcPr>
            <w:tcW w:w="1145" w:type="pct"/>
            <w:tcBorders>
              <w:top w:val="single" w:color="4472C4" w:themeColor="accent1" w:sz="6" w:space="0"/>
              <w:left w:val="nil"/>
              <w:bottom w:val="nil"/>
              <w:right w:val="nil"/>
            </w:tcBorders>
            <w:shd w:val="clear" w:color="auto" w:fill="ECF1F9" w:themeFill="accent1" w:themeFillTint="19"/>
            <w:vAlign w:val="center"/>
          </w:tcPr>
          <w:p w14:paraId="61FAA48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:lang w:val="en-US" w:eastAsia="zh-CN"/>
                <w14:ligatures w14:val="none"/>
              </w:rPr>
              <w:t>0.036</w:t>
            </w:r>
          </w:p>
        </w:tc>
      </w:tr>
      <w:tr w14:paraId="31828C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6ED3642A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  <w:p w14:paraId="51D82511">
            <w:pPr>
              <w:jc w:val="both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Logistic regression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45F23E70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3AABF263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Base + UHR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5C12BADD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5B8D26C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0.800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</w:tcPr>
          <w:p w14:paraId="1C259375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31D69E1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0.040</w:t>
            </w:r>
          </w:p>
        </w:tc>
      </w:tr>
      <w:tr w14:paraId="492BC8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center"/>
          </w:tcPr>
          <w:p w14:paraId="23A040A3">
            <w:pPr>
              <w:jc w:val="both"/>
              <w:rPr>
                <w:rFonts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LASSO logistic regression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center"/>
          </w:tcPr>
          <w:p w14:paraId="5143AE37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  <w:t>Base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center"/>
          </w:tcPr>
          <w:p w14:paraId="266557D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:lang w:val="en-US" w:eastAsia="zh-CN"/>
                <w14:ligatures w14:val="none"/>
              </w:rPr>
              <w:t>0.851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center"/>
          </w:tcPr>
          <w:p w14:paraId="509CC43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/>
                <w:color w:val="08090C"/>
                <w:sz w:val="20"/>
                <w:szCs w:val="20"/>
                <w:lang w:val="en-US" w:eastAsia="zh-CN"/>
                <w14:ligatures w14:val="none"/>
              </w:rPr>
              <w:t>0.036</w:t>
            </w:r>
          </w:p>
        </w:tc>
      </w:tr>
      <w:tr w14:paraId="52B020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06DC9BD9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  <w:p w14:paraId="4F24484B">
            <w:pPr>
              <w:jc w:val="both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LASSO logistic regression</w:t>
            </w:r>
          </w:p>
          <w:p w14:paraId="7BDC5C79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6E9E9126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6E09CF7E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Base + UHR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40882500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04EE2C6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0.809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54FB5645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273B0CC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0.040</w:t>
            </w:r>
          </w:p>
        </w:tc>
      </w:tr>
      <w:tr w14:paraId="1DDA1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6590844F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  <w:p w14:paraId="23374652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XGBoost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1F430C50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</w:pPr>
          </w:p>
          <w:p w14:paraId="62990627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</w:rPr>
              <w:t>Base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508B66A6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3C6265A4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0.896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5977EEDC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4C04D62C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0.034</w:t>
            </w:r>
          </w:p>
        </w:tc>
      </w:tr>
      <w:tr w14:paraId="200AE3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15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29DF476C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</w:p>
          <w:p w14:paraId="3004BB83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  <w:t>XGBoost</w:t>
            </w:r>
          </w:p>
        </w:tc>
        <w:tc>
          <w:tcPr>
            <w:tcW w:w="1336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05448631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7954F1DA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Base + UHR</w:t>
            </w:r>
          </w:p>
          <w:p w14:paraId="19D855AF">
            <w:pPr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41A98911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22787537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0.914</w:t>
            </w:r>
          </w:p>
        </w:tc>
        <w:tc>
          <w:tcPr>
            <w:tcW w:w="1145" w:type="pct"/>
            <w:tcBorders>
              <w:top w:val="nil"/>
              <w:left w:val="nil"/>
              <w:bottom w:val="single" w:color="4472C4" w:themeColor="accent1" w:sz="12" w:space="0"/>
              <w:right w:val="nil"/>
              <w:tl2br w:val="nil"/>
              <w:tr2bl w:val="nil"/>
            </w:tcBorders>
            <w:shd w:val="clear" w:color="auto" w:fill="ECF1F9" w:themeFill="accent1" w:themeFillTint="19"/>
            <w:vAlign w:val="top"/>
          </w:tcPr>
          <w:p w14:paraId="1A4D6E51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</w:pPr>
          </w:p>
          <w:p w14:paraId="0D844FF7">
            <w:pPr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8090C"/>
                <w:sz w:val="20"/>
                <w:szCs w:val="20"/>
                <w:lang w:val="en-US" w:eastAsia="zh-CN"/>
                <w14:ligatures w14:val="none"/>
              </w:rPr>
              <w:t>0.036</w:t>
            </w:r>
          </w:p>
        </w:tc>
      </w:tr>
    </w:tbl>
    <w:p w14:paraId="47BB3BFA">
      <w:pPr>
        <w:spacing w:after="120" w:line="360" w:lineRule="auto"/>
        <w:jc w:val="left"/>
        <w:rPr>
          <w:rFonts w:hint="default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  <w:t xml:space="preserve"> The base feature set included age, sex/gender, education level, smoking status, alcohol use, BMI, hypertension, diabetes, triglycerides, LDL-C, total bilirubin, SII, NLR, and PLR. The extended feature set additionally included UHR. Performance was evaluated in the independent hospital-based cohort.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val="en-US" w:eastAsia="zh-CN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  <w:t>Abbreviations: AUC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val="en-US" w:eastAsia="zh-CN"/>
          <w14:ligatures w14:val="none"/>
        </w:rPr>
        <w:t>: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  <w:t xml:space="preserve"> area under the receiver operating characteristic curve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val="en-US" w:eastAsia="zh-CN"/>
          <w14:ligatures w14:val="none"/>
        </w:rPr>
        <w:t>; UHR: uric acid to high-density lipoprotein cholesterol ratio</w:t>
      </w:r>
    </w:p>
    <w:p w14:paraId="1A1C3F10">
      <w:pPr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sz w:val="20"/>
          <w:szCs w:val="20"/>
          <w:u w:val="none"/>
          <w14:ligatures w14:val="none"/>
        </w:rPr>
        <w:t xml:space="preserve">Table S4. 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  <w:t>SHAP-based variable importance ranking in XGBoost.</w:t>
      </w:r>
    </w:p>
    <w:tbl>
      <w:tblPr>
        <w:tblStyle w:val="5"/>
        <w:tblW w:w="43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1"/>
        <w:gridCol w:w="2247"/>
        <w:gridCol w:w="2250"/>
      </w:tblGrid>
      <w:tr w14:paraId="4CDB4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142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1101" w:firstLineChars="55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Rank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112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" w:right="4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Variable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02A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" w:right="40"/>
              <w:jc w:val="center"/>
              <w:rPr>
                <w:rFonts w:ascii="Times New Roman" w:hAnsi="Times New Roman" w:cs="Times New Roman"/>
                <w:b/>
                <w:bCs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MeanAbsSHAP</w:t>
            </w:r>
          </w:p>
        </w:tc>
      </w:tr>
      <w:tr w14:paraId="5FF8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CD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BE5F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age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549E4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0.023848</w:t>
            </w:r>
          </w:p>
        </w:tc>
      </w:tr>
      <w:tr w14:paraId="6BE7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41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18E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UHR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459B6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0.019794</w:t>
            </w:r>
          </w:p>
        </w:tc>
      </w:tr>
      <w:tr w14:paraId="2D378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890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CB4C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C98A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0.017047</w:t>
            </w:r>
          </w:p>
        </w:tc>
      </w:tr>
      <w:tr w14:paraId="09687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A7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8C67A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NLR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760DE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0.012582</w:t>
            </w:r>
          </w:p>
        </w:tc>
      </w:tr>
      <w:tr w14:paraId="0746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D13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BAE34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Total bilirubin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AD0B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0.011315</w:t>
            </w:r>
          </w:p>
        </w:tc>
      </w:tr>
      <w:tr w14:paraId="622D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E2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8D0E8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SII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9AB60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0.004251</w:t>
            </w:r>
          </w:p>
        </w:tc>
      </w:tr>
      <w:tr w14:paraId="447E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89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BBBA9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LDL-C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D469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0.00418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01DB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A4C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BBA7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7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0.003293</w:t>
            </w:r>
          </w:p>
        </w:tc>
      </w:tr>
      <w:tr w14:paraId="2DA17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67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F9C4C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PLR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0.002963</w:t>
            </w:r>
          </w:p>
        </w:tc>
      </w:tr>
      <w:tr w14:paraId="29412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FC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9B17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2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0.00269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</w:tr>
      <w:tr w14:paraId="037E3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8D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16CA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ducation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- level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E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0.002284</w:t>
            </w:r>
          </w:p>
        </w:tc>
      </w:tr>
      <w:tr w14:paraId="534D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156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3A663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0.00169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</w:tr>
      <w:tr w14:paraId="5106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12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0137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  <w:t>Triglyceride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0.001239</w:t>
            </w:r>
          </w:p>
        </w:tc>
      </w:tr>
      <w:tr w14:paraId="3A858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F7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BC9B5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  <w:t>Alcohol use</w:t>
            </w: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4EA10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0.000209</w:t>
            </w:r>
          </w:p>
        </w:tc>
      </w:tr>
      <w:tr w14:paraId="1D42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876" w:type="pct"/>
            <w:tcBorders>
              <w:top w:val="nil"/>
              <w:left w:val="nil"/>
              <w:bottom w:val="single" w:color="4472C4" w:themeColor="accent1" w:sz="6" w:space="0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CF4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1560" w:type="pct"/>
            <w:tcBorders>
              <w:top w:val="nil"/>
              <w:left w:val="nil"/>
              <w:bottom w:val="single" w:color="4472C4" w:themeColor="accent1" w:sz="6" w:space="0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D4C1E6">
            <w:p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  <w:t>Smok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  <w:t>ing status</w:t>
            </w:r>
          </w:p>
        </w:tc>
        <w:tc>
          <w:tcPr>
            <w:tcW w:w="1562" w:type="pct"/>
            <w:tcBorders>
              <w:top w:val="nil"/>
              <w:left w:val="nil"/>
              <w:bottom w:val="single" w:color="4472C4" w:themeColor="accent1" w:sz="6" w:space="0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AB7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0.00007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</w:tbl>
    <w:p w14:paraId="612D8D41">
      <w:pPr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  <w:t>Categorical variables that were encoded before model fitting were recombined at the original-variable level for presentation.</w:t>
      </w:r>
    </w:p>
    <w:p w14:paraId="1C05088B">
      <w:pPr>
        <w:rPr>
          <w:rFonts w:ascii="Times New Roman" w:hAnsi="Times New Roman" w:eastAsia="宋体" w:cs="Times New Roman"/>
          <w:sz w:val="20"/>
          <w:szCs w:val="20"/>
          <w14:ligatures w14:val="none"/>
        </w:rPr>
      </w:pP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Abbreviations: UHR: uric acid to high-density lipoprotein cholesterol ratio; BMI: body mass index; LDL-C: low-density lipoprotein cholesterol; SII: Systemic Immune Inflammation Index; NLR: neutrophil-to-lymphocyte ratio; PLR: platelet-to-lymphocyte ratio.</w:t>
      </w:r>
    </w:p>
    <w:p w14:paraId="09E89D32">
      <w:pPr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</w:pPr>
    </w:p>
    <w:p w14:paraId="779E6D60">
      <w:pPr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sz w:val="20"/>
          <w:szCs w:val="20"/>
          <w:u w:val="none"/>
          <w14:ligatures w14:val="none"/>
        </w:rPr>
        <w:t>Table S5.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  <w:t xml:space="preserve"> Calibration metrics of extended supplementary machine learning models in the external validation cohort.</w:t>
      </w:r>
    </w:p>
    <w:tbl>
      <w:tblPr>
        <w:tblStyle w:val="5"/>
        <w:tblW w:w="43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61"/>
        <w:gridCol w:w="1662"/>
        <w:gridCol w:w="1665"/>
      </w:tblGrid>
      <w:tr w14:paraId="027A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68F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" w:leftChars="0" w:right="40" w:rightChars="0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color w:val="000000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Extended model</w:t>
            </w:r>
          </w:p>
        </w:tc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E97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Calibration intercept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CF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" w:right="4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Calibration slope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3E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" w:right="40"/>
              <w:jc w:val="center"/>
              <w:rPr>
                <w:rFonts w:hint="eastAsia" w:ascii="Times New Roman" w:hAnsi="Times New Roman" w:cs="Times New Roman"/>
                <w:b/>
                <w:bCs/>
                <w:i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Brier score</w:t>
            </w:r>
          </w:p>
        </w:tc>
      </w:tr>
      <w:tr w14:paraId="47170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07E0D8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i w:val="0"/>
                <w:color w:val="000000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Logistic + UHR</w:t>
            </w:r>
          </w:p>
        </w:tc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EBD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0.642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E57A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0.569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0B61A">
            <w:pPr>
              <w:jc w:val="center"/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0.040</w:t>
            </w:r>
          </w:p>
        </w:tc>
      </w:tr>
      <w:tr w14:paraId="5AEC3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1D83C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i w:val="0"/>
                <w:color w:val="000000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LASSO + UHR</w:t>
            </w:r>
          </w:p>
        </w:tc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78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0.717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95F1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0.627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A012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0.04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6455A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47" w:type="pct"/>
            <w:tcBorders>
              <w:top w:val="nil"/>
              <w:left w:val="nil"/>
              <w:bottom w:val="single" w:color="4472C4" w:themeColor="accent1" w:sz="6" w:space="0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F84AA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000000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XGBoost + UHR</w:t>
            </w:r>
          </w:p>
        </w:tc>
        <w:tc>
          <w:tcPr>
            <w:tcW w:w="1558" w:type="pct"/>
            <w:tcBorders>
              <w:top w:val="nil"/>
              <w:left w:val="nil"/>
              <w:bottom w:val="single" w:color="4472C4" w:themeColor="accent1" w:sz="6" w:space="0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EE3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/>
              </w:rPr>
              <w:t>1.836</w:t>
            </w:r>
          </w:p>
        </w:tc>
        <w:tc>
          <w:tcPr>
            <w:tcW w:w="1145" w:type="pct"/>
            <w:tcBorders>
              <w:top w:val="nil"/>
              <w:left w:val="nil"/>
              <w:bottom w:val="single" w:color="4472C4" w:themeColor="accent1" w:sz="6" w:space="0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4741A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1.19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4472C4" w:themeColor="accent1" w:sz="6" w:space="0"/>
              <w:right w:val="nil"/>
            </w:tcBorders>
            <w:shd w:val="clear" w:color="auto" w:fill="ECF1F9" w:themeFill="accent1" w:themeFillTint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8A90B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i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0.03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</w:tr>
    </w:tbl>
    <w:p w14:paraId="379BF7F6">
      <w:pPr>
        <w:spacing w:after="120" w:line="360" w:lineRule="auto"/>
        <w:jc w:val="center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14:ligatures w14:val="none"/>
        </w:rPr>
      </w:pPr>
    </w:p>
    <w:p w14:paraId="577DD687">
      <w:pPr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eastAsia="zh-CN"/>
          <w14:ligatures w14:val="none"/>
        </w:rPr>
      </w:pPr>
      <w:bookmarkStart w:id="0" w:name="_GoBack"/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eastAsia="zh-CN"/>
          <w14:ligatures w14:val="none"/>
        </w:rPr>
        <w:drawing>
          <wp:inline distT="0" distB="0" distL="114300" distR="114300">
            <wp:extent cx="5234305" cy="3780155"/>
            <wp:effectExtent l="0" t="0" r="4445" b="10795"/>
            <wp:docPr id="3" name="图片 3" descr="Supplementary_Figure_S1_External_ROC_curves_no_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_Figure_S1_External_ROC_curves_no_R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6202E43">
      <w:pPr>
        <w:spacing w:after="120" w:line="360" w:lineRule="auto"/>
        <w:jc w:val="center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sz w:val="20"/>
          <w:szCs w:val="20"/>
          <w:u w:val="none"/>
          <w:lang w:eastAsia="zh-CN"/>
          <w14:ligatures w14:val="none"/>
        </w:rPr>
        <w:t>Figure S1.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eastAsia="zh-CN"/>
          <w14:ligatures w14:val="none"/>
        </w:rPr>
        <w:t xml:space="preserve"> ROC curves of supplementary machine learning models in the external validation cohort.</w:t>
      </w:r>
    </w:p>
    <w:p w14:paraId="3C53B78E">
      <w:pPr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eastAsia="zh-CN"/>
          <w14:ligatures w14:val="none"/>
        </w:rPr>
      </w:pPr>
    </w:p>
    <w:p w14:paraId="4B0C322C">
      <w:pPr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eastAsia="zh-CN"/>
          <w14:ligatures w14:val="none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0"/>
          <w:szCs w:val="20"/>
          <w:u w:val="none"/>
          <w:lang w:eastAsia="zh-CN"/>
          <w14:ligatures w14:val="none"/>
        </w:rPr>
        <w:drawing>
          <wp:inline distT="0" distB="0" distL="114300" distR="114300">
            <wp:extent cx="4715510" cy="3300730"/>
            <wp:effectExtent l="0" t="0" r="8890" b="13970"/>
            <wp:docPr id="6" name="图片 6" descr="Supplementary_Figure_S2_SHAP_importance_merg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_Figure_S2_SHAP_importance_merg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36E23">
      <w:pPr>
        <w:widowControl w:val="0"/>
        <w:spacing w:after="120" w:line="360" w:lineRule="auto"/>
        <w:jc w:val="center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  <w:t xml:space="preserve">Figure S2. 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  <w:t>SHAP-based variable importance plot of XGBoost.</w:t>
      </w:r>
    </w:p>
    <w:p w14:paraId="420AF3DE">
      <w:pPr>
        <w:widowControl w:val="0"/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  <w:t>The figure shows the relative contribution of each predictor to the XGBoost model based on mean absolute SHAP values.</w:t>
      </w:r>
    </w:p>
    <w:p w14:paraId="20437E34">
      <w:pPr>
        <w:rPr>
          <w:rFonts w:ascii="Times New Roman" w:hAnsi="Times New Roman" w:eastAsia="宋体" w:cs="Times New Roman"/>
          <w:sz w:val="20"/>
          <w:szCs w:val="20"/>
          <w14:ligatures w14:val="none"/>
        </w:rPr>
      </w:pP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Abbreviations: UHR: uric acid to high-density lipoprotein cholesterol ratio; BMI: body mass index; LDL: low-density lipoprotein cholesterol; SII: Systemic Immune Inflammation Index; NLR: neutrophil-to-lymphocyte ratio; PLR: platelet-to-lymphocyte ratio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; TG: Triglyceride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.</w:t>
      </w:r>
    </w:p>
    <w:p w14:paraId="682E0E8E">
      <w:pPr>
        <w:widowControl w:val="0"/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</w:pPr>
    </w:p>
    <w:p w14:paraId="09697EE6">
      <w:pPr>
        <w:widowControl w:val="0"/>
        <w:spacing w:after="120" w:line="360" w:lineRule="auto"/>
        <w:jc w:val="center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</w:pPr>
    </w:p>
    <w:p w14:paraId="2D1B13B1">
      <w:pPr>
        <w:widowControl w:val="0"/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  <w:drawing>
          <wp:inline distT="0" distB="0" distL="114300" distR="114300">
            <wp:extent cx="4623435" cy="3595370"/>
            <wp:effectExtent l="0" t="0" r="5715" b="5080"/>
            <wp:docPr id="7" name="图片 7" descr="da75c45d5b321fc660a60f59b4f27b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a75c45d5b321fc660a60f59b4f27b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66EE5">
      <w:pPr>
        <w:widowControl w:val="0"/>
        <w:spacing w:after="120" w:line="360" w:lineRule="auto"/>
        <w:jc w:val="center"/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  <w:t xml:space="preserve">Figure S3.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  <w:t>SHAP dependence plot for UHR in XGBoost.</w:t>
      </w:r>
    </w:p>
    <w:p w14:paraId="03CFB5F3">
      <w:pPr>
        <w:widowControl w:val="0"/>
        <w:spacing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  <w:t xml:space="preserve">The SHAP dependence plot illustrates the relationship between UHR values and their contribution to model-predicted CRS probability, showing a non-linear contribution pattern. </w:t>
      </w:r>
    </w:p>
    <w:p w14:paraId="37F991D7">
      <w:pPr>
        <w:widowControl w:val="0"/>
        <w:spacing w:after="120" w:line="360" w:lineRule="auto"/>
        <w:jc w:val="left"/>
        <w:rPr>
          <w:rFonts w:hint="default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0"/>
          <w:szCs w:val="20"/>
          <w:u w:val="none"/>
          <w:lang w:val="en-US" w:eastAsia="zh-CN" w:bidi="ar-SA"/>
          <w14:ligatures w14:val="none"/>
        </w:rPr>
        <w:t>Points represent individual observations and are colored according to UHR level, and the solid blue curve represents the LOESS-smoothed trend. The x-axis was restricted to the main distribution range of UHR for visualization clarity.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2D"/>
    <w:rsid w:val="0003561E"/>
    <w:rsid w:val="001027DB"/>
    <w:rsid w:val="001C6089"/>
    <w:rsid w:val="001F113F"/>
    <w:rsid w:val="00201F30"/>
    <w:rsid w:val="0029259F"/>
    <w:rsid w:val="003002F8"/>
    <w:rsid w:val="00333C38"/>
    <w:rsid w:val="00357FDD"/>
    <w:rsid w:val="003F2E8B"/>
    <w:rsid w:val="00420D7F"/>
    <w:rsid w:val="00437EEB"/>
    <w:rsid w:val="004C5E2C"/>
    <w:rsid w:val="004E3C71"/>
    <w:rsid w:val="005A6265"/>
    <w:rsid w:val="006C4F2D"/>
    <w:rsid w:val="00771BA2"/>
    <w:rsid w:val="00777D3C"/>
    <w:rsid w:val="007A296F"/>
    <w:rsid w:val="007D4191"/>
    <w:rsid w:val="007D7F84"/>
    <w:rsid w:val="00870C13"/>
    <w:rsid w:val="008A0C19"/>
    <w:rsid w:val="009030A7"/>
    <w:rsid w:val="00910260"/>
    <w:rsid w:val="00C66D5F"/>
    <w:rsid w:val="00C81655"/>
    <w:rsid w:val="00CF7C3E"/>
    <w:rsid w:val="00D3058A"/>
    <w:rsid w:val="00D62E94"/>
    <w:rsid w:val="00DB20E1"/>
    <w:rsid w:val="00DD5ED4"/>
    <w:rsid w:val="00EB52CD"/>
    <w:rsid w:val="00F45FB8"/>
    <w:rsid w:val="00F67C1A"/>
    <w:rsid w:val="00F77E7B"/>
    <w:rsid w:val="00FF3EA5"/>
    <w:rsid w:val="019C2A3A"/>
    <w:rsid w:val="021E7AC7"/>
    <w:rsid w:val="02EB264D"/>
    <w:rsid w:val="034B73A8"/>
    <w:rsid w:val="08BD6586"/>
    <w:rsid w:val="0BC03698"/>
    <w:rsid w:val="0D22719E"/>
    <w:rsid w:val="0DB81D1D"/>
    <w:rsid w:val="0EB2020F"/>
    <w:rsid w:val="0ECB23A9"/>
    <w:rsid w:val="0F7A6D8E"/>
    <w:rsid w:val="0FF3164A"/>
    <w:rsid w:val="0FFA00C0"/>
    <w:rsid w:val="12A82965"/>
    <w:rsid w:val="14975EDD"/>
    <w:rsid w:val="15AF54A9"/>
    <w:rsid w:val="167451FB"/>
    <w:rsid w:val="169B3D7A"/>
    <w:rsid w:val="16E318AE"/>
    <w:rsid w:val="183A374F"/>
    <w:rsid w:val="18622CA6"/>
    <w:rsid w:val="196F3DDF"/>
    <w:rsid w:val="1C113F74"/>
    <w:rsid w:val="1C6D20FE"/>
    <w:rsid w:val="1D8B67FB"/>
    <w:rsid w:val="1E6643B5"/>
    <w:rsid w:val="1EBF330F"/>
    <w:rsid w:val="1F313776"/>
    <w:rsid w:val="223571CD"/>
    <w:rsid w:val="24421EE4"/>
    <w:rsid w:val="24C148B0"/>
    <w:rsid w:val="24DB29D4"/>
    <w:rsid w:val="255B2F57"/>
    <w:rsid w:val="27AB184B"/>
    <w:rsid w:val="285A3310"/>
    <w:rsid w:val="2A3F0751"/>
    <w:rsid w:val="2A416350"/>
    <w:rsid w:val="2A4D7312"/>
    <w:rsid w:val="2AA31E5E"/>
    <w:rsid w:val="2D7B7CF2"/>
    <w:rsid w:val="2FD14C2F"/>
    <w:rsid w:val="3148438F"/>
    <w:rsid w:val="31FD161E"/>
    <w:rsid w:val="32B42FB7"/>
    <w:rsid w:val="32C146FF"/>
    <w:rsid w:val="33D92A24"/>
    <w:rsid w:val="3522139B"/>
    <w:rsid w:val="35613593"/>
    <w:rsid w:val="35885AF5"/>
    <w:rsid w:val="36033AE1"/>
    <w:rsid w:val="36B44275"/>
    <w:rsid w:val="38082ACA"/>
    <w:rsid w:val="39AB7C14"/>
    <w:rsid w:val="39C81CC3"/>
    <w:rsid w:val="3E7F33BB"/>
    <w:rsid w:val="3EAD2C67"/>
    <w:rsid w:val="3FC77CFF"/>
    <w:rsid w:val="41383E7A"/>
    <w:rsid w:val="44DE24C8"/>
    <w:rsid w:val="44EB0FCE"/>
    <w:rsid w:val="44F92119"/>
    <w:rsid w:val="49BF3163"/>
    <w:rsid w:val="49CA1537"/>
    <w:rsid w:val="4AEC780B"/>
    <w:rsid w:val="4C1B0BC7"/>
    <w:rsid w:val="4CC22E5C"/>
    <w:rsid w:val="4D720B9D"/>
    <w:rsid w:val="4D8E1BF9"/>
    <w:rsid w:val="4F9A042C"/>
    <w:rsid w:val="50EE0D3D"/>
    <w:rsid w:val="52B4767F"/>
    <w:rsid w:val="52CC3991"/>
    <w:rsid w:val="52D02FCF"/>
    <w:rsid w:val="53B86CFB"/>
    <w:rsid w:val="542925FB"/>
    <w:rsid w:val="55AC6D33"/>
    <w:rsid w:val="56261924"/>
    <w:rsid w:val="570E374E"/>
    <w:rsid w:val="57900932"/>
    <w:rsid w:val="58312587"/>
    <w:rsid w:val="5ADF6D7F"/>
    <w:rsid w:val="5B771274"/>
    <w:rsid w:val="5BF77075"/>
    <w:rsid w:val="5D740137"/>
    <w:rsid w:val="5D7447F9"/>
    <w:rsid w:val="5DD5494D"/>
    <w:rsid w:val="5E3C677A"/>
    <w:rsid w:val="5F1F39A6"/>
    <w:rsid w:val="5FB213EA"/>
    <w:rsid w:val="611134A9"/>
    <w:rsid w:val="62E775FD"/>
    <w:rsid w:val="63493693"/>
    <w:rsid w:val="64ED1A16"/>
    <w:rsid w:val="6522491C"/>
    <w:rsid w:val="678D7DAF"/>
    <w:rsid w:val="6C636320"/>
    <w:rsid w:val="6FE274B7"/>
    <w:rsid w:val="7079472D"/>
    <w:rsid w:val="71EA0570"/>
    <w:rsid w:val="72593FBF"/>
    <w:rsid w:val="727D5564"/>
    <w:rsid w:val="74273CFD"/>
    <w:rsid w:val="772C64B4"/>
    <w:rsid w:val="777D20D6"/>
    <w:rsid w:val="7C0B180E"/>
    <w:rsid w:val="7CDE44F7"/>
    <w:rsid w:val="7E6A4D74"/>
    <w:rsid w:val="7EF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../NUL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772</Words>
  <Characters>4686</Characters>
  <Lines>74</Lines>
  <Paragraphs>66</Paragraphs>
  <TotalTime>5</TotalTime>
  <ScaleCrop>false</ScaleCrop>
  <LinksUpToDate>false</LinksUpToDate>
  <CharactersWithSpaces>5329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2025-02-01T14:20:00Z</dcterms:created>
  <dc:creator>猫猫 毛</dc:creator>
  <cp:lastModifiedBy>Recovery</cp:lastModifiedBy>
  <dcterms:modified xsi:type="dcterms:W3CDTF">2026-04-18T18:19:50Z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eyJoZGlkIjoiYjg0MDJkZWZmZGM4NGQ5Y2FlN2NkN2MxMDA0OGViZWEiLCJ1c2VySWQiOiI2NTE0NzQ1MjEifQ==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7002CE6FDB814DE8A6DBE5C0BD85DDEB_12</vt:lpwstr>
  </property>
  <property fmtid="{D5CDD505-2E9C-101B-9397-08002B2CF9AE}" pid="5" name="GrammarlyDocumentId">
    <vt:lpwstr>0bf71e9d-fdfd-410e-8034-12c52fa07cf7</vt:lpwstr>
  </property>
</Properties>
</file>