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897AE3" w14:textId="77777777" w:rsidR="00D37642" w:rsidRPr="006A7762" w:rsidRDefault="00D37642" w:rsidP="00D37642">
      <w:pPr>
        <w:pStyle w:val="MS"/>
        <w:spacing w:line="180" w:lineRule="auto"/>
        <w:rPr>
          <w:rFonts w:ascii="HY신명조" w:eastAsia="HY신명조" w:hAnsiTheme="majorHAnsi"/>
          <w:b/>
          <w:sz w:val="22"/>
          <w:szCs w:val="22"/>
        </w:rPr>
      </w:pPr>
      <w:r w:rsidRPr="006A7762">
        <w:rPr>
          <w:rFonts w:ascii="HY신명조" w:eastAsia="HY신명조" w:hAnsiTheme="majorHAnsi" w:hint="eastAsia"/>
          <w:b/>
          <w:sz w:val="22"/>
          <w:szCs w:val="22"/>
        </w:rPr>
        <w:t xml:space="preserve">Appendix </w:t>
      </w:r>
      <w:r>
        <w:rPr>
          <w:rFonts w:ascii="HY신명조" w:eastAsia="HY신명조" w:hAnsiTheme="majorHAnsi" w:hint="eastAsia"/>
          <w:b/>
          <w:sz w:val="22"/>
          <w:szCs w:val="22"/>
        </w:rPr>
        <w:t xml:space="preserve">1. </w:t>
      </w:r>
      <w:r>
        <w:rPr>
          <w:rFonts w:ascii="HY신명조" w:eastAsia="HY신명조" w:hAnsiTheme="majorHAnsi"/>
          <w:b/>
          <w:sz w:val="22"/>
          <w:szCs w:val="22"/>
        </w:rPr>
        <w:t>G</w:t>
      </w:r>
      <w:r w:rsidRPr="006A7762">
        <w:rPr>
          <w:rFonts w:ascii="HY신명조" w:eastAsia="HY신명조" w:hAnsiTheme="majorHAnsi" w:hint="eastAsia"/>
          <w:b/>
          <w:sz w:val="22"/>
          <w:szCs w:val="22"/>
        </w:rPr>
        <w:t xml:space="preserve">rowth </w:t>
      </w:r>
      <w:r>
        <w:rPr>
          <w:rFonts w:ascii="HY신명조" w:eastAsia="HY신명조" w:hAnsiTheme="majorHAnsi"/>
          <w:b/>
          <w:sz w:val="22"/>
          <w:szCs w:val="22"/>
        </w:rPr>
        <w:t>curves</w:t>
      </w:r>
      <w:r>
        <w:rPr>
          <w:rFonts w:ascii="HY신명조" w:eastAsia="HY신명조" w:hAnsiTheme="majorHAnsi" w:hint="eastAsia"/>
          <w:b/>
          <w:sz w:val="22"/>
          <w:szCs w:val="22"/>
        </w:rPr>
        <w:t xml:space="preserve"> of </w:t>
      </w:r>
      <w:r>
        <w:rPr>
          <w:rFonts w:ascii="HY신명조" w:eastAsia="HY신명조" w:hAnsiTheme="majorHAnsi"/>
          <w:b/>
          <w:sz w:val="22"/>
          <w:szCs w:val="22"/>
        </w:rPr>
        <w:t>three parameters</w:t>
      </w:r>
      <w:r w:rsidRPr="006A7762">
        <w:rPr>
          <w:rFonts w:ascii="HY신명조" w:eastAsia="HY신명조" w:hAnsiTheme="majorHAnsi" w:hint="eastAsia"/>
          <w:b/>
          <w:sz w:val="22"/>
          <w:szCs w:val="22"/>
        </w:rPr>
        <w:t xml:space="preserve"> </w:t>
      </w:r>
      <w:r>
        <w:rPr>
          <w:rFonts w:ascii="HY신명조" w:eastAsia="HY신명조" w:hAnsiTheme="majorHAnsi"/>
          <w:b/>
          <w:sz w:val="22"/>
          <w:szCs w:val="22"/>
        </w:rPr>
        <w:t>in premature infants</w:t>
      </w:r>
    </w:p>
    <w:p w14:paraId="273C2358" w14:textId="77777777" w:rsidR="00D37642" w:rsidRPr="0077126E" w:rsidRDefault="00D37642" w:rsidP="00D37642">
      <w:pPr>
        <w:pStyle w:val="MS"/>
        <w:spacing w:line="180" w:lineRule="auto"/>
        <w:rPr>
          <w:rFonts w:asciiTheme="majorHAnsi" w:eastAsiaTheme="majorHAnsi" w:hAnsiTheme="majorHAnsi"/>
          <w:sz w:val="22"/>
          <w:szCs w:val="22"/>
        </w:rPr>
      </w:pPr>
    </w:p>
    <w:p w14:paraId="4924A862" w14:textId="77777777" w:rsidR="00D37642" w:rsidRDefault="00D37642" w:rsidP="00D37642">
      <w:pPr>
        <w:pStyle w:val="MS"/>
        <w:spacing w:line="180" w:lineRule="auto"/>
        <w:rPr>
          <w:rFonts w:asciiTheme="majorHAnsi" w:eastAsiaTheme="majorHAnsi" w:hAnsiTheme="majorHAnsi"/>
          <w:sz w:val="22"/>
          <w:szCs w:val="22"/>
        </w:rPr>
      </w:pPr>
      <w:r>
        <w:rPr>
          <w:rFonts w:asciiTheme="majorHAnsi" w:eastAsiaTheme="majorHAnsi" w:hAnsiTheme="majorHAnsi"/>
          <w:noProof/>
          <w:sz w:val="22"/>
          <w:szCs w:val="22"/>
        </w:rPr>
        <w:drawing>
          <wp:inline distT="0" distB="0" distL="0" distR="0" wp14:anchorId="5DCEEA0B" wp14:editId="65F5958A">
            <wp:extent cx="5865962" cy="7410091"/>
            <wp:effectExtent l="0" t="0" r="1905" b="635"/>
            <wp:docPr id="2" name="차트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1E5C8109" w14:textId="77777777" w:rsidR="00D37642" w:rsidRPr="00FD3F7F" w:rsidRDefault="00D37642" w:rsidP="00D37642">
      <w:pPr>
        <w:spacing w:line="336" w:lineRule="auto"/>
        <w:textAlignment w:val="baseline"/>
        <w:rPr>
          <w:rFonts w:ascii="신명 신명조" w:eastAsia="신명 신명조" w:hAnsi="굴림" w:cs="굴림"/>
          <w:color w:val="000000"/>
          <w:kern w:val="0"/>
          <w:sz w:val="16"/>
          <w:szCs w:val="16"/>
        </w:rPr>
      </w:pPr>
      <w:r>
        <w:rPr>
          <w:rFonts w:ascii="신명 신명조" w:eastAsia="신명 신명조" w:hint="eastAsia"/>
          <w:sz w:val="16"/>
          <w:szCs w:val="16"/>
        </w:rPr>
        <w:t>Abbreviations:</w:t>
      </w:r>
      <w:r>
        <w:rPr>
          <w:rFonts w:ascii="신명 신명조" w:eastAsia="신명 신명조" w:hAnsi="굴림" w:cs="굴림" w:hint="eastAsia"/>
          <w:color w:val="000000"/>
          <w:kern w:val="0"/>
          <w:sz w:val="16"/>
          <w:szCs w:val="16"/>
        </w:rPr>
        <w:t xml:space="preserve"> </w:t>
      </w:r>
      <w:r>
        <w:rPr>
          <w:rFonts w:ascii="신명 신명조" w:eastAsia="신명 신명조" w:hAnsi="굴림" w:cs="굴림"/>
          <w:color w:val="000000"/>
          <w:kern w:val="0"/>
          <w:sz w:val="16"/>
          <w:szCs w:val="16"/>
        </w:rPr>
        <w:t xml:space="preserve">CU, Catch-up group; HC, Head circumference; HT, Height; NCU, No catch-up group; NICU, Neonatal intensive care unit; WT, Weight. </w:t>
      </w:r>
    </w:p>
    <w:p w14:paraId="67EED9D7" w14:textId="77777777" w:rsidR="00F86359" w:rsidRPr="00D37642" w:rsidRDefault="00D37642"/>
    <w:sectPr w:rsidR="00F86359" w:rsidRPr="00D3764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altName w:val="바탕"/>
    <w:charset w:val="81"/>
    <w:family w:val="roman"/>
    <w:pitch w:val="variable"/>
    <w:sig w:usb0="900002A7" w:usb1="29D77CF9" w:usb2="00000010" w:usb3="00000000" w:csb0="00080000" w:csb1="00000000"/>
  </w:font>
  <w:font w:name="신명 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642"/>
    <w:rsid w:val="00D37642"/>
    <w:rsid w:val="00E56DFA"/>
    <w:rsid w:val="00FD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09836"/>
  <w15:chartTrackingRefBased/>
  <w15:docId w15:val="{74784C0B-D8DD-4FB0-ADD5-261F2B38A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764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">
    <w:name w:val="MS바탕글"/>
    <w:basedOn w:val="a"/>
    <w:rsid w:val="00D37642"/>
    <w:pPr>
      <w:spacing w:line="256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ko-KR">
                <a:solidFill>
                  <a:sysClr val="windowText" lastClr="000000"/>
                </a:solidFill>
              </a:rPr>
              <a:t>Growth</a:t>
            </a:r>
            <a:r>
              <a:rPr lang="en-US" altLang="ko-KR" baseline="0">
                <a:solidFill>
                  <a:sysClr val="windowText" lastClr="000000"/>
                </a:solidFill>
              </a:rPr>
              <a:t> curve </a:t>
            </a:r>
            <a:endParaRPr lang="ko-KR">
              <a:solidFill>
                <a:sysClr val="windowText" lastClr="000000"/>
              </a:solidFill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ko-KR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HC_CU</c:v>
                </c:pt>
              </c:strCache>
            </c:strRef>
          </c:tx>
          <c:spPr>
            <a:ln w="28575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ko-KR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Birth</c:v>
                </c:pt>
                <c:pt idx="1">
                  <c:v>NICU Discharge</c:v>
                </c:pt>
                <c:pt idx="2">
                  <c:v>Infant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25.9</c:v>
                </c:pt>
                <c:pt idx="1">
                  <c:v>32.700000000000003</c:v>
                </c:pt>
                <c:pt idx="2">
                  <c:v>47.2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9B4-4DC4-B4FE-579C1453B55A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HC_NCU</c:v>
                </c:pt>
              </c:strCache>
            </c:strRef>
          </c:tx>
          <c:spPr>
            <a:ln w="28575" cap="rnd">
              <a:solidFill>
                <a:schemeClr val="tx1"/>
              </a:solidFill>
              <a:prstDash val="sysDot"/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ko-KR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Birth</c:v>
                </c:pt>
                <c:pt idx="1">
                  <c:v>NICU Discharge</c:v>
                </c:pt>
                <c:pt idx="2">
                  <c:v>Infant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24.3</c:v>
                </c:pt>
                <c:pt idx="1">
                  <c:v>32.299999999999997</c:v>
                </c:pt>
                <c:pt idx="2">
                  <c:v>44.6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9B4-4DC4-B4FE-579C1453B55A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HT_CU</c:v>
                </c:pt>
              </c:strCache>
            </c:strRef>
          </c:tx>
          <c:spPr>
            <a:ln w="28575" cap="rnd">
              <a:solidFill>
                <a:schemeClr val="tx1">
                  <a:lumMod val="50000"/>
                  <a:lumOff val="50000"/>
                </a:schemeClr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ko-KR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Birth</c:v>
                </c:pt>
                <c:pt idx="1">
                  <c:v>NICU Discharge</c:v>
                </c:pt>
                <c:pt idx="2">
                  <c:v>Infant</c:v>
                </c:pt>
              </c:strCache>
            </c:strRef>
          </c:cat>
          <c:val>
            <c:numRef>
              <c:f>Sheet1!$D$2:$D$4</c:f>
              <c:numCache>
                <c:formatCode>General</c:formatCode>
                <c:ptCount val="3"/>
                <c:pt idx="0">
                  <c:v>36.5</c:v>
                </c:pt>
                <c:pt idx="1">
                  <c:v>45.8</c:v>
                </c:pt>
                <c:pt idx="2">
                  <c:v>83.8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9B4-4DC4-B4FE-579C1453B55A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HT_NCU</c:v>
                </c:pt>
              </c:strCache>
            </c:strRef>
          </c:tx>
          <c:spPr>
            <a:ln w="28575" cap="rnd">
              <a:solidFill>
                <a:schemeClr val="tx1">
                  <a:lumMod val="50000"/>
                  <a:lumOff val="50000"/>
                </a:schemeClr>
              </a:solidFill>
              <a:prstDash val="sysDot"/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ko-KR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Birth</c:v>
                </c:pt>
                <c:pt idx="1">
                  <c:v>NICU Discharge</c:v>
                </c:pt>
                <c:pt idx="2">
                  <c:v>Infant</c:v>
                </c:pt>
              </c:strCache>
            </c:strRef>
          </c:cat>
          <c:val>
            <c:numRef>
              <c:f>Sheet1!$E$2:$E$4</c:f>
              <c:numCache>
                <c:formatCode>General</c:formatCode>
                <c:ptCount val="3"/>
                <c:pt idx="0">
                  <c:v>34.5</c:v>
                </c:pt>
                <c:pt idx="1">
                  <c:v>45.5</c:v>
                </c:pt>
                <c:pt idx="2">
                  <c:v>81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A9B4-4DC4-B4FE-579C1453B55A}"/>
            </c:ext>
          </c:extLst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WT_CU</c:v>
                </c:pt>
              </c:strCache>
            </c:strRef>
          </c:tx>
          <c:spPr>
            <a:ln w="28575" cap="rnd">
              <a:solidFill>
                <a:schemeClr val="bg1">
                  <a:lumMod val="75000"/>
                </a:schemeClr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ko-KR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Birth</c:v>
                </c:pt>
                <c:pt idx="1">
                  <c:v>NICU Discharge</c:v>
                </c:pt>
                <c:pt idx="2">
                  <c:v>Infant</c:v>
                </c:pt>
              </c:strCache>
            </c:strRef>
          </c:cat>
          <c:val>
            <c:numRef>
              <c:f>Sheet1!$F$2:$F$4</c:f>
              <c:numCache>
                <c:formatCode>General</c:formatCode>
                <c:ptCount val="3"/>
                <c:pt idx="0">
                  <c:v>1.1000000000000001</c:v>
                </c:pt>
                <c:pt idx="1">
                  <c:v>2.8</c:v>
                </c:pt>
                <c:pt idx="2">
                  <c:v>11.2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A9B4-4DC4-B4FE-579C1453B55A}"/>
            </c:ext>
          </c:extLst>
        </c:ser>
        <c:ser>
          <c:idx val="5"/>
          <c:order val="5"/>
          <c:tx>
            <c:strRef>
              <c:f>Sheet1!$G$1</c:f>
              <c:strCache>
                <c:ptCount val="1"/>
                <c:pt idx="0">
                  <c:v>WT_NCU</c:v>
                </c:pt>
              </c:strCache>
            </c:strRef>
          </c:tx>
          <c:spPr>
            <a:ln w="28575" cap="rnd">
              <a:solidFill>
                <a:schemeClr val="bg1">
                  <a:lumMod val="75000"/>
                </a:schemeClr>
              </a:solidFill>
              <a:prstDash val="sysDot"/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ko-KR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Birth</c:v>
                </c:pt>
                <c:pt idx="1">
                  <c:v>NICU Discharge</c:v>
                </c:pt>
                <c:pt idx="2">
                  <c:v>Infant</c:v>
                </c:pt>
              </c:strCache>
            </c:strRef>
          </c:cat>
          <c:val>
            <c:numRef>
              <c:f>Sheet1!$G$2:$G$4</c:f>
              <c:numCache>
                <c:formatCode>General</c:formatCode>
                <c:ptCount val="3"/>
                <c:pt idx="0">
                  <c:v>0.9</c:v>
                </c:pt>
                <c:pt idx="1">
                  <c:v>2.7</c:v>
                </c:pt>
                <c:pt idx="2">
                  <c:v>9.6999999999999993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A9B4-4DC4-B4FE-579C1453B55A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-1743574448"/>
        <c:axId val="-1743578256"/>
      </c:lineChart>
      <c:catAx>
        <c:axId val="-17435744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-1743578256"/>
        <c:crosses val="autoZero"/>
        <c:auto val="1"/>
        <c:lblAlgn val="ctr"/>
        <c:lblOffset val="100"/>
        <c:noMultiLvlLbl val="0"/>
      </c:catAx>
      <c:valAx>
        <c:axId val="-17435782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-1743574448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</c:dTable>
      <c:spPr>
        <a:noFill/>
        <a:ln>
          <a:solidFill>
            <a:schemeClr val="bg1">
              <a:lumMod val="75000"/>
            </a:schemeClr>
          </a:solidFill>
        </a:ln>
        <a:effectLst/>
      </c:spPr>
    </c:plotArea>
    <c:legend>
      <c:legendPos val="b"/>
      <c:overlay val="0"/>
      <c:spPr>
        <a:noFill/>
        <a:ln>
          <a:noFill/>
          <a:prstDash val="sysDot"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ko-KR"/>
        </a:p>
      </c:txPr>
    </c:legend>
    <c:plotVisOnly val="1"/>
    <c:dispBlanksAs val="gap"/>
    <c:showDLblsOverMax val="0"/>
  </c:chart>
  <c:spPr>
    <a:solidFill>
      <a:schemeClr val="bg1"/>
    </a:solidFill>
    <a:ln w="9525" cap="flat" cmpd="tri" algn="ctr">
      <a:noFill/>
      <a:round/>
    </a:ln>
    <a:effectLst/>
  </c:spPr>
  <c:txPr>
    <a:bodyPr/>
    <a:lstStyle/>
    <a:p>
      <a:pPr>
        <a:defRPr/>
      </a:pPr>
      <a:endParaRPr lang="ko-K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홍 유미</dc:creator>
  <cp:keywords/>
  <dc:description/>
  <cp:lastModifiedBy>홍 유미</cp:lastModifiedBy>
  <cp:revision>1</cp:revision>
  <dcterms:created xsi:type="dcterms:W3CDTF">2021-09-28T15:59:00Z</dcterms:created>
  <dcterms:modified xsi:type="dcterms:W3CDTF">2021-09-28T15:59:00Z</dcterms:modified>
</cp:coreProperties>
</file>